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乌昌石吐区域非电石渣水泥熟料生产企业错峰置换新增停窑时间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/>
        </w:rPr>
      </w:pPr>
    </w:p>
    <w:tbl>
      <w:tblPr>
        <w:tblStyle w:val="3"/>
        <w:tblW w:w="12781" w:type="dxa"/>
        <w:tblInd w:w="-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5"/>
        <w:gridCol w:w="1950"/>
        <w:gridCol w:w="1215"/>
        <w:gridCol w:w="810"/>
        <w:gridCol w:w="960"/>
        <w:gridCol w:w="2895"/>
        <w:gridCol w:w="2221"/>
        <w:gridCol w:w="23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40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95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</w:rPr>
              <w:t>非电石渣水泥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</w:rPr>
              <w:t>熟料生产企业</w:t>
            </w:r>
          </w:p>
        </w:tc>
        <w:tc>
          <w:tcPr>
            <w:tcW w:w="121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lang w:bidi="ar"/>
              </w:rPr>
              <w:t>窑型</w:t>
            </w:r>
          </w:p>
        </w:tc>
        <w:tc>
          <w:tcPr>
            <w:tcW w:w="81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lang w:bidi="ar"/>
              </w:rPr>
              <w:t>日产能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lang w:bidi="ar"/>
              </w:rPr>
              <w:t>（t/d）</w:t>
            </w:r>
          </w:p>
        </w:tc>
        <w:tc>
          <w:tcPr>
            <w:tcW w:w="96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lang w:bidi="ar"/>
              </w:rPr>
              <w:t>错峰生产停窑时间</w:t>
            </w:r>
          </w:p>
        </w:tc>
        <w:tc>
          <w:tcPr>
            <w:tcW w:w="289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lang w:bidi="ar"/>
              </w:rPr>
              <w:t>“错峰置换”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lang w:bidi="ar"/>
              </w:rPr>
              <w:t>新增停窑时间</w:t>
            </w:r>
          </w:p>
        </w:tc>
        <w:tc>
          <w:tcPr>
            <w:tcW w:w="222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lang w:bidi="ar"/>
              </w:rPr>
              <w:t>“错峰置换”新增停窑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lang w:val="en-US" w:eastAsia="zh-CN" w:bidi="ar"/>
              </w:rPr>
              <w:t>天数</w:t>
            </w:r>
          </w:p>
        </w:tc>
        <w:tc>
          <w:tcPr>
            <w:tcW w:w="232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9" w:hRule="atLeast"/>
        </w:trPr>
        <w:tc>
          <w:tcPr>
            <w:tcW w:w="40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Cs w:val="21"/>
              </w:rPr>
              <w:t>1</w:t>
            </w:r>
          </w:p>
        </w:tc>
        <w:tc>
          <w:tcPr>
            <w:tcW w:w="195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bidi="ar"/>
              </w:rPr>
              <w:t>新疆天山水泥股份有限公司达坂城分公司</w:t>
            </w:r>
          </w:p>
        </w:tc>
        <w:tc>
          <w:tcPr>
            <w:tcW w:w="121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bidi="ar"/>
              </w:rPr>
              <w:t>Φ5.2/5.6/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bidi="ar"/>
              </w:rPr>
              <w:t>5.0×76m</w:t>
            </w:r>
          </w:p>
        </w:tc>
        <w:tc>
          <w:tcPr>
            <w:tcW w:w="81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bidi="ar"/>
              </w:rPr>
              <w:t>5000</w:t>
            </w:r>
          </w:p>
        </w:tc>
        <w:tc>
          <w:tcPr>
            <w:tcW w:w="960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bidi="ar"/>
              </w:rPr>
              <w:t>2020年11月1日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val="en-US" w:eastAsia="zh-CN" w:bidi="ar"/>
              </w:rPr>
              <w:t>-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bidi="ar"/>
              </w:rPr>
              <w:t>2021年4月15日；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bidi="ar"/>
              </w:rPr>
              <w:t>2021年6月1日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val="en-US" w:eastAsia="zh-CN" w:bidi="ar"/>
              </w:rPr>
              <w:t>-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bidi="ar"/>
              </w:rPr>
              <w:t>2021年6月30日</w:t>
            </w:r>
          </w:p>
        </w:tc>
        <w:tc>
          <w:tcPr>
            <w:tcW w:w="289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bidi="ar"/>
              </w:rPr>
              <w:t>2021年4月16日-4月25日；</w:t>
            </w:r>
          </w:p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bidi="ar"/>
              </w:rPr>
              <w:t>2021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val="en-US" w:eastAsia="zh-Hans" w:bidi="ar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eastAsia="zh-Hans"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val="en-US" w:eastAsia="zh-Hans" w:bidi="ar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eastAsia="zh-Hans" w:bidi="ar"/>
              </w:rPr>
              <w:t>28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val="en-US" w:eastAsia="zh-Hans" w:bidi="ar"/>
              </w:rPr>
              <w:t>日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eastAsia="zh-Hans" w:bidi="ar"/>
              </w:rPr>
              <w:t>-5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val="en-US" w:eastAsia="zh-Hans" w:bidi="ar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eastAsia="zh-Hans" w:bidi="ar"/>
              </w:rPr>
              <w:t>31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val="en-US" w:eastAsia="zh-Hans" w:bidi="ar"/>
              </w:rPr>
              <w:t>日；</w:t>
            </w:r>
          </w:p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bidi="ar"/>
              </w:rPr>
              <w:t>2021年7月29日-8月25日；</w:t>
            </w:r>
          </w:p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bidi="ar"/>
              </w:rPr>
              <w:t>2021年9月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val="en-US" w:eastAsia="zh-CN" w:bidi="ar"/>
              </w:rPr>
              <w:t>16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bidi="ar"/>
              </w:rPr>
              <w:t>日-10月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val="en-US" w:eastAsia="zh-CN" w:bidi="ar"/>
              </w:rPr>
              <w:t>31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222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val="en-US" w:eastAsia="zh-CN" w:bidi="ar"/>
              </w:rPr>
              <w:t>88天</w:t>
            </w:r>
          </w:p>
        </w:tc>
        <w:tc>
          <w:tcPr>
            <w:tcW w:w="2325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bidi="ar"/>
              </w:rPr>
              <w:t>新疆屯河水泥有限责任公司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val="en-US" w:eastAsia="zh-CN" w:bidi="ar"/>
              </w:rPr>
              <w:t>开窑时间置换至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bidi="ar"/>
              </w:rPr>
              <w:t>新疆天山水泥股份有限公司达坂城分公司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bidi="ar"/>
              </w:rPr>
              <w:t>沙湾天山水泥有限责任公司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eastAsia="zh-Hans"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val="en-US" w:eastAsia="zh-Hans" w:bidi="ar"/>
              </w:rPr>
              <w:t>吐鲁番天山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eastAsia="zh-Hans" w:bidi="ar"/>
              </w:rPr>
              <w:t>2021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val="en-US" w:eastAsia="zh-Hans" w:bidi="ar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eastAsia="zh-Hans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val="en-US" w:eastAsia="zh-Hans" w:bidi="ar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eastAsia="zh-Hans" w:bidi="ar"/>
              </w:rPr>
              <w:t>6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val="en-US" w:eastAsia="zh-Hans" w:bidi="ar"/>
              </w:rPr>
              <w:t>日至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eastAsia="zh-Hans" w:bidi="ar"/>
              </w:rPr>
              <w:t>2021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val="en-US" w:eastAsia="zh-Hans" w:bidi="ar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eastAsia="zh-Hans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val="en-US" w:eastAsia="zh-Hans" w:bidi="ar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eastAsia="zh-Hans" w:bidi="ar"/>
              </w:rPr>
              <w:t>30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val="en-US" w:eastAsia="zh-Hans" w:bidi="ar"/>
              </w:rPr>
              <w:t>日提前开窑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eastAsia="zh-Hans" w:bidi="ar"/>
              </w:rPr>
              <w:t>25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val="en-US" w:eastAsia="zh-Hans" w:bidi="ar"/>
              </w:rPr>
              <w:t>天，超开天数在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eastAsia="zh-Hans" w:bidi="ar"/>
              </w:rPr>
              <w:t>9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val="en-US" w:eastAsia="zh-Hans" w:bidi="ar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eastAsia="zh-Hans" w:bidi="ar"/>
              </w:rPr>
              <w:t>-10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val="en-US" w:eastAsia="zh-Hans" w:bidi="ar"/>
              </w:rPr>
              <w:t>月期间补足。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40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Cs w:val="21"/>
              </w:rPr>
              <w:t>2</w:t>
            </w:r>
          </w:p>
        </w:tc>
        <w:tc>
          <w:tcPr>
            <w:tcW w:w="195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bidi="ar"/>
              </w:rPr>
              <w:t>吐鲁番天山水泥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bidi="ar"/>
              </w:rPr>
              <w:t>有限责任公司</w:t>
            </w:r>
          </w:p>
        </w:tc>
        <w:tc>
          <w:tcPr>
            <w:tcW w:w="121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bidi="ar"/>
              </w:rPr>
              <w:t>Φ4.0×60</w:t>
            </w:r>
          </w:p>
        </w:tc>
        <w:tc>
          <w:tcPr>
            <w:tcW w:w="81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bidi="ar"/>
              </w:rPr>
              <w:t>2500</w:t>
            </w:r>
          </w:p>
        </w:tc>
        <w:tc>
          <w:tcPr>
            <w:tcW w:w="960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9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bidi="ar"/>
              </w:rPr>
              <w:t>2021年4月16日-4月20日；</w:t>
            </w:r>
          </w:p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bidi="ar"/>
              </w:rPr>
              <w:t>2021年8月24日-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val="en-US" w:eastAsia="zh-CN" w:bidi="ar"/>
              </w:rPr>
              <w:t>9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val="en-US" w:eastAsia="zh-CN" w:bidi="ar"/>
              </w:rPr>
              <w:t>15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bidi="ar"/>
              </w:rPr>
              <w:t>日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val="en-US" w:eastAsia="zh-CN" w:bidi="ar"/>
              </w:rPr>
              <w:t>;</w:t>
            </w:r>
          </w:p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val="en-US" w:eastAsia="zh-CN" w:bidi="ar"/>
              </w:rPr>
              <w:t>2021年10月15日-10月31日</w:t>
            </w:r>
          </w:p>
        </w:tc>
        <w:tc>
          <w:tcPr>
            <w:tcW w:w="222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Cs w:val="21"/>
                <w:lang w:val="en-US" w:eastAsia="zh-CN"/>
              </w:rPr>
              <w:t>44天</w:t>
            </w:r>
          </w:p>
        </w:tc>
        <w:tc>
          <w:tcPr>
            <w:tcW w:w="2325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40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Cs w:val="21"/>
              </w:rPr>
              <w:t>3</w:t>
            </w:r>
          </w:p>
        </w:tc>
        <w:tc>
          <w:tcPr>
            <w:tcW w:w="195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bidi="ar"/>
              </w:rPr>
              <w:t>沙湾天山水泥有限责任公司</w:t>
            </w:r>
          </w:p>
        </w:tc>
        <w:tc>
          <w:tcPr>
            <w:tcW w:w="121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bidi="ar"/>
              </w:rPr>
              <w:t>Φ3.3*50m</w:t>
            </w:r>
          </w:p>
        </w:tc>
        <w:tc>
          <w:tcPr>
            <w:tcW w:w="81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bidi="ar"/>
              </w:rPr>
              <w:t>1000</w:t>
            </w:r>
          </w:p>
        </w:tc>
        <w:tc>
          <w:tcPr>
            <w:tcW w:w="960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9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bidi="ar"/>
              </w:rPr>
              <w:t>2021年10月23日-10月31日</w:t>
            </w:r>
          </w:p>
        </w:tc>
        <w:tc>
          <w:tcPr>
            <w:tcW w:w="222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Cs w:val="21"/>
                <w:lang w:val="en-US" w:eastAsia="zh-CN"/>
              </w:rPr>
              <w:t>9天</w:t>
            </w:r>
          </w:p>
        </w:tc>
        <w:tc>
          <w:tcPr>
            <w:tcW w:w="2325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9" w:hRule="atLeast"/>
        </w:trPr>
        <w:tc>
          <w:tcPr>
            <w:tcW w:w="40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Cs w:val="21"/>
              </w:rPr>
              <w:t>4</w:t>
            </w:r>
          </w:p>
        </w:tc>
        <w:tc>
          <w:tcPr>
            <w:tcW w:w="195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bidi="ar"/>
              </w:rPr>
              <w:t>新疆屯河水泥有限责任公司</w:t>
            </w:r>
          </w:p>
        </w:tc>
        <w:tc>
          <w:tcPr>
            <w:tcW w:w="121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bidi="ar"/>
              </w:rPr>
              <w:t>Φ4.6*68m</w:t>
            </w:r>
          </w:p>
        </w:tc>
        <w:tc>
          <w:tcPr>
            <w:tcW w:w="81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bidi="ar"/>
              </w:rPr>
              <w:t>4000</w:t>
            </w:r>
          </w:p>
        </w:tc>
        <w:tc>
          <w:tcPr>
            <w:tcW w:w="960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9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bidi="ar"/>
              </w:rPr>
              <w:t>全年停窑</w:t>
            </w:r>
          </w:p>
        </w:tc>
        <w:tc>
          <w:tcPr>
            <w:tcW w:w="222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Cs w:val="21"/>
                <w:lang w:val="en-US" w:eastAsia="zh-CN"/>
              </w:rPr>
              <w:t>169天</w:t>
            </w:r>
          </w:p>
        </w:tc>
        <w:tc>
          <w:tcPr>
            <w:tcW w:w="2325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40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Cs w:val="21"/>
              </w:rPr>
              <w:t>5</w:t>
            </w:r>
          </w:p>
        </w:tc>
        <w:tc>
          <w:tcPr>
            <w:tcW w:w="195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bidi="ar"/>
              </w:rPr>
              <w:t>新疆青松建材有限责任公司</w:t>
            </w:r>
          </w:p>
        </w:tc>
        <w:tc>
          <w:tcPr>
            <w:tcW w:w="121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bidi="ar"/>
              </w:rPr>
              <w:t>Φ5.6/6.0/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bidi="ar"/>
              </w:rPr>
              <w:t>5.4×78m</w:t>
            </w:r>
          </w:p>
        </w:tc>
        <w:tc>
          <w:tcPr>
            <w:tcW w:w="81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bidi="ar"/>
              </w:rPr>
              <w:t>7500</w:t>
            </w:r>
          </w:p>
        </w:tc>
        <w:tc>
          <w:tcPr>
            <w:tcW w:w="960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9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bidi="ar"/>
              </w:rPr>
              <w:t>2021年4月16日-5月4日；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bidi="ar"/>
              </w:rPr>
              <w:t>2021年9月1日-9月30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val="en-US" w:eastAsia="zh-CN" w:bidi="ar"/>
              </w:rPr>
              <w:t>日</w:t>
            </w:r>
          </w:p>
        </w:tc>
        <w:tc>
          <w:tcPr>
            <w:tcW w:w="222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Cs w:val="21"/>
                <w:lang w:val="en-US" w:eastAsia="zh-CN"/>
              </w:rPr>
              <w:t>49天</w:t>
            </w:r>
          </w:p>
        </w:tc>
        <w:tc>
          <w:tcPr>
            <w:tcW w:w="232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40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Cs w:val="21"/>
              </w:rPr>
              <w:t>6</w:t>
            </w:r>
          </w:p>
        </w:tc>
        <w:tc>
          <w:tcPr>
            <w:tcW w:w="195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bidi="ar"/>
              </w:rPr>
              <w:t>乌苏青松水泥有限责任公司</w:t>
            </w:r>
          </w:p>
        </w:tc>
        <w:tc>
          <w:tcPr>
            <w:tcW w:w="121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bidi="ar"/>
              </w:rPr>
              <w:t>Φ4.3×66m</w:t>
            </w:r>
          </w:p>
        </w:tc>
        <w:tc>
          <w:tcPr>
            <w:tcW w:w="81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bidi="ar"/>
              </w:rPr>
              <w:t>3000</w:t>
            </w:r>
          </w:p>
        </w:tc>
        <w:tc>
          <w:tcPr>
            <w:tcW w:w="960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9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bidi="ar"/>
              </w:rPr>
              <w:t>全年停窑</w:t>
            </w:r>
          </w:p>
        </w:tc>
        <w:tc>
          <w:tcPr>
            <w:tcW w:w="222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Cs w:val="21"/>
                <w:lang w:val="en-US" w:eastAsia="zh-CN"/>
              </w:rPr>
              <w:t>169天</w:t>
            </w:r>
          </w:p>
        </w:tc>
        <w:tc>
          <w:tcPr>
            <w:tcW w:w="232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40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Cs w:val="21"/>
              </w:rPr>
              <w:t>7</w:t>
            </w:r>
          </w:p>
        </w:tc>
        <w:tc>
          <w:tcPr>
            <w:tcW w:w="195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bidi="ar"/>
              </w:rPr>
              <w:t>新疆大唐鼎旺水泥有限公司</w:t>
            </w:r>
          </w:p>
        </w:tc>
        <w:tc>
          <w:tcPr>
            <w:tcW w:w="121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bidi="ar"/>
              </w:rPr>
              <w:t>Φ4.3×64</w:t>
            </w:r>
          </w:p>
        </w:tc>
        <w:tc>
          <w:tcPr>
            <w:tcW w:w="81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bidi="ar"/>
              </w:rPr>
              <w:t>3000</w:t>
            </w:r>
          </w:p>
        </w:tc>
        <w:tc>
          <w:tcPr>
            <w:tcW w:w="960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9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bidi="ar"/>
              </w:rPr>
              <w:t>全年停窑</w:t>
            </w:r>
          </w:p>
        </w:tc>
        <w:tc>
          <w:tcPr>
            <w:tcW w:w="222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Cs w:val="21"/>
                <w:lang w:val="en-US" w:eastAsia="zh-CN"/>
              </w:rPr>
              <w:t>169天</w:t>
            </w:r>
          </w:p>
        </w:tc>
        <w:tc>
          <w:tcPr>
            <w:tcW w:w="2325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bidi="ar"/>
              </w:rPr>
              <w:t>新疆大唐鼎旺水泥有限公司“错峰置换”开窑时间置换至新疆蒙鑫水泥有限公司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eastAsia="zh-Hans" w:bidi="ar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val="en-US" w:eastAsia="zh-Hans" w:bidi="ar"/>
              </w:rPr>
              <w:t>给蒙鑫水泥增加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eastAsia="zh-Hans" w:bidi="ar"/>
              </w:rPr>
              <w:t>36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val="en-US" w:eastAsia="zh-Hans" w:bidi="ar"/>
              </w:rPr>
              <w:t>天开窑时间，蒙鑫水泥全年开窑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eastAsia="zh-Hans" w:bidi="ar"/>
              </w:rPr>
              <w:t>115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val="en-US" w:eastAsia="zh-Hans" w:bidi="ar"/>
              </w:rPr>
              <w:t>天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8" w:hRule="atLeast"/>
        </w:trPr>
        <w:tc>
          <w:tcPr>
            <w:tcW w:w="40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Cs w:val="21"/>
              </w:rPr>
              <w:t>8</w:t>
            </w:r>
          </w:p>
        </w:tc>
        <w:tc>
          <w:tcPr>
            <w:tcW w:w="195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bidi="ar"/>
              </w:rPr>
              <w:t>新疆蒙鑫水泥有限公司</w:t>
            </w:r>
          </w:p>
        </w:tc>
        <w:tc>
          <w:tcPr>
            <w:tcW w:w="121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bidi="ar"/>
              </w:rPr>
              <w:t>Φ4.8×72</w:t>
            </w:r>
          </w:p>
        </w:tc>
        <w:tc>
          <w:tcPr>
            <w:tcW w:w="81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bidi="ar"/>
              </w:rPr>
              <w:t>4500</w:t>
            </w:r>
          </w:p>
        </w:tc>
        <w:tc>
          <w:tcPr>
            <w:tcW w:w="960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9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bidi="ar"/>
              </w:rPr>
              <w:t>2021年4月16日-4月30日；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bidi="ar"/>
              </w:rPr>
              <w:t>2021年9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val="en-US" w:eastAsia="zh-Hans" w:bidi="ar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eastAsia="zh-Hans" w:bidi="ar"/>
              </w:rPr>
              <w:t>23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bidi="ar"/>
              </w:rPr>
              <w:t>日-10月31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val="en-US" w:eastAsia="zh-CN" w:bidi="ar"/>
              </w:rPr>
              <w:t>日</w:t>
            </w:r>
          </w:p>
        </w:tc>
        <w:tc>
          <w:tcPr>
            <w:tcW w:w="222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Cs w:val="21"/>
                <w:lang w:val="en-US" w:eastAsia="zh-CN"/>
              </w:rPr>
              <w:t>54天</w:t>
            </w:r>
          </w:p>
        </w:tc>
        <w:tc>
          <w:tcPr>
            <w:tcW w:w="2325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40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Cs w:val="21"/>
              </w:rPr>
              <w:t>9</w:t>
            </w:r>
          </w:p>
        </w:tc>
        <w:tc>
          <w:tcPr>
            <w:tcW w:w="195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bidi="ar"/>
              </w:rPr>
              <w:t>新疆中建西部建设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bidi="ar"/>
              </w:rPr>
              <w:t>水泥制造有限公司</w:t>
            </w:r>
          </w:p>
        </w:tc>
        <w:tc>
          <w:tcPr>
            <w:tcW w:w="121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bidi="ar"/>
              </w:rPr>
              <w:t>Φ4.3×64m</w:t>
            </w:r>
          </w:p>
        </w:tc>
        <w:tc>
          <w:tcPr>
            <w:tcW w:w="81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bidi="ar"/>
              </w:rPr>
              <w:t>3000</w:t>
            </w:r>
          </w:p>
        </w:tc>
        <w:tc>
          <w:tcPr>
            <w:tcW w:w="960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9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bidi="ar"/>
              </w:rPr>
              <w:t>2021年4月16日-4月20日；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bidi="ar"/>
              </w:rPr>
              <w:t>2021年 8月8日-10月31</w:t>
            </w:r>
          </w:p>
        </w:tc>
        <w:tc>
          <w:tcPr>
            <w:tcW w:w="222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Cs w:val="21"/>
                <w:lang w:val="en-US" w:eastAsia="zh-CN"/>
              </w:rPr>
              <w:t>90天</w:t>
            </w:r>
          </w:p>
        </w:tc>
        <w:tc>
          <w:tcPr>
            <w:tcW w:w="232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40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95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bidi="ar"/>
              </w:rPr>
              <w:t>新光建材有限责任公司</w:t>
            </w:r>
          </w:p>
        </w:tc>
        <w:tc>
          <w:tcPr>
            <w:tcW w:w="121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bidi="ar"/>
              </w:rPr>
              <w:t>Φ3.2×50</w:t>
            </w:r>
          </w:p>
        </w:tc>
        <w:tc>
          <w:tcPr>
            <w:tcW w:w="81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bidi="ar"/>
              </w:rPr>
              <w:t>1000</w:t>
            </w:r>
          </w:p>
        </w:tc>
        <w:tc>
          <w:tcPr>
            <w:tcW w:w="960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9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bidi="ar"/>
              </w:rPr>
              <w:t>全年停窑</w:t>
            </w:r>
          </w:p>
        </w:tc>
        <w:tc>
          <w:tcPr>
            <w:tcW w:w="222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Cs w:val="21"/>
                <w:lang w:val="en-US" w:eastAsia="zh-CN"/>
              </w:rPr>
              <w:t>169天</w:t>
            </w:r>
          </w:p>
        </w:tc>
        <w:tc>
          <w:tcPr>
            <w:tcW w:w="232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40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95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bidi="ar"/>
              </w:rPr>
              <w:t>吐鲁番成汇美建材有限公司</w:t>
            </w:r>
          </w:p>
        </w:tc>
        <w:tc>
          <w:tcPr>
            <w:tcW w:w="121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bidi="ar"/>
              </w:rPr>
              <w:t>Φ3.0×56m</w:t>
            </w:r>
          </w:p>
        </w:tc>
        <w:tc>
          <w:tcPr>
            <w:tcW w:w="81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bidi="ar"/>
              </w:rPr>
              <w:t>800</w:t>
            </w:r>
          </w:p>
        </w:tc>
        <w:tc>
          <w:tcPr>
            <w:tcW w:w="960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9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bidi="ar"/>
              </w:rPr>
              <w:t>全年停窑</w:t>
            </w:r>
          </w:p>
        </w:tc>
        <w:tc>
          <w:tcPr>
            <w:tcW w:w="222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Cs w:val="21"/>
                <w:lang w:val="en-US" w:eastAsia="zh-CN"/>
              </w:rPr>
              <w:t>169天</w:t>
            </w:r>
          </w:p>
        </w:tc>
        <w:tc>
          <w:tcPr>
            <w:tcW w:w="232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光中楷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SC-Medi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SC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寰蒋闆呴粦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”“Times New Roman”“">
    <w:altName w:val="宋体"/>
    <w:panose1 w:val="00000000000000000000"/>
    <w:charset w:val="01"/>
    <w:family w:val="roman"/>
    <w:pitch w:val="default"/>
    <w:sig w:usb0="00000000" w:usb1="00000000" w:usb2="00000000" w:usb3="00000000" w:csb0="000001F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LKATIP Basma Tom">
    <w:altName w:val="Times New Roman"/>
    <w:panose1 w:val="02000000000000000000"/>
    <w:charset w:val="00"/>
    <w:family w:val="auto"/>
    <w:pitch w:val="default"/>
    <w:sig w:usb0="00000000" w:usb1="0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407CEA"/>
    <w:rsid w:val="5540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2021-03-10T10:32:00Z</dcterms:created>
  <dc:creator>热亚提</dc:creator>
  <cp:lastModifiedBy>热亚提</cp:lastModifiedBy>
  <dcterms:modified xsi:type="dcterms:W3CDTF">2021-03-10T10:32:45Z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