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uppressLineNumbers w:val="0"/>
        <w:tabs>
          <w:tab w:val="left" w:pos="6609"/>
        </w:tabs>
        <w:kinsoku/>
        <w:wordWrap/>
        <w:overflowPunct/>
        <w:topLinePunct w:val="0"/>
        <w:autoSpaceDE/>
        <w:autoSpaceDN/>
        <w:bidi w:val="0"/>
        <w:adjustRightInd/>
        <w:snapToGrid/>
        <w:spacing w:before="0" w:beforeAutospacing="0" w:after="0" w:afterAutospacing="0" w:line="540" w:lineRule="exact"/>
        <w:ind w:left="0" w:leftChars="0" w:right="0"/>
        <w:jc w:val="both"/>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附件</w:t>
      </w:r>
      <w:r>
        <w:rPr>
          <w:rFonts w:hint="eastAsia" w:ascii="Times New Roman" w:hAnsi="Times New Roman" w:eastAsia="方正黑体_GBK" w:cs="Times New Roman"/>
          <w:b w:val="0"/>
          <w:bCs w:val="0"/>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default" w:ascii="Times New Roman" w:hAnsi="Times New Roman" w:eastAsia="宋体" w:cs="Times New Roman"/>
          <w:sz w:val="21"/>
          <w:szCs w:val="2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关于在准东经济技术开发区建设兵团产业园区 乌鲁木齐产业园区的实施意见</w:t>
      </w:r>
    </w:p>
    <w:p>
      <w:pPr>
        <w:keepNext w:val="0"/>
        <w:keepLines w:val="0"/>
        <w:pageBreakBefore w:val="0"/>
        <w:widowControl w:val="0"/>
        <w:kinsoku/>
        <w:wordWrap/>
        <w:overflowPunct/>
        <w:topLinePunct w:val="0"/>
        <w:autoSpaceDE/>
        <w:autoSpaceDN/>
        <w:bidi w:val="0"/>
        <w:adjustRightInd/>
        <w:snapToGrid/>
        <w:spacing w:line="540" w:lineRule="exact"/>
        <w:ind w:left="419" w:leftChars="0" w:hanging="419" w:hangingChars="131"/>
        <w:jc w:val="center"/>
        <w:textAlignment w:val="auto"/>
        <w:rPr>
          <w:rFonts w:hint="eastAsia" w:ascii="楷体" w:hAnsi="楷体" w:eastAsia="楷体" w:cs="楷体"/>
          <w:color w:val="000000"/>
          <w:sz w:val="21"/>
          <w:szCs w:val="24"/>
        </w:rPr>
      </w:pPr>
      <w:r>
        <w:rPr>
          <w:rFonts w:hint="eastAsia" w:ascii="楷体" w:hAnsi="楷体" w:eastAsia="楷体" w:cs="楷体"/>
        </w:rPr>
        <w:t>（修</w:t>
      </w:r>
      <w:r>
        <w:rPr>
          <w:rFonts w:hint="eastAsia" w:ascii="楷体" w:hAnsi="楷体" w:eastAsia="楷体" w:cs="楷体"/>
          <w:lang w:val="en-US" w:eastAsia="zh-CN"/>
        </w:rPr>
        <w:t xml:space="preserve"> </w:t>
      </w:r>
      <w:r>
        <w:rPr>
          <w:rFonts w:hint="eastAsia" w:ascii="楷体" w:hAnsi="楷体" w:eastAsia="楷体" w:cs="楷体"/>
        </w:rPr>
        <w:t>订</w:t>
      </w:r>
      <w:r>
        <w:rPr>
          <w:rFonts w:hint="eastAsia" w:ascii="楷体" w:hAnsi="楷体" w:eastAsia="楷体" w:cs="楷体"/>
          <w:lang w:val="en-US" w:eastAsia="zh-CN"/>
        </w:rPr>
        <w:t xml:space="preserve"> </w:t>
      </w:r>
      <w:r>
        <w:rPr>
          <w:rFonts w:hint="eastAsia" w:ascii="楷体" w:hAnsi="楷体" w:eastAsia="楷体" w:cs="楷体"/>
        </w:rPr>
        <w:t>稿）</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楷体" w:hAnsi="楷体" w:eastAsia="楷体" w:cs="楷体"/>
          <w:sz w:val="21"/>
          <w:szCs w:val="2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lang w:bidi="ar"/>
        </w:rPr>
        <w:t>为全面贯彻习近平总书记关于开发区工作的重要指示批示精神，锚定党中央赋予新疆的“五大战略定位”，深入贯彻落实自治区党委加快推动准东经济技术开发区建设和高质量发展的战略部署，持续深化园区（开发区）管理制度改革，积极推进国家现代煤化工产业示范区建设，增强园区引领辐射带动作用，现就在能源资源丰富、基础设施较为完善、环境承载能力相对较强的准东经济技术开发区建设兵团准东产业园区、乌鲁木齐准东产业园区（以下简称兵准园区、乌准园区）制定实施意见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黑体" w:cs="Times New Roman"/>
        </w:rPr>
      </w:pPr>
      <w:r>
        <w:rPr>
          <w:rFonts w:hint="default" w:ascii="Times New Roman" w:hAnsi="Times New Roman" w:eastAsia="黑体" w:cs="Times New Roman"/>
        </w:rPr>
        <w:t>一、重点工作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方正楷体_GBK" w:cs="Times New Roman"/>
        </w:rPr>
      </w:pPr>
      <w:r>
        <w:rPr>
          <w:rFonts w:hint="default" w:ascii="Times New Roman" w:hAnsi="Times New Roman" w:eastAsia="方正楷体_GBK" w:cs="Times New Roman"/>
        </w:rPr>
        <w:t>（一）确定合作模式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采取“园中园+相对独立建设”的方式，从准东经济技术开发区彩北、将军庙区域各单独划出50平方公里土地，由兵团、乌鲁木齐市分别设立兵准园区、乌准园区，作为准东经济技术开发区相对独立的区域，由兵团、乌鲁木齐市分别负责建设运营管理。相关社会事务需准东经济技术开发区提供服务的，准东经济技术开发区积极支持配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1.组织架构。兵团、乌鲁木齐市分别成立兵准园区管委会、乌准园区管委会，各自负责园区内基础设施、产业招商、项目管理、安全生产、环境保护等。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2.规划管理。兵准园区、乌准园区按照《准东经济技术开发区国土空间专项规划》进行本园区的规划建设，相关规划需征求准东经济技术开发区意见，由兵团、乌鲁木齐市负责审批或上一级相关部门审批。入驻园区项目按现行政策分级审批，实行整体规划、分期建设。兵团、乌鲁木齐市参与《准东经济技术开发区国土空间专项规划》的制定和修编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3.基础设施。兵准园区、乌准园区开发运营由兵团、乌鲁木齐市分别负责。园区内部基础设施建设分别由兵团、乌鲁木齐市负责，园区外部基础设施由准东经济技术开发区统筹。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4.社会事务。由兵团、乌鲁木齐市全权负责兵准园区、乌准园区内部社会事务。鼓励通过购买服务等方式，将园区内部社会事务委托给第三方经营管理。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5.税收分成。属于地方财政收入的各项税收（含中央与地方共享税种地方分成部分）,由兵准园区、乌准园区按8:2比例分成，即：兵团和乌鲁木齐市分别分成80%,准东经济技术开发区分成20%。同时，入驻兵准园区的兵团企业在税务系统中取消兵团企业标识，每年地方税收分成由昌吉回族自治州（准东经济技术开发区）分别与兵团、乌鲁木齐市核算。</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6.指标统计。兵准园区、乌准园区的地区生产总值、工业总产值、固定资产投资额、进出口额、外商投资额等主要经济指标由兵团、乌鲁木齐市分别统计核算。在政府内部考核时，按照各方收益比例分配。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7.用地管理。有权限的县（市）人民政府按法定程序将相关土地管理权限授权给兵准园区、乌准园区管理机构，负责园区土地管理和使用。园区内引进产业项目，符合《贯彻落实对口支援受援地区土地出让收入和新增建设用地土地有偿使用费减免政策实施办法》（新财综〔2022〕48号）要求，可享受土地出让收入和新增建设用地土地有偿使用费减免政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8.支持政策。兵团、乌鲁木齐市、准东经济技术开发区要牢固树立“一盘棋”思想，形成发展合力。兵准园区、乌准园区作为准东经济技术开发区“园中园”，入驻项目同等享受国家、自治区有关支持准东经济技术开发区高质量发展的相关政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9.</w:t>
      </w:r>
      <w:r>
        <w:rPr>
          <w:rFonts w:hint="default" w:ascii="Times New Roman" w:hAnsi="Times New Roman" w:eastAsia="仿宋_GB2312" w:cs="Times New Roman"/>
          <w:kern w:val="0"/>
          <w:shd w:val="clear" w:color="auto" w:fill="FFFFFF"/>
          <w:lang w:bidi="ar"/>
        </w:rPr>
        <w:t>碳排放“双控”、生态环境等约束性指标。对兵团、乌鲁木齐市原有企业迁入的项目，由迁出地自带指标解决。对兵团、乌鲁木齐市新引进的项目，由引进方解决项目碳排放、污染物排放等约束性指标；对兵团、乌鲁木齐市新引进“两高”工业项目，由引进方牵头组织开展“两高”项目论证，按规定开展相关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10.安全生产和应急救援。兵团、乌鲁木齐市分别负责兵准园区、乌准园区内安全生产管理工作，准东经济技术开发区要加强对两个园区安全生产工作的监督指导。园区按照要求建立安全生产应急救援队伍，纳入准东经济技术开发区救援体系，实行统一调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rPr>
      </w:pPr>
      <w:r>
        <w:rPr>
          <w:rFonts w:hint="default" w:ascii="Times New Roman" w:hAnsi="Times New Roman" w:eastAsia="方正楷体_GBK" w:cs="Times New Roman"/>
        </w:rPr>
        <w:t>（二）明确产业方向</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兵准园区、乌准园区的产业发展要依据准东经济技术开发区产业规划，重点发展煤电、现代煤化工、煤电冶、新材料、新能源产业，培育发展先进装备制造业。坚持把存量企业搬迁、增量企业入驻与兵团、乌鲁木齐市城市“腾笼换鸟”、产业转型升级和创新发展等统筹起来，高标准招商、高起点开发、高科技支撑、高水平建设、高效益发展。充分利用准东区域能源资源优势，加快煤炭清洁高效利用，提高资源就地转化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rPr>
      </w:pPr>
      <w:r>
        <w:rPr>
          <w:rFonts w:hint="default" w:ascii="Times New Roman" w:hAnsi="Times New Roman" w:eastAsia="方正楷体_GBK" w:cs="Times New Roman"/>
        </w:rPr>
        <w:t>（三）落实责任分工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1.兵团、乌鲁木齐市落实开发建设主体责任。兵团、乌鲁木齐市分别组建园区管理机构，提出园区建设具体方案和工作计划，明确重点任务时间表、路线图。兵团、乌鲁木齐市要对搬迁企业进行摸排梳理，分别提出企业搬迁和拟引进项目工作方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2.昌吉回族自治州、准东经济技术开发区落实协作配合主体责任。会同兵团、乌鲁木齐市做好《准东经济技术开发区国土空间专项规划》编制和修订工作，以及园区选址、土地征收、矿产资源等要素保障服务工作。加强与兵团、乌鲁木齐市及自治区相关部门的协调对接，推进园区建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3.自治区、兵团相关部门按照职责分工做好配合与服务。发展改革部门负责做好项目审批、重点项目纳入规划等工作；工业和信息化部门负责落实产业政策，推进产业按规划布局；财政部门负责制定兵团、乌鲁木齐市与准东经济技术开发区的税收分成细则；自然资源部门负责指导准东经济技术开发区编制国土空间专项规划，会同自治区相关部门、昌吉回族自治州优化园区用地规模和布局，推进准东煤炭资源合理开发利用等工作；生态环境部门负责做好规划环评、项目环评的指导工作；水利部门负责做好园区水资源论证工作；统计部门负责做好统计指标的统计、核算和发布；应急管理、市场监管、人力资源和社会保障等部门按照各自职能做好相关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方正楷体_GBK" w:cs="Times New Roman"/>
        </w:rPr>
      </w:pPr>
      <w:r>
        <w:rPr>
          <w:rFonts w:hint="default" w:ascii="Times New Roman" w:hAnsi="Times New Roman" w:eastAsia="方正楷体_GBK" w:cs="Times New Roman"/>
        </w:rPr>
        <w:t>（四）制定实施步骤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按照“统一规划、基础先行、分期实施、突出重点”的原则，由兵团、乌鲁木齐市、昌吉回族自治州及相关部门各司其职，有序推进兵准园区、乌准园区建设。到2030年，园区路网、管网、电力等基础配套设施基本完善，推进一批重点产业项目建成达效；到2035年，园区产业体系形成，产业链条完善，综合承载能力和核心竞争力显著增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黑体" w:cs="Times New Roman"/>
        </w:rPr>
      </w:pPr>
      <w:r>
        <w:rPr>
          <w:rFonts w:hint="default" w:ascii="Times New Roman" w:hAnsi="Times New Roman" w:eastAsia="黑体" w:cs="Times New Roman"/>
        </w:rPr>
        <w:t>二、组织保障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rPr>
        <w:t>在自治区党委的领导下，建立兵准园区、乌准园区建设工作协调机制，由自治区分管领导、兵团分管领导牵头，统筹乌鲁木齐市、昌吉回族自治州及自治区、兵团相关部门、准东经济技术开发区，实行常态化协调运转模式，重点研究统筹要素保障、重大项目推进及跨区域利益分配等重大事项及突出问题。自治区工业和信息化厅会同兵团工业和信息化局负责日常工作。昌吉回族自治州要支持兵地企业在园区入驻，推动兵准园区、乌准园区建设稳步实施，取得成效。兵团、乌鲁木齐市负责指导兵准园区、乌准园区各项建设工作，定期对兵准园区、乌准园区工作落实情况开展督促检查，对重大事项及时向自治区党委、自治区人民政府报告。</w:t>
      </w:r>
    </w:p>
    <w:sectPr>
      <w:headerReference r:id="rId3" w:type="first"/>
      <w:footerReference r:id="rId5" w:type="first"/>
      <w:footerReference r:id="rId4" w:type="default"/>
      <w:pgSz w:w="11906" w:h="16838"/>
      <w:pgMar w:top="2098" w:right="1474" w:bottom="1984" w:left="1587" w:header="850" w:footer="1417" w:gutter="0"/>
      <w:pgNumType w:fmt="numberInDash" w:start="1"/>
      <w:cols w:space="0" w:num="1"/>
      <w:titlePg/>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Kingsoft Sign">
    <w:panose1 w:val="05050102010706020507"/>
    <w:charset w:val="00"/>
    <w:family w:val="auto"/>
    <w:pitch w:val="default"/>
    <w:sig w:usb0="00000000" w:usb1="00000000" w:usb2="00000000" w:usb3="00000000" w:csb0="8000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hint="eastAsia"/>
      </w:rPr>
    </w:pPr>
    <w:bookmarkStart w:id="0" w:name="_GoBack"/>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v:textbox>
            </v:shape>
          </w:pict>
        </mc:Fallback>
      </mc:AlternateContent>
    </w:r>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trackRevisions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107"/>
    <w:rsid w:val="00007B47"/>
    <w:rsid w:val="000403EA"/>
    <w:rsid w:val="000714BB"/>
    <w:rsid w:val="000B60FC"/>
    <w:rsid w:val="000D78F9"/>
    <w:rsid w:val="00106236"/>
    <w:rsid w:val="00175CA2"/>
    <w:rsid w:val="001F02AC"/>
    <w:rsid w:val="001F18B6"/>
    <w:rsid w:val="00253526"/>
    <w:rsid w:val="002B3B91"/>
    <w:rsid w:val="002B68AA"/>
    <w:rsid w:val="002C5847"/>
    <w:rsid w:val="002F4D13"/>
    <w:rsid w:val="00394166"/>
    <w:rsid w:val="003A5935"/>
    <w:rsid w:val="00485033"/>
    <w:rsid w:val="00523028"/>
    <w:rsid w:val="00541C68"/>
    <w:rsid w:val="00595BA5"/>
    <w:rsid w:val="005D16C4"/>
    <w:rsid w:val="006010EA"/>
    <w:rsid w:val="006A2DC8"/>
    <w:rsid w:val="006B2ED5"/>
    <w:rsid w:val="006D7880"/>
    <w:rsid w:val="00716E09"/>
    <w:rsid w:val="00744D09"/>
    <w:rsid w:val="007961C2"/>
    <w:rsid w:val="007C3107"/>
    <w:rsid w:val="007E2FB4"/>
    <w:rsid w:val="00823B40"/>
    <w:rsid w:val="00830DCE"/>
    <w:rsid w:val="0086213F"/>
    <w:rsid w:val="008F5FE6"/>
    <w:rsid w:val="0090539D"/>
    <w:rsid w:val="00996CC8"/>
    <w:rsid w:val="009C1A2E"/>
    <w:rsid w:val="009F6F1F"/>
    <w:rsid w:val="00A243BB"/>
    <w:rsid w:val="00A3130E"/>
    <w:rsid w:val="00A3149B"/>
    <w:rsid w:val="00AB75A0"/>
    <w:rsid w:val="00AF6B77"/>
    <w:rsid w:val="00B82227"/>
    <w:rsid w:val="00BE0DC4"/>
    <w:rsid w:val="00BE67EB"/>
    <w:rsid w:val="00C51C53"/>
    <w:rsid w:val="00C71101"/>
    <w:rsid w:val="00D71B9E"/>
    <w:rsid w:val="00D7662B"/>
    <w:rsid w:val="00DB56FA"/>
    <w:rsid w:val="00DE6EC1"/>
    <w:rsid w:val="00E705B4"/>
    <w:rsid w:val="00E92A55"/>
    <w:rsid w:val="00EB71A9"/>
    <w:rsid w:val="00EC6D8E"/>
    <w:rsid w:val="00F2305B"/>
    <w:rsid w:val="00F62655"/>
    <w:rsid w:val="00F6316A"/>
    <w:rsid w:val="07020553"/>
    <w:rsid w:val="0B281BE8"/>
    <w:rsid w:val="0E711C32"/>
    <w:rsid w:val="165E0B2B"/>
    <w:rsid w:val="1B73668A"/>
    <w:rsid w:val="1CFA73B6"/>
    <w:rsid w:val="1D0C2F28"/>
    <w:rsid w:val="1D8D7078"/>
    <w:rsid w:val="23D24E38"/>
    <w:rsid w:val="25B731F5"/>
    <w:rsid w:val="26FB13A9"/>
    <w:rsid w:val="3A6FFD5E"/>
    <w:rsid w:val="457D533F"/>
    <w:rsid w:val="48317C55"/>
    <w:rsid w:val="4B3264CB"/>
    <w:rsid w:val="501C3868"/>
    <w:rsid w:val="580E69E5"/>
    <w:rsid w:val="5ADF3731"/>
    <w:rsid w:val="5DB5A69C"/>
    <w:rsid w:val="630B2C2D"/>
    <w:rsid w:val="6A4826EF"/>
    <w:rsid w:val="6B7F9173"/>
    <w:rsid w:val="6BBF92C5"/>
    <w:rsid w:val="6F20C8A7"/>
    <w:rsid w:val="6F2ED549"/>
    <w:rsid w:val="6FF1C3E9"/>
    <w:rsid w:val="73BE6422"/>
    <w:rsid w:val="75E169E7"/>
    <w:rsid w:val="77BB30FD"/>
    <w:rsid w:val="7B974976"/>
    <w:rsid w:val="7E95042F"/>
    <w:rsid w:val="A1BF0ECE"/>
    <w:rsid w:val="DFBBDF07"/>
    <w:rsid w:val="EFBEDFB1"/>
    <w:rsid w:val="EFD7CE2D"/>
    <w:rsid w:val="FE16A6F6"/>
    <w:rsid w:val="FE227FFE"/>
    <w:rsid w:val="FED517DE"/>
    <w:rsid w:val="FEEFBD61"/>
    <w:rsid w:val="FEFA87C2"/>
    <w:rsid w:val="FF766CAF"/>
    <w:rsid w:val="FFFF971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next w:val="1"/>
    <w:qFormat/>
    <w:uiPriority w:val="99"/>
    <w:pPr>
      <w:spacing w:line="580" w:lineRule="exact"/>
    </w:pPr>
    <w:rPr>
      <w:rFonts w:ascii="宋体" w:hAnsi="宋体" w:eastAsia="仿宋" w:cs="宋体"/>
      <w:szCs w:val="31"/>
      <w:lang w:val="zh-CN" w:bidi="zh-CN"/>
    </w:rPr>
  </w:style>
  <w:style w:type="paragraph" w:styleId="5">
    <w:name w:val="Plain Text"/>
    <w:basedOn w:val="1"/>
    <w:qFormat/>
    <w:uiPriority w:val="0"/>
    <w:rPr>
      <w:rFonts w:ascii="宋体" w:hAnsi="Courier New" w:eastAsia="宋体" w:cs="Courier New"/>
      <w:sz w:val="21"/>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Calibri" w:hAnsi="Calibri" w:eastAsia="宋体"/>
      <w:kern w:val="0"/>
      <w:sz w:val="24"/>
      <w:szCs w:val="24"/>
      <w:lang w:bidi="ar"/>
    </w:rPr>
  </w:style>
  <w:style w:type="paragraph" w:styleId="9">
    <w:name w:val="Body Text First Indent"/>
    <w:basedOn w:val="4"/>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6</Pages>
  <Words>0</Words>
  <Characters>5</Characters>
  <Lines>1</Lines>
  <Paragraphs>1</Paragraphs>
  <TotalTime>0</TotalTime>
  <ScaleCrop>false</ScaleCrop>
  <LinksUpToDate>false</LinksUpToDate>
  <CharactersWithSpaces>5</CharactersWithSpaces>
  <Application>WPS Office WWO_wpscloud_20240423112748-fbd0a80743</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2021-12-17T07:23:00Z</dcterms:created>
  <dc:creator>wellhope</dc:creator>
  <cp:lastModifiedBy>王睿</cp:lastModifiedBy>
  <cp:lastPrinted>2026-04-26T02:23:00Z</cp:lastPrinted>
  <dcterms:modified xsi:type="dcterms:W3CDTF">2026-04-27T11:22:05Z</dcterms:modified>
  <dc:title>新党办函〔2018〕24号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1C7416EF6BFF33C8B244EB693D7C1C89_43</vt:lpwstr>
  </property>
</Properties>
</file>