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both"/>
        <w:outlineLvl w:val="0"/>
        <w:rPr>
          <w:rFonts w:hint="eastAsia" w:ascii="黑体" w:eastAsia="黑体"/>
          <w:b w:val="0"/>
          <w:sz w:val="44"/>
          <w:szCs w:val="44"/>
        </w:rPr>
      </w:pPr>
    </w:p>
    <w:p>
      <w:pPr>
        <w:widowControl/>
        <w:spacing w:before="0" w:beforeLines="0" w:beforeAutospacing="0" w:after="0" w:afterLines="0" w:afterAutospacing="0" w:line="240" w:lineRule="auto"/>
        <w:jc w:val="center"/>
        <w:outlineLvl w:val="0"/>
        <w:rPr>
          <w:rFonts w:hint="eastAsia" w:ascii="黑体" w:eastAsia="黑体"/>
          <w:b w:val="0"/>
          <w:sz w:val="44"/>
          <w:szCs w:val="44"/>
        </w:rPr>
      </w:pPr>
    </w:p>
    <w:p>
      <w:pPr>
        <w:widowControl/>
        <w:spacing w:before="0" w:beforeLines="0" w:beforeAutospacing="0" w:after="0" w:afterLines="0" w:afterAutospacing="0" w:line="240" w:lineRule="auto"/>
        <w:jc w:val="center"/>
        <w:outlineLvl w:val="0"/>
        <w:rPr>
          <w:rFonts w:hint="eastAsia" w:ascii="黑体" w:eastAsia="黑体"/>
          <w:b w:val="0"/>
          <w:sz w:val="44"/>
          <w:szCs w:val="44"/>
        </w:rPr>
      </w:pPr>
      <w:r>
        <w:rPr>
          <w:rFonts w:hint="eastAsia" w:ascii="黑体" w:eastAsia="黑体"/>
          <w:b w:val="0"/>
          <w:sz w:val="44"/>
          <w:szCs w:val="44"/>
        </w:rPr>
        <w:t>新疆维吾尔自治区工业绿色低碳发展促进</w:t>
      </w:r>
    </w:p>
    <w:p>
      <w:pPr>
        <w:widowControl/>
        <w:spacing w:before="0" w:beforeLines="0" w:beforeAutospacing="0" w:after="0" w:afterLines="0" w:afterAutospacing="0" w:line="240" w:lineRule="auto"/>
        <w:jc w:val="center"/>
        <w:outlineLvl w:val="0"/>
        <w:rPr>
          <w:rFonts w:ascii="黑体" w:eastAsia="黑体"/>
          <w:sz w:val="44"/>
          <w:szCs w:val="44"/>
        </w:rPr>
      </w:pPr>
      <w:r>
        <w:rPr>
          <w:rFonts w:hint="eastAsia" w:ascii="黑体" w:eastAsia="黑体"/>
          <w:b w:val="0"/>
          <w:sz w:val="44"/>
          <w:szCs w:val="44"/>
        </w:rPr>
        <w:t>中心</w:t>
      </w: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承担工业和信息化领域碳达峰碳中和、节能降碳、绿色发展等相关法规、政策、规划及管理制度的分析研究、评估和宣传交流工作；推广工</w:t>
      </w:r>
      <w:bookmarkStart w:id="0" w:name="_GoBack"/>
      <w:bookmarkEnd w:id="0"/>
      <w:r>
        <w:rPr>
          <w:rFonts w:ascii="仿宋_GB2312" w:eastAsia="仿宋_GB2312"/>
          <w:b w:val="0"/>
          <w:sz w:val="32"/>
          <w:szCs w:val="32"/>
        </w:rPr>
        <w:t>业和信息化领域节能环保新产品、新装备、新技术的应用。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新疆维吾尔自治区工业绿色低碳发展促进中心</w:t>
      </w:r>
      <w:r>
        <w:rPr>
          <w:rFonts w:ascii="仿宋_GB2312" w:eastAsia="仿宋_GB2312"/>
          <w:b w:val="0"/>
          <w:sz w:val="32"/>
          <w:szCs w:val="32"/>
        </w:rPr>
        <w:t>2024年度，实有人数2人，其中：在职人员2人，减少9人；离休人员0人，较上年无变化；退休人员0人，减少8人。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eastAsia="zh-CN"/>
        </w:rPr>
        <w:t>新疆维吾尔自治区工业绿色低碳发展促进中心</w:t>
      </w:r>
      <w:r>
        <w:rPr>
          <w:rFonts w:ascii="仿宋_GB2312" w:eastAsia="仿宋_GB2312"/>
          <w:b w:val="0"/>
          <w:sz w:val="32"/>
          <w:szCs w:val="32"/>
        </w:rPr>
        <w:t>无下属预算单位，下设5个科室，分别是：办公室、法制监督室、监察一室、监察二室、监察三室。</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2024年度收入总计367.94万元，其中：本年收入合计328.24万元，使用非财政拨款结余（含专用结余）0.00万元，年初结转和结余39.70万元。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2024年度支出总计367.94万元，其中：本年支出合计318.71万元，结余分配0.00万元，年末结转和结余49.23万元。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收入支出总体与上年相比，增加23.01万元，增长6.67%，主要原因是：增加自治区工业节能减排专项资金预算收入。</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本年收入328.24万元，其中：财政拨款收入280.29万元,占85.39%；上级补助收入0.00万元,占0.00%；事业收入0.00万元，占0.00%；经营收入0.00万元,占0.00%；附属单位上缴收入0.00万元，占0.00%；其他收入47.95万元，占14.61%。</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本年支出318.71万元，其中：基本支出210.29万元，占65.98%；项目支出108.43万元，占34.02%；上缴上级支出0.00万元，占0.00%；经营支出0.00万元，占0.00%；对附属单位补助支出0.00万元，占0.00%。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2024年度财政拨款收入总计280.29万元，其中：年初财政拨款结转和结余0.00万元，本年财政拨款收入280.29万元。财政拨款支出总计280.29万元，其中：年末财政拨款结转和结余0.00万元，本年财政拨款支出280.29万元。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18.56万元，增长7.09%，主要原因是：增加自治区工业节能减排专项资金预算收入。与年初预算相比，年初预算数292.60万元，决算数280.29万元，预决算差异率-4.21%，主要原因是：2024年我单位性质由参公转为事业，部分在职人员隶属关系划转至工信厅业务处室，在职人员减少9人，导致产生预决算差异率。</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280.29万元，占本年支出合计的87.95%。与上年相比，增加18.56万元，增长7.09%，主要原因是：增加自治区工业节能减排专项资金预算收入。与年初预算相比，年初预算数292.60万元，决算数280.29万元，预决算差异率-4.21%，主要原因是：2024年我单位性质由参公转为事业，部分在职人员隶属关系划转至工信厅业务处室，在职人员减少9人，导致产生预决算差异率。</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社会保障和就业支出（类）70.59万元，占25.18%。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卫生健康支出（类）13.08万元，占4.67%。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节能环保支出（类）186.03万元，占66.37%。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住房保障支出（类）10.57万元，占3.77%。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1、社会保障和就业支出（类）行政事业单位养老支出（款）行政单位离退休（项）：支出决算数为18.05万元，比上年决算增加2.03万元，增长12.67%，主要原因是：退休人员待遇调增。</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13.27万元，比上年决算减少3.97万元，下降23.03%，主要原因是：2024年我单位性质由参公转为事业，部分在职人员隶属关系划转至工信厅业务处室，在职人员减少9人，导致机关事业单位基本养老保险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13.51万元，比上年决算增加13.51万元，增长100.00%，主要原因是：2024年我单位在职转退休1人，导致机关事业单位职业年金缴费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4、社会保障和就业支出（类）抚恤（款）死亡抚恤（项）：支出决算数为25.76万元，比上年决算增加25.76万元，增长100.00%，主要原因是：2024年我单位在职人员离世1人，导致死亡抚恤缴费支出增加。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行政单位医疗（项）：支出决算数为7.10万元，比上年决算减少2.30万元，下降24.47%，主要原因是：2024年我单位性质由参公转为事业，部分在职人员隶属关系划转至工信厅业务处室，在职人员减少9人，导致行政单位医疗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5.99万元，比上年决算减少1.93万元，下降24.37%，主要原因是：2024年我单位性质由参公转为事业，部分在职人员隶属关系划转至工信厅业务处室，在职人员减少9人，导致公务员医疗补助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节能环保支出（类）环境保护管理事务（款）行政运行（项）：支出决算数为116.03万元，比上年决算减少31.54万元，下降21.37%，主要原因是：2024年我单位性质由参公转为事业，部分在职人员隶属关系划转至工信厅业务处室，在职人员减少9人，导致人员经费缴费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8、节能环保支出（类）能源节约利用（款）能源节约利用（项）：支出决算数为70.00万元，比上年决算增加20.00万元，增长40.00%，主要原因是：增加自治区工业节能减排专项资金预算收入。</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住房保障支出（类）住房改革支出（款）住房公积金（项）：支出决算数为10.57万元，比上年决算减少3.01万元，下降22.16%，主要原因是：2024年我单位性质由参公转为事业，部分在职人员隶属关系划转至工信厅业务处室，在职人员减少9人，导致住房公积金缴费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210.29万元，其中：人员经费197.74万元，包括：基本工资、津贴补贴、奖金、机关事业单位基本养老保险缴费、职业年金缴费、职工基本医疗保险缴费、公务员医疗补助缴费、其他社会保障缴费、住房公积金、其他工资福利支出、退休费、抚恤金、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公用经费12.54万元，包括：办公费、邮电费、差旅费、工会经费、福利费、公务用车运行维护费和其他商品和服务支出。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1.60万元，与上年相比无变化，主要原因是：严格执行中央八项规定及实施细则，做到“三公”经费只减不增，无预算不支出。其中：因公出国（境）费支出0.00万元,占0.00%，与上年相比无变化，主要原因是：我单位无因公出国（境）费；公务用车购置及运行维护费支出1.60万元，占100.00%，与上年相比无变化，主要原因是：严格执行公务车用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1.60万元，其中：公务用车购置费0.00万元，公务用车运行维护费1.60万元。公务用车运行维护费开支内容包括车辆保险、停车过路费、车辆加油、车辆维修等费用。公务用车购置数0辆，公务用车保有量2辆。国有资产占用情况中固定资产车辆2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1.60万元，决算数1.60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1.60万元，决算数1.60万元，预决算差异率0.00%，主要原因是：严格执行公务用车管理制度，合理控制公务用车运行费用；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eastAsia="zh-CN"/>
        </w:rPr>
        <w:t>新疆维吾尔自治区工业绿色低碳发展促进中心</w:t>
      </w:r>
      <w:r>
        <w:rPr>
          <w:rFonts w:ascii="仿宋_GB2312" w:eastAsia="仿宋_GB2312"/>
          <w:b w:val="0"/>
          <w:sz w:val="32"/>
          <w:szCs w:val="32"/>
        </w:rPr>
        <w:t>单位（行政单位和参照公务员法管理事业单位）机关运行经费支出12.54万元，比上年增加1.76万元，增长16.33%，主要原因是：2024年预算在职人员新增一人导致机关运行经费增加。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2024年度政府采购支出总额20.52万元，其中：政府采购货物支出1.46万元、政府采购工程支出0.00万元、政府采购服务支出19.06万元。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授予中小企业合同金额18.76万元，占政府采购支出总额的91.42%，其中：授予小微企业合同金额18.76万元，占政府采购支出总额的91.42%。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57.97万元，其中：副部（省）级及以上领导用车0辆、主要负责人用车0辆、机要通信用车0辆、应急保障用车0辆、执法执勤用车0辆、特种专业技术用车0辆、离退休干部服务用车0辆、其他用车2辆，其他用车主要是：一般公务用车及其他车辆万利特面包车，万利特面包车已不能正常使用，待报废;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49.00万元，全年执行数38.10万元。预算绩效管理取得的成效：一是严格执行《工信厅全面预算绩效管理办法》，日常对项目资金加快预算执行，确保绩效监控和绩效评价执行率，规范各项预算执行活动,确保预算执行的准确性和规范性,发挥财政资金的最大效用,取得了良好的绩效成果；二是各项工作实施及资金使用情况均在绩效目标设定时限完成，在项目经费的使用上，在保证各项任务顺利完成的同时，严格落实厉行节约的原则；三是突出做好项目保障工作，确保项目质量和效益，助力经济高质量发展，维护社会稳定和长治久安。发现的问题及原因：一是预算绩效观念不强，工作质量待提高，部分科室对预算绩效管理工作重视高度程度还不足，工作缺乏主动性；对预算绩效管理工作对意义、框架、思路、操作规程认识不深入，申报绩效目标不够明确，设计的评价指标体系不科学、不严谨；二是评价指标体系不完善，实际操作有难度，绩效指标具体设置没有统一的明确规定，没有针对性较强的个性评价指标体系可供预算部门及单位借鉴。下一步改进措施：一是完善预算绩效管理基础工作，进一步完善预算绩效管理的各项制度，不断提升预算绩效管理的规范性；二是推进预算绩效管理专业化，引入第三方评价机制，形成内外部评价相互补充，形成预算单位和受托第三方评价机构各司其职、密切配合的机制，提高评价结果的权威性和公正性。三是组织业务培训，提高业务水平和能力，培养一批专业人才队伍。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370EB"/>
    <w:rsid w:val="2E1E51D4"/>
    <w:rsid w:val="39590DD3"/>
    <w:rsid w:val="481805E4"/>
    <w:rsid w:val="49730B9B"/>
    <w:rsid w:val="66A06A96"/>
    <w:rsid w:val="707F4CD8"/>
    <w:rsid w:val="78BB51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Office_11.8.2.8506_F1E327BC-269C-435d-A152-05C5408002CA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2025-09-03T16:02:00Z</dcterms:created>
  <dc:creator>Administrator.USER-20210616CT</dc:creator>
  <cp:lastModifiedBy>Administrator</cp:lastModifiedBy>
  <dcterms:modified xsi:type="dcterms:W3CDTF">2025-09-05T09:18:12Z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