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新疆维吾尔自治区中小企业发展促进中心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为自治区中小企业发展提供政策指导、创业创新、技术推广、市场开拓、信息服务、人才培养、管理培训、融资服务、法律咨询、合作交流等工作；承担工业和信息领域人才政策研究、人才评价、培训交流等方面工作；承担自治区轻工集体经济联合社日常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新疆维吾尔自治区中小企业发展促进中心2024年度，实有人数23人，其中：在职人员16人，减少2人；离休人员0人，较上年无变化；退休人员7人，较上年无变化；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新疆维吾尔自治区中小企业发展促进中心无下属预算单位，下设6个科室，分别是：综合管理部、资产与财务管理部、咨询与培训部、创业与创新服务部、融资与担保服务部、网络平台运营管理部。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2024年度收入总计1,243.47万元，其中：本年收入合计1,243.47万元，使用非财政拨款结余（含专用结余）0.00万元，年初结转和结余0.00万元。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2024年度支出总计1,243.47万元，其中：本年支出合计1,107.50万元，结余分配135.97万元，年末结转和结余0.00万元。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286.29万元，下降18.71%，主要原因是：从收入方面看，一是人员减少，财政拨款人员经费减少；二是2024年对外投资企业经营状况良好，公司正常进行投资分红，投资收益增加，导致使用非财政拨款结余（含专用结余）资金减少。从支出方面看，一是人员减少，导致人员经费减少；二是减少光明路线下展厅项目资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本年收入1,243.47万元，其中：财政拨款收入626.26万元,占50.36%；上级补助收入0.00万元,占0.00%；事业收入0.00万元，占0.00%；经营收入8.56万元,占0.69%；附属单位上缴收入0.00万元，占0.00%；其他收入608.64万元，占48.95%。</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本年支出1,107.50万元，其中：基本支出464.56万元，占41.95%；项目支出634.93万元，占57.33%；上缴上级支出0.00万元，占0.00%；经营支出8.01万元，占0.72%；对附属单位补助支出0.00万元，占0.00%。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2024年度财政拨款收入总计626.26万元，其中：年初财政拨款结转和结余0.00万元，本年财政拨款收入626.26万元。财政拨款支出总计626.26万元，其中：年末财政拨款结转和结余0.00万元，本年财政拨款支出626.26万元。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13.93万元，下降2.18%，主要原因是：两名在职人员调出，相应人员经费减少。与年初预算相比，年初预算数628.97万元，决算数626.26万元，预决算差异率-0.43%，主要原因是：两名在职人员调出，相应人员经费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626.26万元，占本年支出合计的56.55%。与上年相比，减少13.93万元，下降2.18%，主要原因是：两名在职人员调出，相应人员经费减少。与年初预算相比，年初预算数628.97万元，决算数626.26万元，预决算差异率-0.43%，主要原因是：两名在职人员调出，相应人员经费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社会保障和就业支出（类）57.50万元，占9.18%。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卫生健康支出（类）35.54万元，占5.67%。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资源勘探工业信息等支出（类）505.85万元，占80.77%。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住房保障支出（类）27.37万元，占4.37%。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6.02万元，比上年决算减少8.23万元，下降57.75%，主要原因是：退休人员不再缴纳医疗保险费，一般公共预算财政拨款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34.32万元，比上年决算增加0.88万元，增长2.63%，主要原因是：工资调标使社保基数增加，一般公共预算财政拨款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17.16万元，比上年决算增加0.44万元，增长2.63%，主要原因是：工资调标使社保基数增加，一般公共预算财政拨款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4、卫生健康支出（类）行政事业单位医疗（款）事业单位医疗（项）：支出决算数为19.28万元，比上年决算增加3.60万元，增长22.96%，主要原因是：工资调标使社保基数增加，一般公共预算财政拨款支出增加。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5、卫生健康支出（类）行政事业单位医疗（款）公务员医疗补助（项）：支出决算数为16.26万元，比上年决算增加1.63万元，增长11.14%，主要原因是：工资调标使社保基数增加，一般公共预算财政拨款支出增加。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支持中小企业发展和管理支出（款）中小企业发展专项（项）：支出决算数为250.00万元，与上年相比无变化，主要原因是：上一年度延续项目，一般公共预算财政拨款支出无变动。</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支持中小企业发展和管理支出（款）其他支持中小企业发展和管理支出（项）：支出决算数为255.85万元，比上年决算减少14.54万元，下降5.38%，主要原因是：两名在职人员调出，导致人员经费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8、住房保障支出（类）住房改革支出（款）住房公积金（项）：支出决算数为27.37万元，比上年决算增加2.29万元，增长9.13%，主要原因是：工资调标使住房公积金基数增加，一般公共预算财政拨款支出增加。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376.26万元，其中：人员经费350.72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公用经费25.55万元，包括：办公费、水费、邮电费、取暖费、差旅费、工会经费、福利费和其他商品和服务支出。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无财政拨款“三公”经费支出。其中：因公出国（境）费支出0.00万元,占0.00%，与上年相比无变化，主要原因是：无因公出国（境）费；公务用车购置及运行维护费支出0.00万元，占0.00%，与上年相比无变化，主要原因是：无公务用车购置及运行维护费；公务接待费支出0.00万元，占0.00%，与上年相比无变化，主要原因是：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无公务用车运行维护费。公务用车购置数0辆，公务用车保有量0辆。国有资产占用情况中固定资产车辆1辆，与公务用车保有量差异原因是：</w:t>
      </w:r>
      <w:r>
        <w:rPr>
          <w:rFonts w:hint="eastAsia" w:ascii="仿宋_GB2312" w:eastAsia="仿宋_GB2312"/>
          <w:b w:val="0"/>
          <w:sz w:val="32"/>
          <w:szCs w:val="32"/>
          <w:lang w:val="en-US" w:eastAsia="zh-CN"/>
        </w:rPr>
        <w:t>自有1</w:t>
      </w:r>
      <w:r>
        <w:rPr>
          <w:rFonts w:ascii="仿宋_GB2312" w:eastAsia="仿宋_GB2312"/>
          <w:b w:val="0"/>
          <w:sz w:val="32"/>
          <w:szCs w:val="32"/>
        </w:rPr>
        <w:t>辆</w:t>
      </w:r>
      <w:r>
        <w:rPr>
          <w:rFonts w:hint="eastAsia" w:ascii="仿宋_GB2312" w:eastAsia="仿宋_GB2312"/>
          <w:b w:val="0"/>
          <w:sz w:val="32"/>
          <w:szCs w:val="32"/>
          <w:lang w:val="en-US" w:eastAsia="zh-CN"/>
        </w:rPr>
        <w:t>车均</w:t>
      </w:r>
      <w:r>
        <w:rPr>
          <w:rFonts w:ascii="仿宋_GB2312" w:eastAsia="仿宋_GB2312"/>
          <w:b w:val="0"/>
          <w:sz w:val="32"/>
          <w:szCs w:val="32"/>
        </w:rPr>
        <w:t>使用</w:t>
      </w:r>
      <w:r>
        <w:rPr>
          <w:rFonts w:hint="eastAsia" w:ascii="仿宋_GB2312" w:eastAsia="仿宋_GB2312"/>
          <w:b w:val="0"/>
          <w:sz w:val="32"/>
          <w:szCs w:val="32"/>
          <w:lang w:eastAsia="zh-CN"/>
        </w:rPr>
        <w:t>非财政拨款资金。</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无财政拨款“三公”经费支出。其中：因公出国（境）费全年预算数0.00万元，决算数0.00万元，预决算差异率0.00%，主要原因是：无因公出国（境）费；公务用车购置费全年预算数0.00万元，决算数0.00万元，预决算差异率0.00%，主要原因是：无公务用车购置费；公务用车运行维护费全年预算数0.00万元，决算数0.00万元，预决算差异率0.00%，主要原因是：无公务用车运行维护费；公务接待费全年预算数0.00万元，决算数0.00万元，预决算差异率0.00%，主要原因是：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2024年度新疆维吾尔自治区中小企业发展促进中心单位（事业单位）公用经费支出25.55万元，比上年增加2.01万元，增长8.54%，主要原因是：人员工资调标，事业单位运行经费财政拨款增加。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2024年度政府采购支出总额371.97万元，其中：政府采购货物支出4.00万元、政府采购工程支出0.00万元、政府采购服务支出367.97万元。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授予中小企业合同金额371.69万元，占政府采购支出总额的99.92%，其中：授予小微企业合同金额371.69万元，占政府采购支出总额的99.92%。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2,593.38平方米，价值548.14万元。车辆1辆，价值27.46万元，其中：副部（省）级及以上领导用车0辆、主要负责人用车0辆、机要通信用车0辆、应急保障用车0辆、执法执勤用车0辆、特种专业技术用车0辆、离退休干部服务用车0辆、其他用车1辆，其他用车主要是：用于企业走访、机构调研等业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468.80万元，全年执行数384.96万元。预算绩效管理取得的成效：一是严格执行《工信厅全面预算绩效管理办法》，规范和加快预算执行，积极做好绩效监控和绩效评价工作，确保预算执行的准确性，及时性和规范性,切实发挥财政资金最大效用；二是各项工作实施及资金使用情况均在绩效目标设定时限完成，在项目经费的使用上，在保证各项任务顺利完成的同时，严格落实厉行节约原则；三是继续发挥新疆中小企业公共服务平台枢纽作用，强化完善核心服务功能。发现的问题及原因：根据重点工作安排，在项目支出绩效监控工作中，存在预算整体支出绩效目标与产出的数量指标、质量指标缺乏对应性，关联性和可操作性不强、执行周期较长，影响了预算执行率，降低了绩效监控及绩效评价报告工作质量。下一步改进措施：一是建成单位系统内控体系，进一步规范资金使用管理全流程，依程序高质量完成各项工作任务。二是在今后的绩效目标设定过程中，注意考虑突发事件的影响，制定出更加符合实际的绩效目标，加强绩效目标对管理工作的指导作用。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064B12E0"/>
    <w:rsid w:val="0A7A5977"/>
    <w:rsid w:val="0DD913F5"/>
    <w:rsid w:val="75F45B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2025-09-03T17:11:00Z</dcterms:created>
  <dc:creator>Administrator</dc:creator>
  <cp:lastModifiedBy>Administrator</cp:lastModifiedBy>
  <dcterms:modified xsi:type="dcterms:W3CDTF">2025-09-05T02:38:35Z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