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0" w:beforeLines="0" w:beforeAutospacing="0" w:after="0" w:afterLines="0" w:afterAutospacing="0" w:line="240" w:lineRule="auto"/>
        <w:jc w:val="left"/>
        <w:rPr>
          <w:rFonts w:ascii="宋体" w:eastAsia="宋体"/>
          <w:sz w:val="32"/>
          <w:szCs w:val="32"/>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奎屯市无线电管理局</w:t>
      </w:r>
    </w:p>
    <w:p>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pPr>
        <w:widowControl/>
      </w:pPr>
      <w:r>
        <w:rPr>
          <w:b w:val="0"/>
          <w:sz w:val="0"/>
          <w:szCs w:val="0"/>
        </w:rPr>
        <w:br w:type="page"/>
      </w:r>
    </w:p>
    <w:p>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 录</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第一部分单位概况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第二部分部门决算情况说明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pPr>
        <w:widowControl/>
        <w:spacing w:before="0" w:beforeLines="0" w:beforeAutospacing="0" w:after="0" w:afterLines="0" w:afterAutospacing="0" w:line="240" w:lineRule="auto"/>
        <w:jc w:val="left"/>
        <w:rPr>
          <w:rFonts w:ascii="仿宋_GB2312" w:eastAsia="仿宋_GB2312"/>
          <w:sz w:val="32"/>
          <w:szCs w:val="32"/>
        </w:rPr>
      </w:pPr>
      <w:bookmarkStart w:id="0" w:name="_GoBack"/>
      <w:bookmarkEnd w:id="0"/>
      <w:r>
        <w:rPr>
          <w:rFonts w:ascii="仿宋_GB2312" w:eastAsia="仿宋_GB2312"/>
          <w:b w:val="0"/>
          <w:sz w:val="32"/>
          <w:szCs w:val="32"/>
        </w:rPr>
        <w:t>十、其他重要事项的情况说明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第三部分专业名词解释</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第四部分部门决算报表（见附表）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 单位概况</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 一、主要职能</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负责本行政区域除军事系统外的无线电管理工作。贯彻落实国家和自治区无线电管理的法规、规章、政策；根据审批权限实施无线电频率使用许可，审查无线电台（站）的建设布局和台址，核发无线电台执照及无线电台识别码（含呼号）；负责本行政区域无线电监测和干扰查处；协调处理本行政区域无线电管理相关事宜。负责本行政区域无线电管理的行政执法检查，按照有关规定对无线电台(站)的设置、使用和无线电发射设备的研制、生产、进口、销售实施监督检查，征收无线电频率占用费，依法组织实施无线电管制。</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奎屯市无线电管理局2024年度，实有人数7人，其中：在职人员6人，较上年无变化；离休人员0人，较上年无变化；退休人员1人，较上年无变化；</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奎屯市无线电管理局无下属预算单位，下设3个科室，分别是：综合科、业务科、监测站。</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第二部分部门决算情况说明</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2024年度收入总计227.48万元，其中：本年收入合计179.79万元，使用非财政拨款结余（含专用结余）0.00万元，年初结转和结余47.69万元。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2024年度支出总计227.48万元，其中：本年支出合计195.05万元，结余分配0.00万元，年末结转和结余32.43万元。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减少52.52万元，下降18.76%，主要原因是：从收入分析，一是本年收入较上年增加3.69万元，其中：1.一般公共预算财政拨款收入较上年增加3.80万元，主要是在职人员调资及社保、公积金缴费基数上调等导致人员经费增加13.88万元、主动压减一般性公用经费减少3.05万元、中央无线电管理经费预算减少7.03万元；2.非财政拨款收入较上年减少0.11万元，为银行利息收入减少。二是使用非财政拨款结余较上年无变化。三是年初结转和结余较上年减少56.21万元，主要是用财政拨款结转结余资金安排监控中心及附属设施维修维护项目预算。从支出分析，一是本年支出较上年减少48.51万元，为一般公共预算财政拨款支出较上年减少48.51万元，主要是上年执行2023年中央转移支付资金安排的无线电监控中心维修维护项目59.34万元加大上年支出、主动压减一般性公用经费减少3.05万元、在职人员调资及社保公积金缴费基数上调等导致人员经费增加13.88万元；二是使用非财政拨款结余较上年无变化；三是年末结转和结余较上年减少4.01万元，主要是用财政拨款结转结余资金安排新增监控中心及附属设施维修维护项目支出。</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本年收入179.79万元，其中：财政拨款收入179.67万元,占99.93%；上级补助收入0.00万元,占0.00%；事业收入0.00万元，占0.00%；经营收入0.00万元,占0.00%；附属单位上缴收入0.00万元，占0.00%；其他收入0.12万元，占0.07%。</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本年支出195.05万元，其中：基本支出141.06万元，占72.32%；项目支出53.99万元，占27.68%；上缴上级支出0.00万元，占0.00%；经营支出0.00万元，占0.00%；对附属单位补助支出0.00万元，占0.00%。</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2024年度财政拨款收入总计226.84万元，其中：年初财政拨款结转和结余47.17万元，本年财政拨款收入179.67万元。财政拨款支出总计226.84万元，其中：年末财政拨款结转和结余31.78万元，本年财政拨款支出195.05万元。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减少52.63万元，下降18.83%，主要原因是：从收入分析，一是年初财政拨款结转和结余较上年减少56.43万元，为上年执行了2023年中央转移支付资金安排的无线电监控中心维修维护项目；二是本年财政拨款收入较上年增加3.80万元，主要是在职人员调资及社保、公积金缴费基数上调等导致人员经费增加13.88万元、主动压减一般性公用经费减少3.05万元、中央无线电管理经费预算减少7.03万元。从支出分析，一是年末财政拨款结转和结余较上年减少4.12万元，主要是用财政拨款结转结余资金安排新增监控中心及附属设施维修维护项目支出；二是本年财政拨款支出较上年减少48.51万元，主要是2023年存在无线电监控中心维修维护项目且已于当年完成导致项目支出减少59.34万元、主动压减一般性公用经费减少3.05万元、在职人员调资及社保公积金缴费基数上调等导致人员经费增加13.88万元。与年初预算相比，年初预算数202.56万元，决算数226.84万元，预决算差异率11.99%，主要原因是：在年度执行中，根据自治区财政厅下达文件及实际情况追加及调减预算，一是追加一般公共预算财政拨款基本预算人员类项目8.98万元；二是响应过</w:t>
      </w:r>
      <w:r>
        <w:rPr>
          <w:rFonts w:hint="eastAsia" w:ascii="仿宋_GB2312" w:eastAsia="仿宋_GB2312"/>
          <w:b w:val="0"/>
          <w:sz w:val="32"/>
          <w:szCs w:val="32"/>
          <w:lang w:eastAsia="zh-CN"/>
        </w:rPr>
        <w:t>紧日子</w:t>
      </w:r>
      <w:r>
        <w:rPr>
          <w:rFonts w:ascii="仿宋_GB2312" w:eastAsia="仿宋_GB2312"/>
          <w:b w:val="0"/>
          <w:sz w:val="32"/>
          <w:szCs w:val="32"/>
        </w:rPr>
        <w:t>要求，主动压减一般性支出，调减年初一般公共预算财政拨款基本预算公用经费4.37万元；三是调减年初一般公共预算财政拨款项目预算中央无线电管理经费项目12.12万元；四是调整年末结转结余资金增加31.77万元。由于以上事项，财政拨款收入支出决算数与年初预算数存在差异。</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（一）一般公共预算财政拨款支出决算总体情况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195.05万元，占本年支出合计的100.00%。与上年相比，减少48.51万元，下降19.92%，主要原因是：一是2023年存在无线电监控中心维修维护项目且已于当年完成导致项目支出减少59.34万元；二是主动压减一般性公用经费减少3.05万元；三是在职人员调资及社保公积金缴费基数上调等导致人员经费增加13.88万元。与年初预算相比，年初预算数202.56万元，决算数195.05万元，预决算差异率-3.71%，主要原因是：在年度执行中，根据自治区财政厅下达文件及实际情况追加及调减预算，一是追加一般公共预算财政拨款基本预算人员类项目8.98万元；二是响应过</w:t>
      </w:r>
      <w:r>
        <w:rPr>
          <w:rFonts w:hint="eastAsia" w:ascii="仿宋_GB2312" w:eastAsia="仿宋_GB2312"/>
          <w:b w:val="0"/>
          <w:sz w:val="32"/>
          <w:szCs w:val="32"/>
          <w:lang w:eastAsia="zh-CN"/>
        </w:rPr>
        <w:t>紧日子</w:t>
      </w:r>
      <w:r>
        <w:rPr>
          <w:rFonts w:ascii="仿宋_GB2312" w:eastAsia="仿宋_GB2312"/>
          <w:b w:val="0"/>
          <w:sz w:val="32"/>
          <w:szCs w:val="32"/>
        </w:rPr>
        <w:t>要求，主动压减一般性支出，调减年初一般公共预算财政拨款基本预算公用经费4.37万元；三是调减年初一般公共预算财政拨款项目预算中央无线电管理经费项目12.12万元。由于以上事项，一般公共预算财政拨款收入支出决算数与年初预算数存在差异。</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（二）一般公共预算财政拨款支出决算结构情况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社会保障和就业支出（类）14.02万元，占7.19%。</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卫生健康支出（类）8.92万元，占4.57%。</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资源勘探工业信息等支出（类）162.57万元，占83.35%。</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住房保障支出（类）9.54万元，占4.89%。</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（三）一般公共预算财政拨款支出决算具体情况</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1、社会保障和就业支出（类）行政事业单位养老支出（款）事业单位离退休（项）：支出决算数为2.12万元，比上年决算增加0.36万元，增长20.45%，主要原因是：退休人员待遇增加。</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2、社会保障和就业支出（类）行政事业单位养老支出（款）机关事业单位基本养老保险缴费支出（项）：支出决算数为11.90万元，比上年决算增加0.85万元，增长7.69%，主要原因是：社保缴费基数上调。</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3、卫生健康支出（类）行政事业单位医疗（款）事业单位医疗（项）：支出决算数为5.95万元，比上年决算增加0.77万元，增长14.86%，主要原因是：社保缴费基数上调。</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4、卫生健康支出（类）行政事业单位医疗（款）公务员医疗补助（项）：支出决算数为2.97万元，比上年决算减少0.05万元，下降1.66%，主要原因是：缴费比例下调。</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5、资源勘探工业信息等支出（类）工业和信息产业监管（款）无线电及信息通信监管（项）：支出决算数为162.57万元，比上年决算减少51.44万元，下降24.04%，主要原因是：2024年不存在无线电监控中心维修维护项目。</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6、住房保障支出（类）住房改革支出（款）住房公积金（项）：支出决算数为9.54万元，比上年决算增加1.01万元，增长11.84%，主要原因是：社保缴费基数上调。</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141.06万元，其中：人员经费128.55万元，包括：基本工资、津贴补贴、奖金、绩效工资、机关事业单位基本养老保险缴费、职工基本医疗保险缴费、公务员医疗补助缴费、其他社会保障缴费、住房公积金、其他工资福利支出、退休费和其他对个人和家庭的补助。</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公用经费12.51万元，包括：办公费、水费、邮电费、取暖费、差旅费、工会经费、福利费、公务用车运行维护费和其他商品和服务支出。</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5.88万元，比上年减少0.00万元，下降0.00%，主要原因是：严格执行中央八项规定及实施细则，做到“三公”经费只减不增，无预算不支出。其中：因公出国（境）费支出0.00万元,占0.00%，与上年相比无变化，主要原因是：我单位无因公出国（境）费；公务用车购置及运行维护费支出5.88万元，占100.00%，比上年减少0.00万元，下降0.00%，主要原因是：严格执行中央八项规定及实施细则，做到“三公”经费只减不增，无预算不支出；公务接待费支出0.00万元，占0.00%，与上年相比无变化，主要原因是：我单位无公务接待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因公出国（境）费支出0.00万元，开支内容包括我单位无因公出国（境）费。单位全年安排的因公出国（境）团组0个，因公出国（境）0人次。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5.88万元，其中：公务用车购置费0.00万元，公务用车运行维护费5.88万元。公务用车运行维护费开支内容包括车辆保险、停车过路费、车辆加油、车辆维修等费用。公务用车购置数0辆，公务用车保有量3辆。国有资产占用情况中固定资产车辆3辆，与公务用车保有量差异原因是：与公务用车保有量无差异。</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公务接待费0.00万元，开支内容包括我单位无公务接待费。单位全年安排的国内公务接待0批次，0人次。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5.88万元，决算数5.88万元，预决算差异率0.00%，主要原因是：严格执行中央八项规定及实施细则，做到“三公”经费只减不增，无预算不支出。其中：因公出国（境）费全年预算数0.00万元，决算数0.00万元，预决算差异率0.00%，主要原因是：我单位无因公出国（境）费；公务用车购置费全年预算数0.00万元，决算数0.00万元，预决算差异率0.00%，主要原因是：我单位无公务用车购置费；公务用车运行维护费全年预算数5.88万元，决算数5.88万元，预决算差异率0.00%，主要原因是：严格执行中央八项规定及实施细则，做到“三公”经费只减不增，无预算不支出；公务接待费全年预算数0.00万元，决算数0.00万元，预决算差异率0.00%，主要原因是：我单位无公务接待费。</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（一）机关运行经费及公用经费支出情况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2024年度奎屯市无线电管理局单位（事业单位）公用经费支出12.51万元，比上年减少3.05万元，下降19.60%，主要原因是：响应过</w:t>
      </w:r>
      <w:r>
        <w:rPr>
          <w:rFonts w:hint="eastAsia" w:ascii="仿宋_GB2312" w:eastAsia="仿宋_GB2312"/>
          <w:b w:val="0"/>
          <w:sz w:val="32"/>
          <w:szCs w:val="32"/>
          <w:lang w:eastAsia="zh-CN"/>
        </w:rPr>
        <w:t>紧日子</w:t>
      </w:r>
      <w:r>
        <w:rPr>
          <w:rFonts w:ascii="仿宋_GB2312" w:eastAsia="仿宋_GB2312"/>
          <w:b w:val="0"/>
          <w:sz w:val="32"/>
          <w:szCs w:val="32"/>
        </w:rPr>
        <w:t>要求，压减一般性支出，公用经费支出减少。</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（二）政府采购情况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2024年度政府采购支出总额45.45万元，其中：政府采购货物支出1.90万元、政府采购工程支出15.38万元、政府采购服务支出28.16万元。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授予中小企业合同金额36.72万元，占政府采购支出总额的80.79%，其中：授予小微企业合同金额34.76万元，占政府采购支出总额的76.48%。</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（三）国有资产占用情况说明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1,464.46平方米，价值280.48万元。车辆3辆，价值151.36万元，其中：副部（省）级及以上领导用车0辆、主要负责人用车0辆、机要通信用车0辆、应急保障用车0辆、执法执勤用车1辆、特种专业技术用车2辆、离退休干部服务用车0辆、其他用车0辆，其他用车主要是：我单位无其他用车;单价100万元（含）以上设备（不含车辆）6台（套）。</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预算绩效管理要求，本单位2024年度预算绩效评价项目1个，全年预算数20.10万元，全年执行数15.38万元。预算绩效管理取得的成效：一是领导高度重视，自立项起成立项目工作领导小组并且负总责，安排专人具体办理，对预算绩效进行全过程管理；二是科学制定方案。为使绩效评价工作平稳有序进行，在正式评价开展前拟定了详细的工作方案，方案内容包括评价内容、评价方法、评价依据、时间安排、工作步骤、工作要求等方面；三是严格执行《工信厅全面预算绩效管理办法》，在项目实施初期，制定详细的季度资金使用计划，并将其与项目进度节点进行紧密关联。在执行过程中，每月开展预算执行情况分析会，及时发现并解决资金执行率偏低的问题，取得了良好的绩效成果；四是项目经办人员工作积极、认真负责，抓好项目实施的绩效评价。发现的问题及原因：根据本次绩效评价情况，发现预算绩效申报存在部分绩效目标设置不科学、目标模糊、量化不足的情况，部分目标过高或过低，缺乏可行性。原因为对项目核心任务和需求的调研不够深入，目标设定多依赖经验或上级要求，缺乏数据支撑；绩效目标编制能力不足，相关人员对“可量化、可实现”的原则理解不到位。下一步改进措施：一是完善上下协调、科室联动的调研机制，在设定绩效目标前，全面梳理项目核心任务，历史执行数据、实际需求等，避免仅凭经验或主观判断设定目标；二是开展针对性培训，围绕“如果结合实际设定目标”“数据测算方法”等内容，对科室负责人、项目经办人进行轮训，通过案例分析强化实操能力；三是建立绩效目标编制“经验库”，收集本单位、本系统内优秀案例和常见问题，供项目经办人参考，减少重复犯错。通过以上措施，可以从流程、标准、能力多维度规范绩效目标设定，确保绩效目标既符合单位职能定位，又具备实际可操作性重要参考因素。具体附项目支出绩效自评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第三部分专业名词解释</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第四部分部门决算报表（见附表）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cumentProtection w:enforcement="0"/>
  <w:compat>
    <w:useFELayout/>
    <w:splitPgBreakAndParaMark/>
    <w:compatSetting w:name="compatibilityMode" w:uri="http://schemas.microsoft.com/office/word" w:val="12"/>
  </w:compat>
  <w:rsids>
    <w:rsidRoot w:val="00000000"/>
    <w:rsid w:val="0ADF311D"/>
    <w:rsid w:val="0D103F2B"/>
    <w:rsid w:val="1962781C"/>
    <w:rsid w:val="3089355E"/>
    <w:rsid w:val="539D6A7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ScaleCrop>false</ScaleCrop>
  <LinksUpToDate>false</LinksUpToDate>
  <Application>WPS Office_10.8.0.6308_F1E327BC-269C-435d-A152-05C5408002CA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2025-09-03T17:38:00Z</dcterms:created>
  <dc:creator>Administrator</dc:creator>
  <cp:lastModifiedBy>Administrator</cp:lastModifiedBy>
  <dcterms:modified xsi:type="dcterms:W3CDTF">2025-09-05T02:43:48Z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