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bookmarkStart w:id="0" w:name="_GoBack"/>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新疆维吾尔自治区专业建设工程质量安全监督站</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贯彻执行国家、自治区有关建设工程质量安全监督管理法律、法规、标准和规范，受工信厅委托拟定自治区有色、化工等专业建设工程质量安全监督工作标准规范并贯彻执行;承担管理权限内的有色、化工等专业建设工程质量安全监督管理，以及指导各地做好属地专业建设工程质量安全监督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新疆维吾尔自治区专业建设工程质量安全监督站2024年度，实有人数16人，其中：在职人员11人，减少1人；离休人员0人，较上年无变化；退休人员5人，增加1人。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新疆维吾尔自治区专业建设工程质量安全监督站无下属预算单位，下设3个科室，分别是：综合管理办公室、化工监督科、有色监督科。</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2024年度收入总计256.77万元，其中：本年收入合计256.56万元，使用非财政拨款结余（含专用结余）0.21万元，年初结转和结余0.00万元。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2024年度支出总计256.77万元，其中：本年支出合计256.77万元，结余分配0.00万元，年末结转和结余0.00万元。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收入支出总体与上年相比，减少39.52万元，下降13.34%，主要原因是：2024年一名职工在职转退休，在职人员减少，导致收入支出减少。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本年收入256.56万元，其中：财政拨款收入256.55万元,占100.00%；上级补助收入0.00万元,占0.00%；事业收入0.00万元，占0.00%；经营收入0.00万元,占0.00%；附属单位上缴收入0.00万元，占0.00%；其他收入0.01万元，占0.00%。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本年支出256.77万元，其中：基本支出238.91万元，占93.04%；项目支出17.87万元，占6.96%；上缴上级支出0.00万元，占0.00%；经营支出0.00万元，占0.00%；对附属单位补助支出0.00万元，占0.00%。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2024年度财政拨款收入总计256.55万元，其中：年初财政拨款结转和结余0.00万元，本年财政拨款收入256.55万元。财政拨款支出总计256.55万元，其中：年末财政拨款结转和结余0.00万元，本年财政拨款支出256.55万元。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34.64万元，下降11.90%，主要原因是：2024年一名职工在职转退休，在职人员减少，导致财政拨款收入减少。与年初预算相比，年初预算数274.58万元，决算数256.55万元，预决算差异率-6.57%，主要原因是：在年度执行中，根据自治区财政厅下达文件追加及调减预算，一是追加一般公共预算财政拨款基本支出人员类预算36.89万元；二是调减年初一般公共预算财政拨款基本支出人员类预算54.92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256.55万元，占本年支出合计的99.91%。与上年相比，减少34.64万元，下降11.90%，主要原因是：2024年一名职工在职转退休，在职人员减少，导致支出减少。与年初预算相比，年初预算数274.58万元，决算数256.55万元，预决算差异率-6.57%，主要原因是：在年度执行中，根据自治区财政厅下达文件追加及调减预算，一是追加一般公共预算财政拨款基本支出人员类预算36.89万元；二是调减年初一般公共预算财政拨款基本支出人员类预算54.92万元中追加人员经费。</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社会保障和就业支出（类）46.57万元，占18.15%。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卫生健康支出（类）19.02万元，占7.41%。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资源勘探工业信息等支出（类）174.03万元，占67.83%。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住房保障支出（类）16.94万元，占6.60%。</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6.78万元，比上年决算增加0.80万元，增长13.38%，主要原因是：2024年新增退休人员一名及退休人员待遇调增，导致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18.95万元，比上年决算减少4.02万元，下降17.50%，主要原因是：2024年一名职工在职转退休，在职人员减少，导致机关事业单位基本养老保险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20.84万元，比上年决算增加6.39万元，增长44.22%，主要原因是：2024年在职转退休一人，年中追加职业年金预算，导致机关事业单位职业年金缴费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4、卫生健康支出（类）行政事业单位医疗（款）事业单位医疗（项）：支出决算数为10.75万元，比上年决算减少0.61万元，下降5.37%，主要原因是：2024年在职人员减少一人，导致事业单位医疗缴费支出减少。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5、卫生健康支出（类）行政事业单位医疗（款）公务员医疗补助（项）：支出决算数为8.27万元，比上年决算减少1.22万元，下降12.86%，主要原因是：2024年在职人员减少一人，导致公务员医疗补助缴费支出减少。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资源勘探开发（款）有色金属矿勘探和采选（项）：支出决算数为174.03万元，比上年决算减少34.59万元，下降16.58%，主要原因是：2024年一名职工在职转退休，在职人员减少，导致人员经费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7、住房保障支出（类）住房改革支出（款）住房公积金（项）：支出决算数为16.94万元，比上年决算减少1.37万元，下降7.48%，主要原因是：2024年在职人员减少一人，导致住房公积金缴费支出减少。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238.91万元，其中：人员经费225.88万元，包括：基本工资、津贴补贴、奖金、绩效工资、机关事业单位基本养老保险缴费、职业年金缴费、职工基本医疗保险缴费、公务员医疗补助缴费、其他社会保障缴费、住房公积金、退休费、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公用经费13.03万元，包括：办公费、电费、邮电费、差旅费、工会经费、福利费、公务用车运行维护费和其他商品和服务支出。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0.34万元，比上年增加0.00万元，增长0.00%，主要原因是：严格执行中央八项规定实施细则，做到三公经费只减不增，无预算不支出。其中：因公出国（境）费支出0.00万元,占0.00%，与上年相比无变化，主要原因是：我单位无因公出国（境）费；公务用车购置及运行维护费支出0.34万元，占100.00%，比上年增加0.00万元，增长0.00%，主要原因是：严格执行中央八项规定实施细则，做到三公经费只减不增，无预算不支出；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0.34万元，其中：公务用车购置费0.00万元，公务用车运行维护费0.34万元。公务用车运行维护费开支内容包括用于购买车辆保险。公务用车购置数0辆，公务用车保有量2辆。国有资产占用情况中固定资产车辆2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0.34万元，决算数0.34万元，预决算差异率0.00%，主要原因是：严格执行中央八项规定实施细则，做到三公经费只减不增，无预算不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0.34万元，决算数0.34万元，预决算差异率0.00%，主要原因是：严格执行中央八项规定实施细则，做到三公经费只减不增，无预算不支出；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2024年度新疆维吾尔自治区专业建设工程质量安全监督站单位（事业单位）公用经费支出13.03万元，比上年减少0.67万元，下降4.89%，主要原因是：2024年一人在职转退休，导致公用经费支出减少。</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2024年度政府采购支出总额5.16万元，其中：政府采购货物支出3.82万元、政府采购工程支出0.00万元、政府采购服务支出1.34万元。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授予中小企业合同金额1.00万元，占政府采购支出总额的19.38%，其中：授予小微企业合同金额1.00万元，占政府采购支出总额的19.38%。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42.78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根据预算绩效管理要求，本单位2024年度预算绩效评价项目2个，全年预算数31.9</w:t>
      </w:r>
      <w:r>
        <w:rPr>
          <w:rFonts w:hint="eastAsia" w:ascii="仿宋_GB2312" w:eastAsia="仿宋_GB2312"/>
          <w:b w:val="0"/>
          <w:sz w:val="32"/>
          <w:szCs w:val="32"/>
          <w:lang w:val="en-US" w:eastAsia="zh-CN"/>
        </w:rPr>
        <w:t>1</w:t>
      </w:r>
      <w:r>
        <w:rPr>
          <w:rFonts w:ascii="仿宋_GB2312" w:eastAsia="仿宋_GB2312"/>
          <w:b w:val="0"/>
          <w:sz w:val="32"/>
          <w:szCs w:val="32"/>
        </w:rPr>
        <w:t>万元，全年执行数17.87万元。预算绩效管理取得的成效：一是严格执行《工信厅全面预算绩效管理办法》，规范和加快预算执行，积极做好绩效监控和绩效评价工作，确保预算执行的及时性和规范性,切实发挥财政资金最大效用；二是各项工作实施及资金使用情况均在绩效目标设定时限完成，在项目经费的使用上，在保证各项任务顺利完成的同时，严格落实厉行节约原则；三是突出做好质量和安全监督检查工作，确保项目质量和效益，助力经济高质量发展，维护社会稳定和长治久安。发现的问题及原因：根据重点工作安排，在项目支出绩效监控工作中，存在预算整体支出绩效目标与产出的数量指标、质量指标缺乏对应性，关联性和可操作性不强。存在对项目绩效目标的设定和各项指标的理解、认识不到位，导致项目绩效目标不够明确、不够细化、不够量化、缺乏可衡量性和可实现性。执行周期较长，影响了该项目的预算执行率，降低了绩效监控及绩效评价报告工作质量。下一步改进措施：一是建成单位系统内控体系，进一步规范资金使用管理全流程，依程序高质量完成各项工作任务。二是在今后的绩效目标设定过程中，注意考虑如疫情等突发事件的影响，制定出更加符合实际的绩效目标，加强绩效目标对管理工作的指导作用。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bookmarkEnd w:id="0"/>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8618C"/>
    <w:rsid w:val="5716583F"/>
    <w:rsid w:val="5D9B4634"/>
    <w:rsid w:val="6A4532B2"/>
    <w:rsid w:val="798500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2025-09-03T16:29:00Z</dcterms:created>
  <dc:creator>Administrator.USER-20210616CT</dc:creator>
  <cp:lastModifiedBy>Administrator</cp:lastModifiedBy>
  <dcterms:modified xsi:type="dcterms:W3CDTF">2025-09-03T17:42:24Z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