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DC3D1">
      <w:pPr>
        <w:widowControl/>
        <w:spacing w:before="0" w:beforeLines="0" w:beforeAutospacing="0" w:after="0" w:afterLines="0" w:afterAutospacing="0" w:line="240" w:lineRule="auto"/>
        <w:jc w:val="left"/>
        <w:rPr>
          <w:rFonts w:ascii="宋体" w:eastAsia="宋体"/>
          <w:sz w:val="32"/>
          <w:szCs w:val="32"/>
        </w:rPr>
      </w:pPr>
    </w:p>
    <w:p w14:paraId="3AD82DA2">
      <w:pPr>
        <w:widowControl/>
        <w:spacing w:before="0" w:beforeLines="0" w:beforeAutospacing="0" w:after="0" w:afterLines="0" w:afterAutospacing="0" w:line="240" w:lineRule="auto"/>
        <w:jc w:val="left"/>
        <w:rPr>
          <w:rFonts w:ascii="宋体" w:eastAsia="宋体"/>
          <w:sz w:val="44"/>
          <w:szCs w:val="44"/>
        </w:rPr>
      </w:pPr>
    </w:p>
    <w:p w14:paraId="3C959CC3">
      <w:pPr>
        <w:widowControl/>
        <w:spacing w:before="0" w:beforeLines="0" w:beforeAutospacing="0" w:after="0" w:afterLines="0" w:afterAutospacing="0" w:line="240" w:lineRule="auto"/>
        <w:jc w:val="left"/>
        <w:rPr>
          <w:rFonts w:ascii="宋体" w:eastAsia="宋体"/>
          <w:sz w:val="44"/>
          <w:szCs w:val="44"/>
        </w:rPr>
      </w:pPr>
    </w:p>
    <w:p w14:paraId="09C2A0B0">
      <w:pPr>
        <w:widowControl/>
        <w:spacing w:before="0" w:beforeLines="0" w:beforeAutospacing="0" w:after="0" w:afterLines="0" w:afterAutospacing="0" w:line="240" w:lineRule="auto"/>
        <w:jc w:val="left"/>
        <w:rPr>
          <w:rFonts w:ascii="宋体" w:eastAsia="宋体"/>
          <w:sz w:val="44"/>
          <w:szCs w:val="44"/>
        </w:rPr>
      </w:pPr>
    </w:p>
    <w:p w14:paraId="13E9E4E2">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新疆维吾尔自治区工业和信息化培训中心（自治区计算机培训中心）</w:t>
      </w:r>
    </w:p>
    <w:p w14:paraId="3CFDB199">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36018FC0">
      <w:pPr>
        <w:widowControl/>
      </w:pPr>
      <w:r>
        <w:rPr>
          <w:b w:val="0"/>
          <w:sz w:val="0"/>
          <w:szCs w:val="0"/>
        </w:rPr>
        <w:br w:type="page"/>
      </w:r>
    </w:p>
    <w:p w14:paraId="385515E6">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41ABC6B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778703A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4C48CA9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1EFE65D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200DBA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DC83D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0A879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23666D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2615B2B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601E4EC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3322F5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7158607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4E519FB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1DFAEA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6B80009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F30200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6744FD1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0560327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217F8CC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93899E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183A6E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7ED70A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49F9BA2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457905F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3BA58F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615E538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0DAF26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4C3831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0B9B4FE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FE7795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47DEB95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A75923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17EF63F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08E2F24B">
      <w:pPr>
        <w:widowControl/>
      </w:pPr>
      <w:r>
        <w:rPr>
          <w:b w:val="0"/>
          <w:sz w:val="0"/>
          <w:szCs w:val="0"/>
        </w:rPr>
        <w:br w:type="page"/>
      </w:r>
    </w:p>
    <w:p w14:paraId="18C3B75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31FCD50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29ADFCA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组织开展自治区计算机专业技术人才和企业经营管理人员培训工作；承担全区工业和信息化系统干部培训工作，为全区中小企业发展提供技术创新、市场开拓、信息交流、人才引进、业务培训、对外合作等服务。</w:t>
      </w:r>
    </w:p>
    <w:p w14:paraId="207C6E9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2D7D3F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新疆维吾尔自治区工业和信息化培训中心（自治区计算机培训中心）2024年度，实有人数20人，其中：在职人员7人，较上年无变化；离休人员0人，较上年无变化；退休人员13人，较上年无变化；</w:t>
      </w:r>
    </w:p>
    <w:p w14:paraId="129DA33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新疆维吾尔自治区工业和信息化培训中心（自治区计算机培训中心）无下属预算单位，下设6个部门，分别是：综合部、财务部、考试鉴定部、培训部、CAD部、工程项目部。</w:t>
      </w:r>
    </w:p>
    <w:p w14:paraId="08D58E7F">
      <w:pPr>
        <w:widowControl/>
      </w:pPr>
      <w:r>
        <w:rPr>
          <w:b w:val="0"/>
          <w:sz w:val="0"/>
          <w:szCs w:val="0"/>
        </w:rPr>
        <w:br w:type="page"/>
      </w:r>
    </w:p>
    <w:p w14:paraId="648638D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7C9423D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5CDD98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2024年度收入总计482.45万元，其中：本年收入合计467.37万元，使用非财政拨款结余（含专用结余）0.00万元，年初结转和结余15.08万元。</w:t>
      </w:r>
    </w:p>
    <w:p w14:paraId="52F1C25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2024年度支出总计482.45万元，其中：本年支出合计453.94万元，结余分配13.43万元，年末结转和结余15.08万元。</w:t>
      </w:r>
    </w:p>
    <w:p w14:paraId="2063922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收入支出总体与上年相比，减少58.37万元，下降10.79%，主要原因是：一是一般公共预算财政拨款收入中离退休人员经费较上年减少，人员经费较上年减少；二是经营收入较上年减少；三是其他收入较上年减少。</w:t>
      </w:r>
    </w:p>
    <w:p w14:paraId="0041292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23E0D18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本年收入467.37万元，其中：财政拨款收入206.95万元,占44.28%；上级补助收入0.00万元,占0.00%；事业收入246.99万元，占52.85%；经营收入0.00万元,占0.00%；附属单位上缴收入0.00万元，占0.00%；其他收入13.43万元，占2.87%。</w:t>
      </w:r>
    </w:p>
    <w:p w14:paraId="06FC68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2CCE6AE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本年支出453.94万元，其中：基本支出227.05万元，占50.02%；项目支出226.88万元，占49.98%；上缴上级支出0.00万元，占0.00%；经营支出0.00万元，占0.00%；对附属单位补助支出0.00万元，占0.00%。</w:t>
      </w:r>
    </w:p>
    <w:p w14:paraId="556196B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6E1BAC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2024年度财政拨款收入总计222.03万元，其中：年初财政拨款结转和结余15.08万元，本年财政拨款收入206.95万元。财政拨款支出总计222.03万元，其中：年末财政拨款结转和结余15.08万元，本年财政拨款支出206.95万元。</w:t>
      </w:r>
    </w:p>
    <w:p w14:paraId="5F57475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21.79万元，下降8.94%，主要原因是：一是离退休人员医疗费较上年减少24.59万元；二是人员经费较上年减少14.65万元；三是项目收入较上年增加2.37；四是年初结转结余较上年增加15.08。与年初预算相比，年初预算数205.58万元，决算数222.03万元，预决算差异率8.00%，主要原因是：一是2024年度人员经费追加1.37万元；二是年初结转结余较上年增加15.08万元。</w:t>
      </w:r>
    </w:p>
    <w:p w14:paraId="6BAB426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69BA181B">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53B5D92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2024年度一般公共预算财政拨款支出206.95万元，占本年支出合计的45.59%。与上年相比，减少36.87万元，下降15.12%，主要原因是：</w:t>
      </w:r>
      <w:r>
        <w:rPr>
          <w:rFonts w:ascii="Times New Roman" w:hAnsi="Times New Roman" w:eastAsia="仿宋_GB2312" w:cs="仿宋_GB2312"/>
          <w:b w:val="0"/>
          <w:sz w:val="32"/>
          <w:szCs w:val="32"/>
        </w:rPr>
        <w:t>一是基本支出人员经费减少38.35万元，在职人员调资及社保、公积金相应基数增加，退休人员经费</w:t>
      </w:r>
      <w:r>
        <w:rPr>
          <w:rFonts w:hint="eastAsia" w:ascii="Times New Roman" w:hAnsi="Times New Roman" w:eastAsia="仿宋_GB2312" w:cs="仿宋_GB2312"/>
          <w:b w:val="0"/>
          <w:sz w:val="32"/>
          <w:szCs w:val="32"/>
          <w:lang w:eastAsia="zh-CN"/>
        </w:rPr>
        <w:t>减少</w:t>
      </w:r>
      <w:r>
        <w:rPr>
          <w:rFonts w:ascii="Times New Roman" w:hAnsi="Times New Roman" w:eastAsia="仿宋_GB2312" w:cs="仿宋_GB2312"/>
          <w:b w:val="0"/>
          <w:sz w:val="32"/>
          <w:szCs w:val="32"/>
        </w:rPr>
        <w:t>；二是公用经费减少0.89万元，差旅费预算减少</w:t>
      </w:r>
      <w:r>
        <w:rPr>
          <w:rFonts w:ascii="仿宋_GB2312" w:eastAsia="仿宋_GB2312"/>
          <w:b w:val="0"/>
          <w:sz w:val="32"/>
          <w:szCs w:val="32"/>
        </w:rPr>
        <w:t>；三是项目支出一般公共预算项目计算机技术与软件专业技术资格水平新疆区考试收费项目2024年较上年增加2.37万元。与年初预算相比，年初预算数205.58万元，决算数206.95万元，预决算差异率0.67%，主要原因是：在年度执行中，人员经费调增1.37万元。</w:t>
      </w:r>
    </w:p>
    <w:p w14:paraId="1E72B5D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0B48D04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教育支出（类）155.92万元，占75.34%。</w:t>
      </w:r>
    </w:p>
    <w:p w14:paraId="75423C7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社会保障和就业支出（类）29.78万元，占14.39%。</w:t>
      </w:r>
    </w:p>
    <w:p w14:paraId="4EE210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卫生健康支出（类）11.91万元，占5.76%。</w:t>
      </w:r>
    </w:p>
    <w:p w14:paraId="7DB77A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住房保障支出（类）9.34万元，占4.51%。</w:t>
      </w:r>
    </w:p>
    <w:p w14:paraId="1A84EF5B">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6327A4A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1、教育支出（类）其他教育支出（款）其他教育支出（项）：支出决算数为155.92万元，比上年决算减少11.71万元，下降6.99%，主要原因是：2024年人员经费财政拨款较上年减少11.71万元。</w:t>
      </w:r>
    </w:p>
    <w:p w14:paraId="4D29D6E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2、社会保障和就业支出（类）行政事业单位养老支出（款）事业单位离退休（项）：支出决算数为11.09万元，比上年决算减少24.59万元，下降68.92%，主要原因是：2024年离退休人员医疗费较上年减少24.59万元。</w:t>
      </w:r>
    </w:p>
    <w:p w14:paraId="3123AC8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12.46万元，比上年决算减少0.17万元，下降1.35%，主要原因是：2024年因人员变动，退休1人，新调入1人，缴费基数不同，导致费用减少。</w:t>
      </w:r>
    </w:p>
    <w:p w14:paraId="235422E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机关事业单位职业年金缴费支出（项）：支出决算数为6.23万元，比上年决算减少0.09万元，下降1.42%，主要原因是：2024年因人员变动，退休1人，新调入1人，缴费基数不同，导致费用减少。</w:t>
      </w:r>
    </w:p>
    <w:p w14:paraId="12B7882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6.46万元，比上年决算减少0.09万元，下降1.37%，主要原因是：2024年因人员变动，退休1人，新调入1人，缴费基数不同，导致费用减少。</w:t>
      </w:r>
    </w:p>
    <w:p w14:paraId="4BAA6E2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5.45万元，比上年决算减少0.08万元，下降1.45%，主要原因是：2024年因人员变动，退休1人，新调入1人，缴费基数不同，导致费用减少。</w:t>
      </w:r>
    </w:p>
    <w:p w14:paraId="3990C3B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7、住房保障支出（类）住房改革支出（款）住房公积金（项）：支出决算数为9.34万元，比上年决算减少0.13万元，下降1.37%，主要原因是：2024年因人员变动，退休1人，新调入1人，缴费基数不同，导致费用减少。</w:t>
      </w:r>
    </w:p>
    <w:p w14:paraId="7AC619C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2393E37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141.95万元，其中：人员经费126.71万元，包括：基本工资、津贴补贴、奖金、绩效工资、机关事业单位基本养老保险缴费、职业年金缴费、职工基本医疗保险缴费、公务员医疗补助缴费、其他社会保障缴费、住房公积金、退休费和奖励金。</w:t>
      </w:r>
    </w:p>
    <w:p w14:paraId="475D6C5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公用经费15.24万元，包括：办公费、水费、邮电费、取暖费、差旅费、工会经费、福利费和其他商品和服务支出。</w:t>
      </w:r>
    </w:p>
    <w:p w14:paraId="20F5898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9C95B9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327FDFE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9EE0CB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4E6B41F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2157960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我单位无财政拨款“三公”经费支出。其中：因公出国（境）费支出0.00万元,占0.00%，与上年相比无变化，主要原因是：我单位无因公出国（境）经费支出；公务用车购置及运行维护费支出0.00万元，占0.00%，与上年相比无变化，主要原因是：我单位无公务用车购置及运行维护费支出；公务接待费支出0.00万元，占0.00%，与上年相比无变化，主要原因是：我单位无公务接待经费支出。</w:t>
      </w:r>
    </w:p>
    <w:p w14:paraId="40710283">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5988AFD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因公出国（境）费支出0.00万元，开支内容包括我单位无因公出国（境）经费支出。单位全年安排的因公出国（境）团组0个，因公出国（境）0人次。</w:t>
      </w:r>
    </w:p>
    <w:p w14:paraId="6D4418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我单位无公务用车购置及运行维护费支出。公务用车购置数0辆，公务用车保有量0辆。国有资产占用情况中固定资产车辆2辆，与公务用车保有量差异原因是：</w:t>
      </w:r>
      <w:r>
        <w:rPr>
          <w:rFonts w:ascii="Times New Roman" w:hAnsi="Times New Roman" w:eastAsia="仿宋_GB2312"/>
          <w:b w:val="0"/>
          <w:sz w:val="32"/>
          <w:szCs w:val="32"/>
        </w:rPr>
        <w:t>1辆信息化推广大篷车（2008年5月工信部捐赠，现待报废状态），2017年1月</w:t>
      </w:r>
      <w:r>
        <w:rPr>
          <w:rFonts w:hint="eastAsia" w:ascii="Times New Roman" w:hAnsi="Times New Roman" w:eastAsia="仿宋_GB2312"/>
          <w:b w:val="0"/>
          <w:sz w:val="32"/>
          <w:szCs w:val="32"/>
          <w:lang w:eastAsia="zh-CN"/>
        </w:rPr>
        <w:t>使用财政专户管理资金</w:t>
      </w:r>
      <w:r>
        <w:rPr>
          <w:rFonts w:ascii="Times New Roman" w:hAnsi="Times New Roman" w:eastAsia="仿宋_GB2312"/>
          <w:b w:val="0"/>
          <w:sz w:val="32"/>
          <w:szCs w:val="32"/>
        </w:rPr>
        <w:t>购入1辆载货小汽车。</w:t>
      </w:r>
      <w:bookmarkStart w:id="0" w:name="_GoBack"/>
      <w:bookmarkEnd w:id="0"/>
    </w:p>
    <w:p w14:paraId="1573B31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公务接待费0.00万元，开支内容包括我单位无公务接待经费支出。单位全年安排的国内公务接待0批次，0人次。</w:t>
      </w:r>
    </w:p>
    <w:p w14:paraId="6525621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我单位无财政拨款“三公”经费支出。其中：因公出国（境）费全年预算数0.00万元，决算数0.00万元，预决算差异率0.00%，主要原因是：我单位无因公出国（境）经费支出；公务用车购置费全年预算数0.00万元，决算数0.00万元，预决算差异率0.00%，主要原因是：我单位无公务用车购置及运行维护费支出；公务用车运行维护费全年预算数0.00万元，决算数0.00万元，预决算差异率0.00%，主要原因是：我单位无公务用车运行维护经费支出；公务接待费全年预算数0.00万元，决算数0.00万元，预决算差异率0.00%，主要原因是：我单位无公务接待经费支出。</w:t>
      </w:r>
    </w:p>
    <w:p w14:paraId="4E7D06E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0FDE9FFD">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268F735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2024年度新疆维吾尔自治区工业和信息化培训中心（自治区计算机培训中心）单位（事业单位）公用经费支出15.24万元，比上年减少0.89万元，下降5.52%，主要原因是：2024年公用经费差旅费预算减少0.89万元。</w:t>
      </w:r>
    </w:p>
    <w:p w14:paraId="61A3025A">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5B6697E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2024年度政府采购支出总额44.85万元，其中：政府采购货物支出11.52万元、政府采购工程支出0.00万元、政府采购服务支出33.34万元。</w:t>
      </w:r>
    </w:p>
    <w:p w14:paraId="577D7D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授予中小企业合同金额38.35万元，占政府采购支出总额的85.51%，其中：授予小微企业合同金额38.35万元，占政府采购支出总额的85.51%。</w:t>
      </w:r>
    </w:p>
    <w:p w14:paraId="5C7314B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33D442F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2辆，价值38.93万元，其中：副部（省）级及以上领导用车0辆、主要负责人用车0辆、机要通信用车0辆、应急保障用车0辆、执法执勤用车0辆、特种专业技术用车0辆、离退休干部服务用车0辆、其他用车2辆，其他用车主要是：1辆信息化推广大篷车（2008年5月工信部捐赠，现待报废状态），1辆载货小汽车;单价100万元（含）以上设备（不含车辆）0台（套）。</w:t>
      </w:r>
    </w:p>
    <w:p w14:paraId="35EA707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4734E75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245.88万元，全年执行数226.88万元。预算绩效管理取得的成效：一是严格执行《工信厅全面预算绩效管理办法》，规范和加快预算执行，积极做好绩效监控和绩效评价工作，确保预算执行的准确性和规范性,切实发挥财政资金最大效用；二是各项工作实施及资金使用情况均在绩效目标设定时限完成，在项目经费的使用上，在保证各项任务顺利完成的同时，严格落实厉行节约原则；三是突出做好培训和考试考务工作，确保项目质量和效益，助力经济高质量发展，维护社会稳定和长治久安。发现的问题及原因：根据重点工作安排，在项目支出绩效监控工作中，存在预算整体支出绩效目标与产出的数量指标、质量指标缺乏对应性，关联性和可操作性不强。存在对项目绩效目标的设定和各项指标的理解、认识不到位的问题，导致项目绩效目标不够明确、不够细化、不够量化、缺乏可衡量性和可实现性。执行周期较长，影响了该项目的预算执行率，降低了绩效监控及绩效评价报告工作质量。下一步改进措施：一是建成单位内控体系，进一步规范资金使用管理全流程，依程序高质量完成各项工作任务。二是在今后的绩效目标设定过程中，注意考虑突发事件的影响，制定出更加符合实际的绩效目标，加强绩效目标对管理工作的指导作用。具体附项目支出绩效自评表。</w:t>
      </w:r>
    </w:p>
    <w:p w14:paraId="16FD371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7959E62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5F1B387C">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181FAE3">
      <w:pPr>
        <w:widowControl/>
      </w:pPr>
      <w:r>
        <w:rPr>
          <w:b w:val="0"/>
          <w:sz w:val="0"/>
          <w:szCs w:val="0"/>
        </w:rPr>
        <w:br w:type="page"/>
      </w:r>
    </w:p>
    <w:p w14:paraId="2789D73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221CC23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090918B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755F443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7F090BC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4AD8D6E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A514B0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7F0224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348E676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8CB89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541B830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5BEAD34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4E47153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75E65B1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1EDFB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FC5C416">
      <w:pPr>
        <w:widowControl/>
      </w:pPr>
      <w:r>
        <w:rPr>
          <w:b w:val="0"/>
          <w:sz w:val="0"/>
          <w:szCs w:val="0"/>
        </w:rPr>
        <w:br w:type="page"/>
      </w:r>
    </w:p>
    <w:p w14:paraId="2083B85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5D3623F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085F09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A44472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27B937B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8FB08F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67187F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0419E0C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51DCC05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5D14AA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01B823D9"/>
    <w:rsid w:val="13DA0AAC"/>
    <w:rsid w:val="1BD50E66"/>
    <w:rsid w:val="4B4120B3"/>
    <w:rsid w:val="7D513C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5729</Words>
  <Characters>6363</Characters>
  <TotalTime>0</TotalTime>
  <ScaleCrop>false</ScaleCrop>
  <LinksUpToDate>false</LinksUpToDate>
  <CharactersWithSpaces>6366</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2025-09-03T17:15:00Z</dcterms:created>
  <dc:creator>Administrator</dc:creator>
  <cp:lastModifiedBy>岁月无痕</cp:lastModifiedBy>
  <dcterms:modified xsi:type="dcterms:W3CDTF">2025-10-14T10:01:57Z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ECCC470C27DD49FC9CE22D2DC7F922D1_12</vt:lpwstr>
  </property>
</Properties>
</file>