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0" w:beforeLines="0" w:beforeAutospacing="0" w:after="0" w:afterLines="0" w:afterAutospacing="0" w:line="240" w:lineRule="auto"/>
        <w:jc w:val="left"/>
        <w:rPr>
          <w:rFonts w:ascii="宋体" w:eastAsia="宋体"/>
          <w:sz w:val="32"/>
          <w:szCs w:val="32"/>
        </w:rPr>
      </w:pPr>
    </w:p>
    <w:p>
      <w:pPr>
        <w:widowControl/>
        <w:spacing w:before="0" w:beforeLines="0" w:beforeAutospacing="0" w:after="0" w:afterLines="0" w:afterAutospacing="0" w:line="240" w:lineRule="auto"/>
        <w:jc w:val="left"/>
        <w:rPr>
          <w:rFonts w:ascii="宋体" w:eastAsia="宋体"/>
          <w:sz w:val="44"/>
          <w:szCs w:val="44"/>
        </w:rPr>
      </w:pPr>
    </w:p>
    <w:p>
      <w:pPr>
        <w:widowControl/>
        <w:spacing w:before="0" w:beforeLines="0" w:beforeAutospacing="0" w:after="0" w:afterLines="0" w:afterAutospacing="0" w:line="240" w:lineRule="auto"/>
        <w:jc w:val="left"/>
        <w:rPr>
          <w:rFonts w:ascii="宋体" w:eastAsia="宋体"/>
          <w:sz w:val="44"/>
          <w:szCs w:val="44"/>
        </w:rPr>
      </w:pPr>
    </w:p>
    <w:p>
      <w:pPr>
        <w:widowControl/>
        <w:spacing w:before="0" w:beforeLines="0" w:beforeAutospacing="0" w:after="0" w:afterLines="0" w:afterAutospacing="0" w:line="240" w:lineRule="auto"/>
        <w:jc w:val="left"/>
        <w:rPr>
          <w:rFonts w:ascii="宋体" w:eastAsia="宋体"/>
          <w:sz w:val="44"/>
          <w:szCs w:val="44"/>
        </w:rPr>
      </w:pPr>
    </w:p>
    <w:p>
      <w:pPr>
        <w:widowControl/>
        <w:spacing w:before="0" w:beforeLines="0" w:beforeAutospacing="0" w:after="0" w:afterLines="0" w:afterAutospacing="0" w:line="240" w:lineRule="auto"/>
        <w:jc w:val="center"/>
        <w:outlineLvl w:val="0"/>
        <w:rPr>
          <w:rFonts w:ascii="宋体" w:eastAsia="黑体"/>
          <w:sz w:val="44"/>
          <w:szCs w:val="44"/>
        </w:rPr>
      </w:pPr>
      <w:r>
        <w:rPr>
          <w:rFonts w:ascii="宋体" w:eastAsia="黑体"/>
          <w:b w:val="0"/>
          <w:sz w:val="44"/>
          <w:szCs w:val="44"/>
        </w:rPr>
        <w:t>伊犁哈萨克自治州无线电管理中心</w:t>
      </w:r>
    </w:p>
    <w:p>
      <w:pPr>
        <w:widowControl/>
        <w:spacing w:before="0" w:beforeLines="0" w:beforeAutospacing="0" w:after="0" w:afterLines="0" w:afterAutospacing="0" w:line="240" w:lineRule="auto"/>
        <w:jc w:val="center"/>
        <w:outlineLvl w:val="0"/>
        <w:rPr>
          <w:rFonts w:ascii="黑体" w:eastAsia="黑体"/>
          <w:sz w:val="44"/>
          <w:szCs w:val="44"/>
        </w:rPr>
      </w:pPr>
      <w:r>
        <w:rPr>
          <w:rFonts w:ascii="黑体" w:eastAsia="黑体"/>
          <w:b w:val="0"/>
          <w:sz w:val="44"/>
          <w:szCs w:val="44"/>
        </w:rPr>
        <w:t>2024年度部门决算公开说明</w:t>
      </w:r>
    </w:p>
    <w:p>
      <w:pPr>
        <w:widowControl/>
      </w:pPr>
      <w:r>
        <w:rPr>
          <w:b w:val="0"/>
          <w:sz w:val="0"/>
          <w:szCs w:val="0"/>
        </w:rPr>
        <w:br w:type="page"/>
      </w:r>
    </w:p>
    <w:p>
      <w:pPr>
        <w:widowControl/>
        <w:spacing w:before="0" w:beforeLines="0" w:beforeAutospacing="0" w:after="0" w:afterLines="0" w:afterAutospacing="0" w:line="240" w:lineRule="auto"/>
        <w:jc w:val="center"/>
        <w:rPr>
          <w:rFonts w:ascii="黑体" w:eastAsia="黑体"/>
          <w:sz w:val="32"/>
          <w:szCs w:val="32"/>
        </w:rPr>
      </w:pPr>
      <w:r>
        <w:rPr>
          <w:rFonts w:ascii="黑体" w:eastAsia="黑体"/>
          <w:b/>
          <w:sz w:val="32"/>
          <w:szCs w:val="32"/>
        </w:rPr>
        <w:t>目  录</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第一部分单位概况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一、主要职能</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二、机构设置及人员情况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第二部分 部门决算情况说明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一、收入支出决算总体情况说明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四、财政拨款收入支出决算总体情况说明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（一）一般公共预算财政拨款支出决算总体情况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（二）一般公共预算财政拨款支出决算结构情况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（三）一般公共预算财政拨款支出决算具体情况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六、一般公共预算财政拨款基本支出决算情况说明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九、财政拨款“三公”经费支出决算情况说明</w:t>
      </w:r>
    </w:p>
    <w:p>
      <w:pPr>
        <w:widowControl/>
        <w:spacing w:before="0" w:beforeLines="0" w:beforeAutospacing="0" w:after="0" w:afterLines="0" w:afterAutospacing="0" w:line="240" w:lineRule="auto"/>
        <w:jc w:val="left"/>
        <w:rPr>
          <w:rFonts w:ascii="仿宋_GB2312" w:eastAsia="仿宋_GB2312"/>
          <w:sz w:val="32"/>
          <w:szCs w:val="32"/>
        </w:rPr>
      </w:pPr>
      <w:bookmarkStart w:id="0" w:name="_GoBack"/>
      <w:bookmarkEnd w:id="0"/>
      <w:r>
        <w:rPr>
          <w:rFonts w:ascii="仿宋_GB2312" w:eastAsia="仿宋_GB2312"/>
          <w:b w:val="0"/>
          <w:sz w:val="32"/>
          <w:szCs w:val="32"/>
        </w:rPr>
        <w:t>十、其他重要事项的情况说明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（一）机关运行经费及公用经费支出情况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（二）政府采购情况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（三）国有资产占用情况说明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十一、预算绩效的情况说明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十二、其他需说明的事项</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第三部分 专业名词解释</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第四部分 部门决算报表（见附表）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六、《一般公共预算财政拨款基本支出决算表》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九、《财政拨款“三公”经费支出决算表》</w:t>
      </w: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第一部分 单位概况</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 一、主要职能</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根据自治区工业和信息化厅授权，协调处理辖区内无线电管理相关事宜。</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二、机构设置及人员情况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伊犁哈萨克自治州无线电管理中心2024年度，实有人数8人，其中：在职人员6人，较上年无变化；离休人员0人，较上年无变化；退休人员2人，较上年无变化；</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伊犁哈萨克自治州无线电管理中心无下属预算单位，下设3个科室，分别是：业务科、综合科、监测站。</w:t>
      </w: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第二部分 部门决算情况说明</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一、收入支出决算总体情况说明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2024年度收入总计260.55万元，其中：本年收入合计249.37万元，使用非财政拨款结余（含专用结余）11.18万元，年初结转和结余0.00万元。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2024年度支出总计260.55万元，其中：本年支出合计257.30万元，结余分配0.00万元，年末结转和结余3.26万元。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收入支出总体与上年相比，增加27.97万元，增长12.03%，主要原因是：（一）收入总计与上年相比增加27.97万元，其中：1.本年收入249.37万元，较上年增加16.92万元，一是非财政拨款收入较上年增加25.77万元，主要是根据自治区财政厅印发《新疆维吾尔自治区行政事业单位国有资产使用管理办法》的通知（新财规〔2023〕3号）文件，本年将事业单位国有资产房屋出租收入25.80万元纳入单位预算、银行利息收入减少0.03万元。二是财政拨款收入较上年减少8.85万元，主要是中央无线电管理经费项目减少18.35万元，主动压减一般性支出公用经费减少1.86万元；在职人员调资及社保、公积金缴费基数上调等原因，人员经费增加11.36万元。2.使用非财政拨款结余（含专用结余）11.18万元，较上年增加11.18万元，主要是本年使用非财政拨款结余资金新增安排无线电资产运维及更新项目。3.年初结转和结余0.00万元，较上年减少0.13万元，主要是本年无年初结转和结余。（二）支出总计与上年相比增加27.97万元，其中：1.本年支出257.30万元，较上年增加24.93万元，一是非财政拨款支出较上年增加33.78万元，为本年新增无线电业务运维项目支出。二是财政拨款支出较上年减少8.85万元，主要是中央无线电管理经费项目减少18.35万元，主动压减一般性支出公用经费减少1.86万元；在职人员调资及社保、公积金缴费基数上调等原因，人员经费支出增加11.36万元。2.结余分配0.00万元，较上年减少0.22万元，本年无结余分配资金。3.年末结转和结余3.26万元，较上年增加3.26万元，本年新增的无线电业务运维项目年末有结余。</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二、收入决算情况说明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本年收入249.37万元，其中：财政拨款收入223.51万元,占89.63%；上级补助收入0.00万元,占0.00%；事业收入0.00万元，占0.00%；经营收入0.00万元,占0.00%；附属单位上缴收入0.00万元，占0.00%；其他收入25.86万元，占10.37%。</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三、支出决算情况说明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本年支出257.30万元，其中：基本支出144.40万元，占56.12%；项目支出112.90万元，占43.88%；上缴上级支出0.00万元，占0.00%；经营支出0.00万元，占0.00%；对附属单位补助支出0.00万元，占0.00%。</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四、财政拨款收入支出决算总体情况说明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2024年度财政拨款收入总计223.51万元，其中：年初财政拨款结转和结余0.00万元，本年财政拨款收入223.51万元。财政拨款支出总计223.51万元，其中：年末财政拨款结转和结余0.00万元，本年财政拨款支出223.51万元。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财政拨款收入支出总体与上年相比，减少8.85万元，下降3.81%，主要原因是：一是中央无线电管理经费项目减少18.35万元；二是响应过紧日子要求，主动压减一般性支出，公用经费减少1.86万元；三是在职人员调资及社保、公积金缴费基数上调等原因，人员经费增加11.36万元。与年初预算相比，年初预算数228.93万元，决算数223.51万元，预决算差异率-2.37%，主要原因是：在年度执行中，根据自治区财政厅下达文件追加及调减预算，一是追加一般公共预算财政拨款基本预算人员类项目3.00万元；二是响应过紧日子要求，主动压减一般性支出，调减年初一般公共预算财政拨款基本预算公用经费3.27万元；三是调减年初一般公共预算财政拨款项目预算中央无线电管理经费5.15万元。由于以上事项，与年初预算数存在差异。</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五、一般公共预算财政拨款支出决算情况说明</w:t>
      </w:r>
    </w:p>
    <w:p>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（一）一般公共预算财政拨款支出决算总体情况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一般公共预算财政拨款支出223.51万元，占本年支出合计的86.87%。与上年相比，减少8.85万元，下降3.81%，主要原因是：一是基本支出增加9.50万元，其中：1.人员经费支出增加11.36万元，主要是在职人员调资及社保、公积金缴费基数上调等原因；2.公用经费支出减少1.86万元，是响应过紧日子要求，主动压减一般性支出。二是项目支出减少18.35万元，本年中央无线电管理经费减少。与年初预算相比，年初预算数228.93万元，决算数223.51万元，预决算差异率-2.37%，主要原因是：在年度执行中，根据自治区财政厅下达文件追加及调减预算，一是追加一般公共预算财政拨款基本预算人员类项目3.00万元；二是响应过紧日子要求，主动压减一般性支出，调减年初一般公共预算财政拨款基本预算公用经费3.27万元；三是调减年初一般公共预算财政拨款项目预算中央无线电管理经费55.15万元。由于以上事项，与年初预算数存在差异。</w:t>
      </w:r>
    </w:p>
    <w:p>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（二）一般公共预算财政拨款支出决算结构情况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社会保障和就业支出（类）16.18万元，占7.24%。</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卫生健康支出（类）5.92万元，占2.65%。</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资源勘探工业信息等支出（类）192.62万元，占86.18%。</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住房保障支出（类）8.80万元，占3.94%。</w:t>
      </w:r>
    </w:p>
    <w:p>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（三）一般公共预算财政拨款支出决算具体情况</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1、社会保障和就业支出（类）行政事业单位养老支出（款）事业单位离退休（项）：支出决算数为4.44万元，比上年决算增加2.59万元，增长140.00%，主要原因是：退休人员养老待遇提高。</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2、社会保障和就业支出（类）行政事业单位养老支出（款）机关事业单位基本养老保险缴费支出（项）：支出决算数为11.74万元，比上年决算增加1.34万元，增长12.88%，主要原因是：养老保险缴费基数上调。</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3、社会保障和就业支出（类）行政事业单位养老支出（款）机关事业单位职业年金缴费支出（项）：支出决算数为0.00万元，比上年决算减少0.89万元，下降100.00%，主要原因是：本年无职业年金记实事项。</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4、卫生健康支出（类）行政事业单位医疗（款）事业单位医疗（项）：支出决算数为5.92万元，比上年决算增加0.54万元，增长10.04%，主要原因是：基本医疗保险缴费基数上调。</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5、资源勘探工业信息等支出（类）工业和信息产业监管（款）无线电及信息通信监管（项）：支出决算数为192.62万元，比上年决算减少13.12万元，下降6.38%，主要原因是：一是基本支出较上年增加5.23万元，其中：在职人员调资，人员经费增加7.10万元；响应过紧日子要求，主动压减一般性支出，公用经费减少1.87万元。二是项目支出较上年减少18.35万元，本年中央无线电管理经费减少。</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6、住房保障支出（类）住房改革支出（款）住房公积金（项）：支出决算数为8.80万元，比上年决算增加0.69万元，增长8.51%，主要原因是：住房公积金缴费基数上调。</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六、一般公共预算财政拨款基本支出决算情况说明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一般公共预算财政拨款基本支出144.40万元，其中：人员经费116.94万元，包括：基本工资、津贴补贴、奖金、绩效工资、机关事业单位基本养老保险缴费、职工基本医疗保险缴费、其他社会保障缴费、住房公积金、其他工资福利支出、退休费、奖励金和其他对个人和家庭的补助。</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公用经费27.46万元，包括：办公费、水费、电费、邮电费、取暖费、差旅费、工会经费、福利费、公务用车运行维护费和其他商品和服务支出。</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七、政府性基金预算财政拨款收入支出决算情况说明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本单位本年度无政府性基金预算财政拨款收入、支出及结转和结余，政府性基金预算财政拨款收入支出决算表为空表。</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八、国有资本经营预算财政拨款收入支出决算情况说明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本单位本年度无国有资本经营预算财政拨款收入、支出及结转和结余，国有资本经营预算财政拨款收入支出决算表为空表。</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九、财政拨款“三公”经费支出决算情况说明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财政拨款“三公”经费支出7.82万元，比上年减少6.89万元，下降46.84%，主要原因是：严格执行中央八项规定及相关细则，做到“三公”经费只减不增，无预算不支出。其中：因公出国（境）费支出0.00万元,占0.00%，与上年相比无变化，主要原因是：我单位无因公出国（境）费；公务用车购置及运行维护费支出7.82万元，占100.00%，比上年减少6.89万元，下降46.84%，主要原因是：严格执行公务用车管理制度，合理控制公务用车运行费用；公务接待费支出0.00万元，占0.00%，与上年相比无变化，主要原因是：我单位无公务接待费。</w:t>
      </w:r>
    </w:p>
    <w:p>
      <w:pPr>
        <w:widowControl/>
        <w:spacing w:before="0" w:beforeLines="0" w:beforeAutospacing="0" w:after="0" w:afterLines="0" w:afterAutospacing="0" w:line="240" w:lineRule="auto"/>
        <w:ind w:firstLine="640" w:firstLineChars="200"/>
        <w:jc w:val="left"/>
        <w:rPr>
          <w:rFonts w:ascii="仿宋_GB2312" w:eastAsia="仿宋_GB2312"/>
          <w:sz w:val="32"/>
          <w:szCs w:val="32"/>
        </w:rPr>
      </w:pPr>
      <w:r>
        <w:rPr>
          <w:rFonts w:ascii="仿宋_GB2312" w:eastAsia="仿宋_GB2312"/>
          <w:b w:val="0"/>
          <w:sz w:val="32"/>
          <w:szCs w:val="32"/>
        </w:rPr>
        <w:t>具体情况如下：</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因公出国（境）费支出0.00万元，开支内容包括无因公出国（境）费。单位全年安排的因公出国（境）团组0个，因公出国（境）0人次。</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务用车购置及运行维护费7.82万元，其中：公务用车购置费0.00万元，公务用车运行维护费7.82万元。公务用车运行维护费开支内容包括车辆保险、停车过路费、车辆审验、车辆加油、车辆维修等费用。公务用车购置数0辆，公务用车保有量7辆。国有资产占用情况中固定资产车辆7辆，与公务用车保有量差异原因是：与公务用车保有量无差异。</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公务接待费0.00万元，开支内容包括无公务接待费。单位全年安排的国内公务接待0批次，0人次。</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与全年预算相比，财政拨款“三公”经费支出全年预算数7.90万元，决算数7.82万元，预决算差异率-1.01%，主要原因是：严格执行中央八项规定及相关细则，合理压减预算资金。其中：因公出国（境）费全年预算数0.00万元，决算数0.00万元，预决算差异率0.00%，主要原因是：我单位无因公出国（境）费；公务用车购置费全年预算数0.00万元，决算数0.00万元，预决算差异率0.00%，主要原因是：我单位无公务用车购置费；公务用车运行维护费全年预算数7.90万元，决算数7.82万元，预决算差异率-1.01%，主要原因是：严格执行公务用车管理制度，合理压减公务用车运行费用；公务接待费全年预算数0.00万元，决算数0.00万元，预决算差异率0.00%，主要原因是：我单位无公务接待费。</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十、其他重要事项的情况说明</w:t>
      </w:r>
    </w:p>
    <w:p>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（一）机关运行经费及公用经费支出情况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2024年度伊犁哈萨克自治州无线电管理中心单位（事业单位）公用经费支出27.46万元，比上年减少1.87万元，下降6.38%，主要原因是：响应过紧日子要求，主动压减一般性支出，公用经费支出减少。</w:t>
      </w:r>
    </w:p>
    <w:p>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（二）政府采购情况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2024年度政府采购支出总额37.71万元，其中：政府采购货物支出0.59万元、政府采购工程支出2.26万元、政府采购服务支出34.86万元。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授予中小企业合同金额24.86万元，占政府采购支出总额的65.92%，其中：授予小微企业合同金额24.86万元，占政府采购支出总额的65.92%。</w:t>
      </w:r>
    </w:p>
    <w:p>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（三）国有资产占用情况说明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截至2024年12月31日，房屋8,332.10平方米，价值1,779.80万元。车辆7辆，价值384.79万元，其中：副部（省）级及以上领导用车0辆、主要负责人用车0辆、机要通信用车0辆、应急保障用车0辆、执法执勤用车0辆、特种专业技术用车6辆、离退休干部服务用车0辆、其他用车1辆，其他用车主要是：日常业务公务用车;单价100万元（含）以上设备（不含车辆）8台（套）。</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十一、预算绩效的情况说明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根据预算绩效管理要求，本单位2024年度预算绩效评价项目2个，全年预算数43.67万元，全年执行数33.78万元。预算绩效管理取得的成效：一是严格执行《工信厅全面预算绩效管理办法》，日常对项目资金加快预算执行，确保绩效监控和绩效评价执行率，规范各项预算执行活动,确保预算执行的及时性、准确性和规范性,发挥财政资金的最大效用,取得了良好的绩效成果；二是各项工作实施及资金使用情况均在绩效目标设定时限完成，在项目经费的使用上，在保证各项任务顺利完成的同时，严格落实厉行节约的原则；三是突出做好项目保障工作，确保项目质量和效益，助力经济高质量发展，维护社会稳定和长治久安。发现的问题及原因：组织开展项目绩效评价工作时,因项目采购、合同执行周期长，预算执行率偏低，致使项目在绩效监控节点时，影响单位整体绩效评价总体分值。下一步改进措施：一是完善各项内控制度，建立上下协调、科室联动、层层抓落实的工作责任制，将绩效管理责任分解落实到具体科室、明确到具体责任人，确保每一笔资金花得安全、用得高效；二是加强对专项资金预算绩效监控力度，加强对专项资金预算执行力度的考核，确保项目执行按期完成；三是建立健全绩效管理与预算管理有机结合的工作机制，落实绩效评价结果成为预算编制的重要参考因素。具体附项目支出绩效自评表。</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十二、其他需说明的事项</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本单位无其他需说明事项。</w:t>
      </w:r>
    </w:p>
    <w:p>
      <w:pPr>
        <w:widowControl/>
        <w:spacing w:before="0" w:beforeLines="0" w:beforeAutospacing="0" w:after="0" w:afterLines="0" w:afterAutospacing="0" w:line="240" w:lineRule="auto"/>
        <w:ind w:firstLine="640" w:firstLineChars="200"/>
        <w:jc w:val="left"/>
        <w:rPr>
          <w:rFonts w:ascii="仿宋_GB2312" w:eastAsia="仿宋_GB2312"/>
          <w:sz w:val="32"/>
          <w:szCs w:val="32"/>
        </w:rPr>
      </w:pP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第三部分 专业名词解释</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一、财政拨款收入：</w:t>
      </w:r>
      <w:r>
        <w:rPr>
          <w:rFonts w:ascii="仿宋_GB2312" w:eastAsia="仿宋_GB2312"/>
          <w:b w:val="0"/>
          <w:sz w:val="32"/>
          <w:szCs w:val="32"/>
        </w:rPr>
        <w:t>指同级财政当年拨付的资金。</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二、上级补助收入：</w:t>
      </w:r>
      <w:r>
        <w:rPr>
          <w:rFonts w:ascii="仿宋_GB2312" w:eastAsia="仿宋_GB2312"/>
          <w:b w:val="0"/>
          <w:sz w:val="32"/>
          <w:szCs w:val="32"/>
        </w:rPr>
        <w:t>指事业单位从主管部门和上级单位取得的非财政补助收入。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三、事业收入：</w:t>
      </w:r>
      <w:r>
        <w:rPr>
          <w:rFonts w:ascii="仿宋_GB2312" w:eastAsia="仿宋_GB2312"/>
          <w:b w:val="0"/>
          <w:sz w:val="32"/>
          <w:szCs w:val="32"/>
        </w:rPr>
        <w:t>指事业单位开展专业业务活动及其辅助活动所取得的收入。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四、经营收入：</w:t>
      </w:r>
      <w:r>
        <w:rPr>
          <w:rFonts w:ascii="仿宋_GB2312" w:eastAsia="仿宋_GB2312"/>
          <w:b w:val="0"/>
          <w:sz w:val="32"/>
          <w:szCs w:val="32"/>
        </w:rPr>
        <w:t>指事业单位在专业业务活动及其辅助活动之外开展非独立核算经营活动取得的收入。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五、附属单位上缴收入：</w:t>
      </w:r>
      <w:r>
        <w:rPr>
          <w:rFonts w:ascii="仿宋_GB2312" w:eastAsia="仿宋_GB2312"/>
          <w:b w:val="0"/>
          <w:sz w:val="32"/>
          <w:szCs w:val="32"/>
        </w:rPr>
        <w:t>指事业单位附属的独立核算单位按有关规定上缴的收入。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六、其他收入：</w:t>
      </w:r>
      <w:r>
        <w:rPr>
          <w:rFonts w:ascii="仿宋_GB2312" w:eastAsia="仿宋_GB2312"/>
          <w:b w:val="0"/>
          <w:sz w:val="32"/>
          <w:szCs w:val="32"/>
        </w:rPr>
        <w:t>指除上述“财政拨款收入”、“事业收入”、“经营收入”、“附属单位上缴收入”等之外取得的收入。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七、年初结转和结余：</w:t>
      </w:r>
      <w:r>
        <w:rPr>
          <w:rFonts w:ascii="仿宋_GB2312" w:eastAsia="仿宋_GB2312"/>
          <w:b w:val="0"/>
          <w:sz w:val="32"/>
          <w:szCs w:val="32"/>
        </w:rPr>
        <w:t>指以前年度支出预算因客观条件变化未执行完毕、结转到本年度按有关规定继续使用的资金，既包括财政拨款结转和结余，也包括事业收入、经营收入、其他收入的结转和结余。</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八、年末结转和结余：</w:t>
      </w:r>
      <w:r>
        <w:rPr>
          <w:rFonts w:ascii="仿宋_GB2312" w:eastAsia="仿宋_GB2312"/>
          <w:b w:val="0"/>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九、基本支出：</w:t>
      </w:r>
      <w:r>
        <w:rPr>
          <w:rFonts w:ascii="仿宋_GB2312" w:eastAsia="仿宋_GB2312"/>
          <w:b w:val="0"/>
          <w:sz w:val="32"/>
          <w:szCs w:val="32"/>
        </w:rPr>
        <w:t>指为保障机构正常运转、完成日常工作任务而发生的人员支出和公用支出。</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十、项目支出：</w:t>
      </w:r>
      <w:r>
        <w:rPr>
          <w:rFonts w:ascii="仿宋_GB2312" w:eastAsia="仿宋_GB2312"/>
          <w:b w:val="0"/>
          <w:sz w:val="32"/>
          <w:szCs w:val="32"/>
        </w:rPr>
        <w:t>指在基本支出之外为完成特定行政任务和事业发展目标所发生的支出。</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十一、经营支出：</w:t>
      </w:r>
      <w:r>
        <w:rPr>
          <w:rFonts w:ascii="仿宋_GB2312" w:eastAsia="仿宋_GB2312"/>
          <w:b w:val="0"/>
          <w:sz w:val="32"/>
          <w:szCs w:val="32"/>
        </w:rPr>
        <w:t>指事业单位在专业业务活动及其辅助活动之外开展非独立核算经营活动发生的支出。</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b w:val="0"/>
          <w:sz w:val="32"/>
          <w:szCs w:val="32"/>
        </w:rPr>
        <w:t>指事业单位发生的用非财政预算资金对附属单位的补助支出。</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十三、“三公”经费：</w:t>
      </w:r>
      <w:r>
        <w:rPr>
          <w:rFonts w:ascii="仿宋_GB2312" w:eastAsia="仿宋_GB2312"/>
          <w:b w:val="0"/>
          <w:sz w:val="32"/>
          <w:szCs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十四、机关运行经费：</w:t>
      </w:r>
      <w:r>
        <w:rPr>
          <w:rFonts w:ascii="仿宋_GB2312" w:eastAsia="仿宋_GB2312"/>
          <w:b w:val="0"/>
          <w:sz w:val="32"/>
          <w:szCs w:val="32"/>
        </w:rPr>
        <w:t>行政单位和参照公务员法管理的事业单位财政拨款基本支出中的公用经费支出。</w:t>
      </w: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第四部分 部门决算报表（见附表）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一、《收入支出决算总表》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二、《收入决算表》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三、《支出决算表》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四、《财政拨款收入支出决算总表》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五、《一般公共预算财政拨款支出决算表》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六、《一般公共预算财政拨款基本支出决算表》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七、《政府性基金预算财政拨款收入支出决算表》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八、《国有资本经营预算财政拨款收入支出决算表》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九、《财政拨款“三公”经费支出决算表》</w:t>
      </w:r>
    </w:p>
    <w:sectPr>
      <w:pgSz w:w="12240" w:h="15840"/>
      <w:pgMar w:top="1440" w:right="1800" w:bottom="1440" w:left="1800" w:header="720" w:footer="720"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compat>
    <w:useFELayout/>
    <w:splitPgBreakAndParaMark/>
    <w:compatSetting w:name="compatibilityMode" w:uri="http://schemas.microsoft.com/office/word" w:val="12"/>
  </w:compat>
  <w:rsids>
    <w:rsidRoot w:val="00000000"/>
    <w:rsid w:val="017E10B0"/>
    <w:rsid w:val="04463E42"/>
    <w:rsid w:val="18092835"/>
    <w:rsid w:val="22FA7D25"/>
    <w:rsid w:val="32BB170C"/>
    <w:rsid w:val="36841A32"/>
    <w:rsid w:val="446019A5"/>
    <w:rsid w:val="4BC73E38"/>
    <w:rsid w:val="79584B3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rPr>
  </w:style>
  <w:style w:type="character" w:default="1" w:styleId="2">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ScaleCrop>false</ScaleCrop>
  <LinksUpToDate>false</LinksUpToDate>
  <Application>WPS Office_10.8.0.6308_F1E327BC-269C-435d-A152-05C5408002CA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2025-09-03T17:43:00Z</dcterms:created>
  <dc:creator>Administrator.USER-20210616CT</dc:creator>
  <cp:lastModifiedBy>Administrator</cp:lastModifiedBy>
  <dcterms:modified xsi:type="dcterms:W3CDTF">2025-09-05T02:37:49Z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