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3D1E1">
      <w:pPr>
        <w:widowControl/>
        <w:spacing w:before="0" w:beforeLines="0" w:beforeAutospacing="0" w:after="0" w:afterLines="0" w:afterAutospacing="0" w:line="240" w:lineRule="auto"/>
        <w:jc w:val="left"/>
        <w:rPr>
          <w:rFonts w:ascii="宋体" w:eastAsia="宋体"/>
          <w:sz w:val="32"/>
          <w:szCs w:val="32"/>
        </w:rPr>
      </w:pPr>
    </w:p>
    <w:p w14:paraId="13C70A8C">
      <w:pPr>
        <w:widowControl/>
        <w:spacing w:before="0" w:beforeLines="0" w:beforeAutospacing="0" w:after="0" w:afterLines="0" w:afterAutospacing="0" w:line="240" w:lineRule="auto"/>
        <w:jc w:val="left"/>
        <w:rPr>
          <w:rFonts w:ascii="宋体" w:eastAsia="宋体"/>
          <w:sz w:val="44"/>
          <w:szCs w:val="44"/>
        </w:rPr>
      </w:pPr>
    </w:p>
    <w:p w14:paraId="7B76A43B">
      <w:pPr>
        <w:widowControl/>
        <w:spacing w:before="0" w:beforeLines="0" w:beforeAutospacing="0" w:after="0" w:afterLines="0" w:afterAutospacing="0" w:line="240" w:lineRule="auto"/>
        <w:jc w:val="left"/>
        <w:rPr>
          <w:rFonts w:ascii="宋体" w:eastAsia="宋体"/>
          <w:sz w:val="44"/>
          <w:szCs w:val="44"/>
        </w:rPr>
      </w:pPr>
    </w:p>
    <w:p w14:paraId="5A65C241">
      <w:pPr>
        <w:widowControl/>
        <w:spacing w:before="0" w:beforeLines="0" w:beforeAutospacing="0" w:after="0" w:afterLines="0" w:afterAutospacing="0" w:line="240" w:lineRule="auto"/>
        <w:jc w:val="left"/>
        <w:rPr>
          <w:rFonts w:ascii="宋体" w:eastAsia="宋体"/>
          <w:sz w:val="44"/>
          <w:szCs w:val="44"/>
        </w:rPr>
      </w:pPr>
    </w:p>
    <w:p w14:paraId="4E75C292">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哈密市无线电管理中心</w:t>
      </w:r>
    </w:p>
    <w:p w14:paraId="1AD9D3A0">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107069D6">
      <w:pPr>
        <w:widowControl/>
      </w:pPr>
      <w:r>
        <w:rPr>
          <w:b w:val="0"/>
          <w:sz w:val="0"/>
          <w:szCs w:val="0"/>
        </w:rPr>
        <w:br w:type="page"/>
      </w:r>
    </w:p>
    <w:p w14:paraId="2DC8A852">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53FA50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280827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59CE08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343BB02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4020730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FB88D8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72B7F18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649322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41E3C96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231C56A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230C443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4520C18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657B6F5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3CB195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8DDF41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10F7357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59E5C8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01A37F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5920BE2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6F929B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280CAD4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CB1C3B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B4195E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5916E5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1696D1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29621D5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11C71CC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474994C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7D0C15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6D3F3E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76AC45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D0AD82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693B0B2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011F47B5">
      <w:pPr>
        <w:widowControl/>
      </w:pPr>
      <w:r>
        <w:rPr>
          <w:b w:val="0"/>
          <w:sz w:val="0"/>
          <w:szCs w:val="0"/>
        </w:rPr>
        <w:br w:type="page"/>
      </w:r>
    </w:p>
    <w:p w14:paraId="17BFC13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39721D7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141EE4E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14:paraId="32EB5CF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5628D7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哈密市无线电管理中心2024年度，实有人数8人，其中：在职人员8人，较上年无变化；离休人员0人，较上年无变化；退休人员0人，较上年无变化；</w:t>
      </w:r>
    </w:p>
    <w:p w14:paraId="5F80F0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哈密市无线电管理中心无下属预算单位，下设3个科室，分别是：业务科、综合科、监测站。</w:t>
      </w:r>
    </w:p>
    <w:p w14:paraId="2C30F833">
      <w:pPr>
        <w:widowControl/>
      </w:pPr>
      <w:r>
        <w:rPr>
          <w:b w:val="0"/>
          <w:sz w:val="0"/>
          <w:szCs w:val="0"/>
        </w:rPr>
        <w:br w:type="page"/>
      </w:r>
    </w:p>
    <w:p w14:paraId="040F953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10D3D0F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1E4405C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2024年度收入总计261.23万元，其中：本年收入合计261.15万元，使用非财政拨款结余（含专用结余）0.00万元，年初结转和结余0.08万元。</w:t>
      </w:r>
    </w:p>
    <w:p w14:paraId="5B95EF4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2024年度支出总计261.23万元，其中：本年支出合计259.94万元，结余分配0.00万元，年末结转和结余1.29万元。</w:t>
      </w:r>
    </w:p>
    <w:p w14:paraId="5F5284E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133.79万元，下降33.87%，主要原因是：一是一般公共预算财政拨款收入较上年减少149.05万元，其中：1.一般公共预算中央转移支付收入减少158.70万元；2.一般公共预算基本收入增加9.66万元，主要是在职人员工资正常晋升，人员经费增加10.42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要求，主动压减一般性支，公用经费减少0.77万元。二是其他收入较上年增加15.22万元，主要是国有资产出租出借收入增加15.21万元。三是年末结转结余增加0.04万元。</w:t>
      </w:r>
    </w:p>
    <w:p w14:paraId="4C05113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440003F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本年收入261.15万元，其中：财政拨款收入245.90万元,占94.16%；上级补助收入0.00万元,占0.00%；事业收入0.00万元，占0.00%；经营收入0.00万元,占0.00%；附属单位上缴收入0.00万元，占0.00%；其他收入15.25万元，占5.84%。</w:t>
      </w:r>
    </w:p>
    <w:p w14:paraId="2762F84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30A2CFC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本年支出259.94万元，其中：基本支出184.86万元，占71.12%；项目支出75.08万元，占28.88%；上缴上级支出0.00万元，占0.00%；经营支出0.00万元，占0.00%；对附属单位补助支出0.00万元，占0.00%。</w:t>
      </w:r>
    </w:p>
    <w:p w14:paraId="528ABA9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1BDEA7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2024年度财政拨款收入总计245.90万元，其中：年初财政拨款结转和结余0.00万元，本年财政拨款收入245.90万元。财政拨款支出总计245.90万元，其中：年末财政拨款结转和结余0.00万元，本年财政拨款支出245.90万元。</w:t>
      </w:r>
    </w:p>
    <w:p w14:paraId="44C4642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149.05万元，下降37.74%，主要原因是：一是一般公共预算中央转移支付收入减少158.70万元；二是一般公共预算基本收入增加9.66万元，主要是在职人员工资正常晋升，人员经费增加10.42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公用经费减少0.77万元。与年初预算相比，年初预算数252.93万元，决算数245.90万元，预决算差异率-2.78%，主要原因是：在年度执行中，根据自治区财政厅下达文件追加及调减预算，一是追加一般公共预算财政拨款基本预算人员类项目14.34万元；二是调减年初一般公共预算财政拨款基本支出人员类项目5.50万元；三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要求，主动压减年初一般公共预算财政拨款公用经费1.44万元；四是调减年初一般公共预算财政拨款项目预算中央无线电管理经费项目14.43万元。</w:t>
      </w:r>
    </w:p>
    <w:p w14:paraId="205795E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B7C347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28FBD5B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245.90万元，占本年支出合计的94.60%。与上年相比，减少149.05万元，下降37.74%，主要原因是：一是一般公共预算中央转移支付支出减少158.70万元，二是一般公共预算基本支出增加9.66万元，其中：1.人员经费增加10.42万元，主要在职人员工资正常晋升；2.公用经费减少0.77万元，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与年初预算相比，年初预算数252.93万元，决算数245.90万元，预决算差异率-2.78%，主要原因是：在年度执行中，根据自治区财政厅下达文件追加及调减预算，一是追加一般公共预算财政拨款基本预算人员类项目14.34万元；二是调减年初一般公共预算财政拨款基本支出人员类项目5.50万元；三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要求，主动压减年初一般公共预算财政拨款公用经费1.44万元；四是调减年初一般公共预算财政拨款项目预算中央无线电管理经费项目14.43万元。</w:t>
      </w:r>
    </w:p>
    <w:p w14:paraId="4A71A39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348FE9F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社会保障和就业支出（类）19.80万元，占8.05%。</w:t>
      </w:r>
    </w:p>
    <w:p w14:paraId="68F3992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卫生健康支出（类）10.48万元，占4.26%。</w:t>
      </w:r>
    </w:p>
    <w:p w14:paraId="41A1BA1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资源勘探工业信息等支出（类）202.93万元，占82.53%。</w:t>
      </w:r>
    </w:p>
    <w:p w14:paraId="5BA787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住房保障支出（类）12.69万元，占5.16%。</w:t>
      </w:r>
    </w:p>
    <w:p w14:paraId="181D053D">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465B8AF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机关事业单位基本养老保险缴费支出（项）：支出决算数为17.38万元，比上年决算增加2.60万元，增长17.59%，主要原因是：在职人员工资标准调整，缴费基数提高。</w:t>
      </w:r>
    </w:p>
    <w:p w14:paraId="21F168D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2、社会保障和就业支出（类）行政事业单位养老支出（款）机关事业单位职业年金缴费支出（项）：支出决算数为2.42万元，比上年决算增加2.42万元，增长100.00%，主要原因是：本年有退休人员，职业年金记实。</w:t>
      </w:r>
    </w:p>
    <w:p w14:paraId="457EBF6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3、卫生健康支出（类）行政事业单位医疗（款）事业单位医疗（项）：支出决算数为7.22万元，比上年决算减少0.09万元，下降1.23%，主要原因是：加强预算精准化，合理调整相关预算资金。</w:t>
      </w:r>
    </w:p>
    <w:p w14:paraId="22E48E2D">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4、卫生健康支出（类）行政事业单位医疗（款）公务员医疗补助（项）：支出决算数为3.26万元，比上年决算减少1.47万元，下降31.08%，主要原因是：加强预算精准化，合理调整相关预算资金。</w:t>
      </w:r>
    </w:p>
    <w:p w14:paraId="2941061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202.93万元，比上年决算减少153.42万元，下降43.05%，主要原因是：一是一般公共预算财政拨基本支出较上年增加5.28万元；二是一般公共预算财政拨款项目支出较上年减少158.70万元，主要是无线电监控中心建设项目在2023年已全部完成，本年未安排。</w:t>
      </w:r>
    </w:p>
    <w:p w14:paraId="58F111B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6、住房保障支出（类）住房改革支出（款）住房公积金（项）：支出决算数为12.69万元，比上年决算增加0.91万元，增长7.72%，主要原因是：在职人员工资标准调整，缴费基数提高。</w:t>
      </w:r>
    </w:p>
    <w:p w14:paraId="392E8B0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3E7BBB3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184.86万元，其中：人员经费161.07万元，包括：基本工资、津贴补贴、奖金、绩效工资、机关事业单位基本养老保险缴费、职业年金缴费、职工基本医疗保险缴费、公务员医疗补助缴费、其他社会保障缴费和住房公积金。</w:t>
      </w:r>
    </w:p>
    <w:p w14:paraId="6A68C3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公用经费23.79万元，包括：办公费、水费、邮电费、取暖费、差旅费、工会经费、福利费和公务用车运行维护费。</w:t>
      </w:r>
    </w:p>
    <w:p w14:paraId="2C6F412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106E752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DD652A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F8E251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6260BCD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74CA4FC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7.81万元，比上年减少0.42万元，下降5.10%，主要原因是：严格执行中央八项规定及相关细则，做到“三公”经费只减不增，无预算不支出。其中：因公出国（境）费支出0.00万元,占0.00%，与上年相比无变化，主要原因是：我单位无因公出国（境）费；公务用车购置及运行维护费支出7.81万元，占100.00%，比上年减少0.42万元，下降5.10%，主要原因是：严格执行公务车用管理制度，合理控制公务用车运行费；公务接待费支出0.00万元，占0.00%，与上年相比无变化，主要原因是：我单位无公务接待费。</w:t>
      </w:r>
    </w:p>
    <w:p w14:paraId="3E90C953">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6BCF9C8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14:paraId="73BF689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7.81万元，其中：公务用车购置费0.00万元，公务用车运行维护费7.81万元。公务用车运行维护费开支内容包括车辆保险、停车过路费、车辆加油、车辆维修等费用。公务用车购置数0辆，公务用车保有量4辆。国有资产占用情况中固定资产车辆4辆，与公务用车保有量差异原因是：与公务用车保有量无差异。</w:t>
      </w:r>
    </w:p>
    <w:p w14:paraId="2C90BF8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公务接待费0.00万元，开支内容包括我单位无因公出国（境）费。单位全年安排的国内公务接待0批次，0人次。</w:t>
      </w:r>
    </w:p>
    <w:p w14:paraId="0B41CF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7.81万元，决算数7.81万元，预决算差异率0.00%，主要原因是：严格执行中央八项规定及相关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7.81万元，决算数7.81万元，预决算差异率0.00%，主要原因是：严格执行公务车用管理制度，合理控制公务用车运行费用；公务接待费全年预算数0.00万元，决算数0.00万元，预决算差异率0.00%，主要原因是：我单位无公务接待费。</w:t>
      </w:r>
    </w:p>
    <w:p w14:paraId="5513615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9F8763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173AE71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2024年度哈密市无线电管理中心单位（事业单位）公用经费支出23.79万元，比上年减少0.77万元，下降3.14%，主要原因是：严格按照政府过紧日子要求，压缩相关支出。</w:t>
      </w:r>
    </w:p>
    <w:p w14:paraId="1F74E4A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0D1E9A1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2024年度政府采购支出总额56.00万元，其中：政府采购货物支出13.65万元、政府采购工程支出0.00万元、政府采购服务支出42.35万元。</w:t>
      </w:r>
    </w:p>
    <w:p w14:paraId="2006F21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授予中小企业合同金额50.24万元，占政府采购支出总额的89.71%，其中：授予小微企业合同金额43.42万元，占政府采购支出总额的77.54%。</w:t>
      </w:r>
    </w:p>
    <w:p w14:paraId="4E5CA41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23BD4F6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4,983.05平方米，价值1,479.24万元。车辆4辆，价值216.00万元，其中：副部（省）级及以上领导用车0辆、主要负责人用车0辆、机要通信用车0辆、应急保障用车0辆、执法执勤用车1辆、特种专业技术用车3辆、离退休干部服务用车0辆、其他用车0辆，其他用车主要是：</w:t>
      </w:r>
      <w:r>
        <w:rPr>
          <w:rFonts w:hint="eastAsia" w:ascii="仿宋_GB2312" w:eastAsia="仿宋_GB2312"/>
          <w:b w:val="0"/>
          <w:sz w:val="32"/>
          <w:szCs w:val="32"/>
          <w:lang w:val="en-US" w:eastAsia="zh-CN"/>
        </w:rPr>
        <w:t>本单位无其他用车</w:t>
      </w:r>
      <w:bookmarkStart w:id="0" w:name="_GoBack"/>
      <w:bookmarkEnd w:id="0"/>
      <w:r>
        <w:rPr>
          <w:rFonts w:ascii="仿宋_GB2312" w:eastAsia="仿宋_GB2312"/>
          <w:b w:val="0"/>
          <w:sz w:val="32"/>
          <w:szCs w:val="32"/>
        </w:rPr>
        <w:t>;单价100万元（含）以上设备（不含车辆）2台（套）。</w:t>
      </w:r>
    </w:p>
    <w:p w14:paraId="7A9BDA5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124D07C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15.04万元，全年执行数15.04万元。预算绩效管理取得的成效：预算绩效管理取得的成效：2024年无线电管理经费项目资金有利促进了哈密市辖区内重大活动无线电安全保障、航空及铁路、水上无线电频率保护、无线电干扰查处、无线电频率协调、考试保障、无线电专业技术人员培训、无线电预备役等无线电管理工作的开展，为服务新疆社会大局稳定和经济社会发展大局做出贡献。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14:paraId="7BC3D19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0F987D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6B4DDBD">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1957B0DE">
      <w:pPr>
        <w:widowControl/>
      </w:pPr>
      <w:r>
        <w:rPr>
          <w:b w:val="0"/>
          <w:sz w:val="0"/>
          <w:szCs w:val="0"/>
        </w:rPr>
        <w:br w:type="page"/>
      </w:r>
    </w:p>
    <w:p w14:paraId="4F4E88F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549203C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2E95FAC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2F716F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61F7C2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EEE160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7BBCB33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183912F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F957F7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7B04F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AAC04C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6825938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1560C78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7B30E7D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FC245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0B4E8449">
      <w:pPr>
        <w:widowControl/>
      </w:pPr>
      <w:r>
        <w:rPr>
          <w:b w:val="0"/>
          <w:sz w:val="0"/>
          <w:szCs w:val="0"/>
        </w:rPr>
        <w:br w:type="page"/>
      </w:r>
    </w:p>
    <w:p w14:paraId="0B6213D0">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3303B71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750E95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7B47E81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7BBC4E1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A45217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842622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49232F5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5F1FE3B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142DF46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B9F1117"/>
    <w:rsid w:val="56CF562E"/>
    <w:rsid w:val="59004D3B"/>
    <w:rsid w:val="67FC4B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4693</Words>
  <Characters>5359</Characters>
  <TotalTime>1</TotalTime>
  <ScaleCrop>false</ScaleCrop>
  <LinksUpToDate>false</LinksUpToDate>
  <CharactersWithSpaces>5362</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2025-09-03T17:28:00Z</dcterms:created>
  <dc:creator>Administrator</dc:creator>
  <cp:lastModifiedBy>岁月无痕</cp:lastModifiedBy>
  <dcterms:modified xsi:type="dcterms:W3CDTF">2025-10-14T09:10:18Z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36EBC2D639E847B88DFF71EDEE68938B_12</vt:lpwstr>
  </property>
</Properties>
</file>