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0" w:beforeLines="0" w:beforeAutospacing="0" w:after="0" w:afterLines="0" w:afterAutospacing="0" w:line="240" w:lineRule="auto"/>
        <w:jc w:val="left"/>
        <w:rPr>
          <w:rFonts w:ascii="宋体" w:eastAsia="宋体"/>
          <w:sz w:val="32"/>
          <w:szCs w:val="32"/>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center"/>
        <w:outlineLvl w:val="0"/>
        <w:rPr>
          <w:rFonts w:ascii="宋体" w:eastAsia="黑体"/>
          <w:sz w:val="44"/>
          <w:szCs w:val="44"/>
        </w:rPr>
      </w:pPr>
      <w:r>
        <w:rPr>
          <w:rFonts w:ascii="宋体" w:eastAsia="黑体"/>
          <w:b w:val="0"/>
          <w:sz w:val="44"/>
          <w:szCs w:val="44"/>
        </w:rPr>
        <w:t>博尔塔拉蒙古自治州无线电管理中心</w:t>
      </w:r>
    </w:p>
    <w:p>
      <w:pPr>
        <w:widowControl/>
        <w:spacing w:before="0" w:beforeLines="0" w:beforeAutospacing="0" w:after="0" w:afterLines="0" w:afterAutospacing="0" w:line="240" w:lineRule="auto"/>
        <w:jc w:val="center"/>
        <w:outlineLvl w:val="0"/>
        <w:rPr>
          <w:rFonts w:ascii="黑体" w:eastAsia="黑体"/>
          <w:sz w:val="44"/>
          <w:szCs w:val="44"/>
        </w:rPr>
      </w:pPr>
      <w:r>
        <w:rPr>
          <w:rFonts w:ascii="黑体" w:eastAsia="黑体"/>
          <w:b w:val="0"/>
          <w:sz w:val="44"/>
          <w:szCs w:val="44"/>
        </w:rPr>
        <w:t>2024年度部门决算公开说明</w:t>
      </w:r>
    </w:p>
    <w:p>
      <w:pPr>
        <w:widowControl/>
      </w:pPr>
      <w:r>
        <w:rPr>
          <w:b w:val="0"/>
          <w:sz w:val="0"/>
          <w:szCs w:val="0"/>
        </w:rPr>
        <w:br w:type="page"/>
      </w:r>
    </w:p>
    <w:p>
      <w:pPr>
        <w:widowControl/>
        <w:spacing w:before="0" w:beforeLines="0" w:beforeAutospacing="0" w:after="0" w:afterLines="0" w:afterAutospacing="0" w:line="240" w:lineRule="auto"/>
        <w:jc w:val="center"/>
        <w:rPr>
          <w:rFonts w:ascii="黑体" w:eastAsia="黑体"/>
          <w:sz w:val="32"/>
          <w:szCs w:val="32"/>
        </w:rPr>
      </w:pPr>
      <w:r>
        <w:rPr>
          <w:rFonts w:ascii="黑体" w:eastAsia="黑体"/>
          <w:b/>
          <w:sz w:val="32"/>
          <w:szCs w:val="32"/>
        </w:rPr>
        <w:t>目 录</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第一部分单位概况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一、主要职能</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二、机构设置及人员情况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第二部分部门决算情况说明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（一）一般公共预算财政拨款支出决算总体情况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（二）一般公共预算财政拨款支出决算结构情况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（三）一般公共预算财政拨款支出决算具体情况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九、财政拨款“三公”经费支出决算情况说明</w:t>
      </w:r>
    </w:p>
    <w:p>
      <w:pPr>
        <w:widowControl/>
        <w:spacing w:before="0" w:beforeLines="0" w:beforeAutospacing="0" w:after="0" w:afterLines="0" w:afterAutospacing="0" w:line="240" w:lineRule="auto"/>
        <w:jc w:val="left"/>
        <w:rPr>
          <w:rFonts w:ascii="仿宋_GB2312" w:eastAsia="仿宋_GB2312"/>
          <w:sz w:val="32"/>
          <w:szCs w:val="32"/>
        </w:rPr>
      </w:pPr>
      <w:bookmarkStart w:id="0" w:name="_GoBack"/>
      <w:bookmarkEnd w:id="0"/>
      <w:r>
        <w:rPr>
          <w:rFonts w:ascii="仿宋_GB2312" w:eastAsia="仿宋_GB2312"/>
          <w:b w:val="0"/>
          <w:sz w:val="32"/>
          <w:szCs w:val="32"/>
        </w:rPr>
        <w:t>十、其他重要事项的情况说明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（一）机关运行经费及公用经费支出情况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（二）政府采购情况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（三）国有资产占用情况说明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十一、预算绩效的情况说明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十二、其他需说明的事项</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第三部分专业名词解释</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第四部分部门决算报表（见附表）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九、《财政拨款“三公”经费支出决算表》</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第一部分 单位概况</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 一、主要职能</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根据自治区工业和信息化厅授权，协调处理辖区内无线电管理相关事宜。</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二、机构设置及人员情况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博尔塔拉蒙古自治州无线电管理中心2024年度，实有人数6人，其中：在职人员6人，较上年无变化；离休人员0人，较上年无变化；退休人员0人，较上年无变化；</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博尔塔拉蒙古自治州无线电管理中心无下属预算单位，下设3个科室，分别是：综合科、业务科、监测站。</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第二部分部门决算情况说明</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2024年度收入总计196.59万元，其中：本年收入合计196.59万元，使用非财政拨款结余（含专用结余）0.00万元，年初结转和结余0.00万元。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2024年度支出总计196.59万元，其中：本年支出合计196.59万元，结余分配0.00万元，年末结转和结余0.00万元。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收入支出总体与上年相比，减少110.54万元，下降35.99%，主要原因是：一是一般公共预算财政拨款基本支出增加6.34万元，主要是在职人员调资及社保、公积金缴费基数上调等原因导致人员经费支出增加6.76万元，主动压减一般性支出公用经费减少0.42万元；二是一般公共预算财政拨款项目支出减少110.05万元，为中央无线电管理经费减少；三是非财政拨款支出较上年增加0.45万元，主要是监测中心业务楼维修维护项目增加；四是年初结转和结余较上年减少7.28万元，主要是上年安排了湖北援疆远程一体化项目。</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二、收入决算情况说明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本年收入196.59万元，其中：财政拨款收入191.55万元,占97.44%；上级补助收入0.00万元,占0.00%；事业收入0.00万元，占0.00%；经营收入0.00万元,占0.00%；附属单位上缴收入0.00万元，占0.00%；其他收入5.05万元，占2.57%。</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三、支出决算情况说明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本年支出196.59万元，其中：基本支出148.21万元，占75.39%；项目支出48.38万元，占24.61%；上缴上级支出0.00万元，占0.00%；经营支出0.00万元，占0.00%；对附属单位补助支出0.00万元，占0.00%。</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四、财政拨款收入支出决算总体情况说明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2024年度财政拨款收入总计191.55万元，其中：年初财政拨款结转和结余0.00万元，本年财政拨款收入191.55万元。财政拨款支出总计191.55万元，其中：年末财政拨款结转和结余0.00万元，本年财政拨款支出191.55万元。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财政拨款收入支出总体与上年相比，减少103.70万元，下降35.12%，主要原因是：一是一般公共预算财政拨款基本支出增加6.34万元，主要是在职人员调资及社保、公积金缴费基数上调等原因导致人员经费支出增加6.76万元，主动压减一般性支出公用经费减少0.42万元；二是一般公共预算财政拨款项目支出减少110.05万元，为中央无线电管理经费减少。与年初预算相比，年初预算数186.19万元，决算数191.55万元，预决算差异率2.88%，主要原因是：在年度执行中，根据自治区财政厅下达文件追加及调减预算，一是追加一般公共预算财政拨款基本预算人员类项目8.03万元；二是响应过</w:t>
      </w:r>
      <w:r>
        <w:rPr>
          <w:rFonts w:hint="eastAsia" w:ascii="仿宋_GB2312" w:eastAsia="仿宋_GB2312"/>
          <w:b w:val="0"/>
          <w:sz w:val="32"/>
          <w:szCs w:val="32"/>
          <w:lang w:eastAsia="zh-CN"/>
        </w:rPr>
        <w:t>紧日子</w:t>
      </w:r>
      <w:r>
        <w:rPr>
          <w:rFonts w:ascii="仿宋_GB2312" w:eastAsia="仿宋_GB2312"/>
          <w:b w:val="0"/>
          <w:sz w:val="32"/>
          <w:szCs w:val="32"/>
        </w:rPr>
        <w:t>要求，主动压减一般性支出，调减年初一般公共预算财政拨款基本预算公用经费1.71万元；三是调减年初一般公共预算财政拨款项目预算中央无线电管理经费0.96万元。由于以上事项，与年初预算数存在差异。</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五、一般公共预算财政拨款支出决算情况说明</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（一）一般公共预算财政拨款支出决算总体情况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支出191.55万元，占本年支出合计的97.44%。与上年相比，减少103.70万元，下降35.12%，主要原因是：一是一般公共预算财政拨款基本支出增加6.34万元，主要是在职人员调资及社保、公积金缴费基数上调等原因导致人员经费支出增加6.76万元，主动压减一般性支出公用经费减少0.42万元；二是一般公共预算财政拨款项目支出减少110.05万元，为中央无线电管理经费减少。与年初预算相比，年初预算数186.19万元，决算数191.55万元，预决算差异率2.88%，主要原因是：在年度执行中，根据自治区财政厅下达文件追加及调减预算，一是追加一般公共预算财政拨款基本预算人员类项目8.03万元；二是响应过</w:t>
      </w:r>
      <w:r>
        <w:rPr>
          <w:rFonts w:hint="eastAsia" w:ascii="仿宋_GB2312" w:eastAsia="仿宋_GB2312"/>
          <w:b w:val="0"/>
          <w:sz w:val="32"/>
          <w:szCs w:val="32"/>
          <w:lang w:eastAsia="zh-CN"/>
        </w:rPr>
        <w:t>紧日子</w:t>
      </w:r>
      <w:r>
        <w:rPr>
          <w:rFonts w:ascii="仿宋_GB2312" w:eastAsia="仿宋_GB2312"/>
          <w:b w:val="0"/>
          <w:sz w:val="32"/>
          <w:szCs w:val="32"/>
        </w:rPr>
        <w:t>要求，主动压减一般性支出，调减年初一般公共预算财政拨款基本预算公用经费1.71万元；三是调减年初一般公共预算财政拨款项目预算中央无线电管理经费0.96万元。由于以上事项，与年初预算数存在差异。</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（二）一般公共预算财政拨款支出决算结构情况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社会保障和就业支出（类）13.17万元，占6.88%。</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卫生健康支出（类）11.40万元，占5.95%。</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资源勘探工业信息等支出（类）157.09万元，占82.01%。</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住房保障支出（类）9.88万元，占5.16%。</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（三）一般公共预算财政拨款支出决算具体情况</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1、社会保障和就业支出（类）行政事业单位养老支出（款）机关事业单位基本养老保险缴费支出（项）：支出决算数为13.17万元，比上年决算增加1.02万元，增长8.40%，主要原因是：社会保险缴费基数上调。</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2、卫生健康支出（类）行政事业单位医疗（款）事业单位医疗（项）：支出决算数为8.93万元，比上年决算增加2.79万元，增长45.44%，主要原因是：基本医疗保险缴费基数上调。</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3、卫生健康支出（类）行政事业单位医疗（款）公务员医疗补助（项）：支出决算数为2.47万元，比上年决算减少0.56万元，下降18.48%，主要原因是：当地公务员医疗补助缴费比例下调。</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4、资源勘探工业信息等支出（类）工业和信息产业监管（款）无线电及信息通信监管（项）：支出决算数为157.09万元，比上年决算减少107.73万元，下降40.68%，主要原因是：上年安排了无线电基础设施构建项目，本年未安排。</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5、住房保障支出（类）住房改革支出（款）住房公积金（项）：支出决算数为9.88万元，比上年决算增加0.77万元，增长8.45%，主要原因是：住房公积金缴费基数上调。</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六、一般公共预算财政拨款基本支出决算情况说明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基本支出148.21万元，其中：人员经费126.49万元，包括：基本工资、津贴补贴、奖金、绩效工资、机关事业单位基本养老保险缴费、职工基本医疗保险缴费、公务员医疗补助缴费、其他社会保障缴费和住房公积金。</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公用经费21.72万元，包括：办公费、邮电费、取暖费、差旅费、培训费、工会经费、福利费和公务用车运行维护费。</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七、政府性基金预算财政拨款收入支出决算情况说明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本单位本年度无政府性基金预算财政拨款收入、支出及结转和结余，政府性基金预算财政拨款收入支出决算表为空表。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八、国有资本经营预算财政拨款收入支出决算情况说明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九、财政拨款“三公”经费支出决算情况说明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三公”经费支出12.00万元，比上年减少0.01万元，下降0.08%，主要原因是：严格执行中央八项规定及相关细则，做到“三公”经费只减不增，无预算不支出。其中：因公出国（境）费支出0.00万元,占0.00%，与上年相比无变化，主要原因是：我单位无因公出国（境）费；公务用车购置及运行维护费支出12.00万元，占100.00%，比上年减少0.01万元，下降0.08%，主要原因是：严格执行中央八项规定及相关细则，做到“三公”经费只减不增，无预算不支出；公务接待费支出0.00万元，占0.00%，与上年相比无变化，主要原因是：我单位无公务接待费。</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r>
        <w:rPr>
          <w:rFonts w:ascii="仿宋_GB2312" w:eastAsia="仿宋_GB2312"/>
          <w:b w:val="0"/>
          <w:sz w:val="32"/>
          <w:szCs w:val="32"/>
        </w:rPr>
        <w:t>具体情况如下：</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因公出国（境）费支出0.00万元，开支内容包括我单位无因公出国（境）费。单位全年安排的因公出国（境）团组0个，因公出国（境）0人次。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用车购置及运行维护费12.00万元，其中：公务用车购置费0.00万元，公务用车运行维护费12.00万元。公务用车运行维护费开支内容包括车辆保险、停车过路费、车辆加油、车辆维修等费用。公务用车购置数0辆，公务用车保有量4辆。国有资产占用情况中固定资产车辆4辆，与公务用车保有量差异原因是：与公务用车保有量无差异。</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公务接待费0.00万元，开支内容包括我单位无公务接待费预算和事项。单位全年安排的国内公务接待0批次，0人次。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与全年预算相比，财政拨款“三公”经费支出全年预算数12.00万元，决算数12.00万元，预决算差异率0.00%，主要原因是：严格执行中央八项规定及相关细则，做到“三公”经费只减不增，无预算不支出。其中：因公出国（境）费全年预算数0.00万元，决算数0.00万元，预决算差异率0.00%，主要原因是：我单位无因公出国（境）费预算和事项；公务用车购置费全年预算数0.00万元，决算数0.00万元，预决算差异率0.00%，主要原因是：我单位无公务用车购置费预算和事项；公务用车运行维护费全年预算数12.00万元，决算数12.00万元，预决算差异率0.00%，主要原因是：严格执行中央八项规定及相关细则，做到“三公”经费只减不增，无预算不支出；公务接待费全年预算数0.00万元，决算数0.00万元，预决算差异率0.00%，主要原因是：我单位无公务接待费预算和事项。</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十、其他重要事项的情况说明</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（一）机关运行经费及公用经费支出情况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2024年度博尔塔拉蒙古自治州无线电管理中心单位​（事业单位）公用经费支出21.72万元，比上年减少0.42万元，下降1.90%，主要原因是：响应过</w:t>
      </w:r>
      <w:r>
        <w:rPr>
          <w:rFonts w:hint="eastAsia" w:ascii="仿宋_GB2312" w:eastAsia="仿宋_GB2312"/>
          <w:b w:val="0"/>
          <w:sz w:val="32"/>
          <w:szCs w:val="32"/>
          <w:lang w:eastAsia="zh-CN"/>
        </w:rPr>
        <w:t>紧日子</w:t>
      </w:r>
      <w:r>
        <w:rPr>
          <w:rFonts w:ascii="仿宋_GB2312" w:eastAsia="仿宋_GB2312"/>
          <w:b w:val="0"/>
          <w:sz w:val="32"/>
          <w:szCs w:val="32"/>
        </w:rPr>
        <w:t>要求，压减一般性支出，公用经费支出减少。</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（二）政府采购情况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2024年度政府采购支出总额19.34万元，其中：政府采购货物支出4.19万元、政府采购工程支出0.00万元、政府采购服务支出15.15万元。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授予中小企业合同金额16.21万元，占政府采购支出总额的83.82%，其中：授予小微企业合同金额4.06万元，占政府采购支出总额的20.99%。</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（三）国有资产占用情况说明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截至2024年12月31日，房屋2,961.07平方米，价值831.32万元。车辆4辆，价值177.55万元，其中：副部（省）级及以上领导用车0辆、主要负责人用车0辆、机要通信用车0辆、应急保障用车0辆、执法执勤用车1辆、特种专业技术用车3辆、离退休干部服务用车0辆、其他用车0辆，其他用车主要是：我单位无其他用车;单价100万元（含）以上设备（不含车辆）5台（套）。</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十一、预算绩效的情况说明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根据预算绩效管理要求，本单位2024年度预算绩效评价项目1个，全年预算数5.08万元，全年执行数5.08万元。预算绩效管理取得的成效：一是严格执行《工信厅全面预算绩效管理办法》，日常对项目资金加快预算执行，确保绩效监控和绩效评价执行率，规范各项预算执行活动,确保预算执行的及时性、准确性和规范性,发挥财政资金的最大效用,取得了良好的绩效成果；二是各项工作实施及资金使用情况均在绩效目标设定时限完成，在项目经费的使用上，在保证各项任务顺利完成的同时，严格落实厉行节约的原则；三是突出做好项目保障工作，确保项目质量和效益，助力经济高质量发展，维护社会稳定和长治久安。发现的问题及原因：组织开展项目绩效评价工作时,因项目采购、合同执行周期长，预算执行率偏低，致使项目在绩效监控节点时，影响单位整体绩效评价总体分值。下一步改进措施：一是完善各项内控制度，建立上下协调、科室联动、层层抓落实的工作责任制，将绩效管理责任分解落实到具体科室、明确到具体责任人，确保每一笔资金花得安全、用得高效；二是加强对专项资金预算绩效监控力度，加强对专项资金预算执行力度的考核，确保项目执行按期完成；三是建立健全绩效管理与预算管理有机结合的工作机制，落实绩效评价结果成为预算编制的重要参考因素。具体附项目支出绩效自评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十二、其他需说明的事项</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本单位无其他需说明事项。</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第三部分专业名词解释</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第四部分部门决算报表（见附表）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九、《财政拨款“三公”经费支出决算表》</w:t>
      </w:r>
    </w:p>
    <w:sectPr>
      <w:pgSz w:w="12240" w:h="15840"/>
      <w:pgMar w:top="1440" w:right="1800" w:bottom="1440" w:left="1800" w:header="720" w:footer="72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documentProtection w:enforcement="0"/>
  <w:compat>
    <w:useFELayout/>
    <w:splitPgBreakAndParaMark/>
    <w:compatSetting w:name="compatibilityMode" w:uri="http://schemas.microsoft.com/office/word" w:val="12"/>
  </w:compat>
  <w:rsids>
    <w:rsidRoot w:val="00000000"/>
    <w:rsid w:val="3A807CBC"/>
    <w:rsid w:val="40B539EF"/>
    <w:rsid w:val="71F5313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ScaleCrop>false</ScaleCrop>
  <LinksUpToDate>false</LinksUpToDate>
  <Application>WPS Office_10.8.0.6308_F1E327BC-269C-435d-A152-05C5408002CA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2025-09-03T17:24:00Z</dcterms:created>
  <dc:creator>Administrator</dc:creator>
  <cp:lastModifiedBy>Administrator</cp:lastModifiedBy>
  <dcterms:modified xsi:type="dcterms:W3CDTF">2025-09-05T02:40:38Z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