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r>
        <w:rPr>
          <w:rFonts w:hint="eastAsia" w:ascii="黑体" w:hAnsi="ArialUnicodeMS" w:eastAsia="黑体"/>
          <w:color w:val="000000"/>
          <w:sz w:val="44"/>
          <w:szCs w:val="44"/>
          <w:highlight w:val="none"/>
        </w:rPr>
        <w:t>2026年巴音郭楞蒙古自治州无线电管理中心</w:t>
      </w:r>
    </w:p>
    <w:p>
      <w:pPr>
        <w:jc w:val="center"/>
        <w:rPr>
          <w:rFonts w:hint="eastAsia" w:ascii="黑体" w:hAnsi="ArialUnicodeMS" w:eastAsia="黑体"/>
          <w:color w:val="000000"/>
          <w:sz w:val="44"/>
          <w:szCs w:val="44"/>
          <w:highlight w:val="none"/>
        </w:rPr>
      </w:pPr>
    </w:p>
    <w:p>
      <w:pPr>
        <w:jc w:val="center"/>
        <w:rPr>
          <w:rFonts w:hint="eastAsia" w:ascii="黑体" w:hAnsi="ArialUnicodeMS" w:eastAsia="黑体"/>
          <w:color w:val="000000"/>
          <w:sz w:val="44"/>
          <w:szCs w:val="44"/>
          <w:highlight w:val="none"/>
        </w:rPr>
      </w:pPr>
      <w:r>
        <w:rPr>
          <w:rFonts w:hint="eastAsia" w:ascii="黑体" w:hAnsi="ArialUnicodeMS" w:eastAsia="黑体"/>
          <w:color w:val="000000"/>
          <w:sz w:val="44"/>
          <w:szCs w:val="44"/>
          <w:highlight w:val="none"/>
        </w:rPr>
        <w:t>单位预算公开</w:t>
      </w:r>
    </w:p>
    <w:p>
      <w:pPr>
        <w:jc w:val="center"/>
        <w:rPr>
          <w:rFonts w:hint="default" w:ascii="黑体" w:eastAsia="黑体"/>
          <w:color w:val="000000"/>
          <w:sz w:val="36"/>
          <w:szCs w:val="36"/>
          <w:highlight w:val="none"/>
        </w:rPr>
      </w:pPr>
      <w:r>
        <w:rPr>
          <w:rFonts w:hint="eastAsia" w:ascii="ArialUnicodeMS" w:hAnsi="ArialUnicodeMS"/>
          <w:color w:val="000000"/>
          <w:sz w:val="44"/>
          <w:szCs w:val="44"/>
          <w:highlight w:val="none"/>
        </w:rPr>
        <w:br w:type="page"/>
      </w:r>
      <w:r>
        <w:rPr>
          <w:rFonts w:hint="eastAsia" w:ascii="黑体" w:eastAsia="黑体"/>
          <w:color w:val="000000"/>
          <w:sz w:val="36"/>
          <w:szCs w:val="36"/>
          <w:highlight w:val="none"/>
        </w:rPr>
        <w:t>目 录</w:t>
      </w:r>
    </w:p>
    <w:p>
      <w:pPr>
        <w:spacing w:line="560" w:lineRule="exact"/>
        <w:jc w:val="center"/>
        <w:rPr>
          <w:rFonts w:hint="default" w:ascii="黑体" w:eastAsia="黑体"/>
          <w:color w:val="000000"/>
          <w:sz w:val="36"/>
          <w:szCs w:val="36"/>
          <w:highlight w:val="none"/>
        </w:rPr>
      </w:pPr>
    </w:p>
    <w:p>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第一部分  2026年单位概况</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主要职能</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机构设置</w:t>
      </w:r>
    </w:p>
    <w:p>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第二部分 2026年单位预算公开表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单位收支总体情况表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单位收入总体情况表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三、 单位支出总体情况表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四、 财政拨款收支预算总体情况表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五、 一般公共预算支出情况表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六、 一般公共预算基本支出情况表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七、 一般公共预算项目支出情况表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八、 政府性基金预算支出情况表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九、 国有资本经营预算支出情况表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 财政拨款“三公”经费支出情况表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十一、财政拨款委托业务费支出情况表</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十二、上年结转结余情况表</w:t>
      </w:r>
    </w:p>
    <w:p>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第三部分 2026年单位预算情况说明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一、 关于巴音郭楞蒙古自治州无线电管理中心2026年收支预算情况的总体说明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二、 关于巴音郭楞蒙古自治州无线电管理中心2026年收入预算情况说明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三、 关于巴音郭楞蒙古自治州无线电管理中心2026年支出预算情况说明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四、 关于巴音郭楞蒙古自治州无线电管理中心2026年财政拨款收支预算情况的总体说明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五、 关于巴音郭楞蒙古自治州无线电管理中心2026年一般公共预算当年拨款情况说明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六、 关于巴音郭楞蒙古自治州无线电管理中心2026年一般公共预算基本支出情况说明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七、 关于巴音郭楞蒙古自治州无线电管理中心2026年一般公共预算项目支出情况说明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八、 关于巴音郭楞蒙古自治州无线电管理中心2026年政府性基金预算拨款情况说明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九、 关于巴音郭楞蒙古自治州无线电管理中心2026年国有资本经营预算拨款情况说明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 关于巴音郭楞蒙古自治州无线电管理中心2026年财政拨款“三公”经费预算情况说明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十一、 关于巴音郭楞蒙古自治州无线电管理中心2026年财政拨款委托业务费支出情况说明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十二、 关于巴音郭楞蒙古自治州无线电管理中心2026年上年结转结余预算情况说明</w:t>
      </w:r>
    </w:p>
    <w:p>
      <w:pPr>
        <w:spacing w:line="56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十三、 其他重要事项的情况说明</w:t>
      </w:r>
    </w:p>
    <w:p>
      <w:pPr>
        <w:spacing w:line="560" w:lineRule="exact"/>
        <w:ind w:firstLine="562" w:firstLineChars="200"/>
        <w:jc w:val="left"/>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第四部分 名词解释</w:t>
      </w:r>
    </w:p>
    <w:p>
      <w:pPr>
        <w:jc w:val="left"/>
        <w:rPr>
          <w:rFonts w:hint="default" w:ascii="宋体" w:hAnsi="宋体"/>
          <w:color w:val="000000"/>
          <w:sz w:val="18"/>
          <w:szCs w:val="18"/>
          <w:highlight w:val="none"/>
        </w:rPr>
      </w:pPr>
    </w:p>
    <w:p>
      <w:pPr>
        <w:pStyle w:val="2"/>
        <w:spacing w:before="156" w:beforeLines="50" w:after="156" w:afterLines="50" w:line="560" w:lineRule="exact"/>
        <w:jc w:val="center"/>
        <w:rPr>
          <w:rFonts w:hint="default" w:ascii="黑体" w:eastAsia="黑体"/>
          <w:sz w:val="30"/>
          <w:szCs w:val="30"/>
          <w:highlight w:val="none"/>
        </w:rPr>
      </w:pPr>
      <w:r>
        <w:rPr>
          <w:rFonts w:hint="default" w:ascii="黑体" w:eastAsia="黑体"/>
          <w:sz w:val="30"/>
          <w:szCs w:val="30"/>
          <w:highlight w:val="none"/>
        </w:rPr>
        <w:br w:type="page"/>
      </w:r>
      <w:r>
        <w:rPr>
          <w:rFonts w:hint="eastAsia" w:ascii="黑体" w:eastAsia="黑体"/>
          <w:sz w:val="30"/>
          <w:szCs w:val="30"/>
          <w:highlight w:val="none"/>
        </w:rPr>
        <w:t>第一部分  2026年单位概况</w:t>
      </w:r>
    </w:p>
    <w:p>
      <w:pPr>
        <w:pStyle w:val="3"/>
        <w:numPr>
          <w:ilvl w:val="0"/>
          <w:numId w:val="1"/>
        </w:numPr>
        <w:spacing w:before="0" w:after="0" w:line="560" w:lineRule="exact"/>
        <w:ind w:left="0" w:firstLine="565" w:firstLineChars="201"/>
        <w:rPr>
          <w:rFonts w:hint="default" w:ascii="仿宋" w:hAnsi="华文楷体" w:eastAsia="仿宋"/>
          <w:sz w:val="28"/>
          <w:szCs w:val="28"/>
          <w:highlight w:val="none"/>
        </w:rPr>
      </w:pPr>
      <w:r>
        <w:rPr>
          <w:rFonts w:hint="eastAsia" w:ascii="仿宋" w:hAnsi="华文楷体" w:eastAsia="仿宋"/>
          <w:sz w:val="28"/>
          <w:szCs w:val="28"/>
          <w:highlight w:val="none"/>
        </w:rPr>
        <w:t>主要职能</w:t>
      </w:r>
    </w:p>
    <w:p>
      <w:pPr>
        <w:pStyle w:val="11"/>
        <w:spacing w:line="560" w:lineRule="exact"/>
        <w:ind w:firstLine="56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根据</w:t>
      </w:r>
      <w:r>
        <w:rPr>
          <w:rFonts w:hint="eastAsia" w:ascii="仿宋" w:hAnsi="仿宋" w:eastAsia="仿宋"/>
          <w:color w:val="000000"/>
          <w:sz w:val="28"/>
          <w:szCs w:val="28"/>
          <w:highlight w:val="none"/>
          <w:lang w:val="en-US" w:eastAsia="zh-CN"/>
        </w:rPr>
        <w:t>自治区工业和信息化厅授权，协调处理辖区内无线电管理相关事宜。</w:t>
      </w:r>
    </w:p>
    <w:p>
      <w:pPr>
        <w:pStyle w:val="3"/>
        <w:numPr>
          <w:ilvl w:val="0"/>
          <w:numId w:val="1"/>
        </w:numPr>
        <w:spacing w:before="0" w:after="0" w:line="560" w:lineRule="exact"/>
        <w:ind w:left="0" w:firstLine="565" w:firstLineChars="201"/>
        <w:rPr>
          <w:rFonts w:hint="default" w:ascii="仿宋" w:hAnsi="华文楷体" w:eastAsia="仿宋"/>
          <w:sz w:val="28"/>
          <w:szCs w:val="28"/>
          <w:highlight w:val="none"/>
        </w:rPr>
      </w:pPr>
      <w:r>
        <w:rPr>
          <w:rFonts w:hint="eastAsia" w:ascii="仿宋" w:hAnsi="华文楷体" w:eastAsia="仿宋"/>
          <w:sz w:val="28"/>
          <w:szCs w:val="28"/>
          <w:highlight w:val="none"/>
        </w:rPr>
        <w:t>机构设置</w:t>
      </w:r>
    </w:p>
    <w:p>
      <w:pPr>
        <w:pStyle w:val="11"/>
        <w:spacing w:line="56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巴音郭楞蒙古自治州无线电管理中心无下属预算单位。</w:t>
      </w:r>
    </w:p>
    <w:p>
      <w:pPr>
        <w:pStyle w:val="2"/>
        <w:spacing w:before="156" w:beforeLines="50" w:after="156" w:afterLines="50" w:line="400" w:lineRule="exact"/>
        <w:jc w:val="center"/>
        <w:rPr>
          <w:rFonts w:hint="default" w:ascii="黑体" w:eastAsia="黑体"/>
          <w:sz w:val="30"/>
          <w:szCs w:val="30"/>
          <w:highlight w:val="none"/>
        </w:rPr>
      </w:pPr>
      <w:r>
        <w:rPr>
          <w:rFonts w:hint="eastAsia" w:ascii="仿宋" w:hAnsi="仿宋" w:eastAsia="仿宋"/>
          <w:color w:val="000000"/>
          <w:sz w:val="28"/>
          <w:szCs w:val="28"/>
          <w:highlight w:val="none"/>
        </w:rPr>
        <w:br w:type="page"/>
      </w:r>
      <w:r>
        <w:rPr>
          <w:rFonts w:hint="eastAsia" w:ascii="黑体" w:eastAsia="黑体"/>
          <w:sz w:val="30"/>
          <w:szCs w:val="30"/>
          <w:highlight w:val="none"/>
        </w:rPr>
        <w:t>第二部分 2026年单位预算公开表</w:t>
      </w:r>
    </w:p>
    <w:p>
      <w:pPr>
        <w:jc w:val="left"/>
        <w:rPr>
          <w:rFonts w:hint="default" w:ascii="宋体" w:hAnsi="宋体"/>
          <w:color w:val="000000"/>
          <w:sz w:val="18"/>
          <w:szCs w:val="18"/>
          <w:highlight w:val="none"/>
        </w:rPr>
      </w:pPr>
      <w:r>
        <w:rPr>
          <w:rFonts w:hint="eastAsia" w:ascii="宋体" w:hAnsi="宋体"/>
          <w:color w:val="000000"/>
          <w:sz w:val="18"/>
          <w:szCs w:val="18"/>
          <w:highlight w:val="none"/>
        </w:rPr>
        <w:t>表1</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单位收支总体情况表</w:t>
      </w:r>
    </w:p>
    <w:tbl>
      <w:tblPr>
        <w:tblStyle w:val="8"/>
        <w:tblW w:w="9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tblHeader/>
          <w:jc w:val="center"/>
        </w:trPr>
        <w:tc>
          <w:tcPr>
            <w:tcW w:w="8350"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highlight w:val="none"/>
              </w:rPr>
            </w:pPr>
            <w:r>
              <w:rPr>
                <w:rFonts w:hint="eastAsia"/>
                <w:color w:val="000000"/>
                <w:sz w:val="18"/>
                <w:szCs w:val="18"/>
                <w:highlight w:val="none"/>
              </w:rPr>
              <w:t>编制单位：巴音郭楞蒙古自治州无线电管理中心</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highlight w:val="none"/>
              </w:rPr>
            </w:pPr>
            <w:r>
              <w:rPr>
                <w:rFonts w:hint="eastAsia" w:ascii="宋体" w:hAnsi="宋体"/>
                <w:b/>
                <w:color w:val="000000"/>
                <w:sz w:val="18"/>
                <w:szCs w:val="18"/>
                <w:highlight w:val="none"/>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highlight w:val="none"/>
              </w:rPr>
            </w:pPr>
            <w:r>
              <w:rPr>
                <w:rFonts w:hint="eastAsia" w:ascii="宋体" w:hAnsi="宋体"/>
                <w:b/>
                <w:color w:val="000000"/>
                <w:sz w:val="18"/>
                <w:szCs w:val="18"/>
                <w:highlight w:val="none"/>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highlight w:val="none"/>
              </w:rPr>
            </w:pPr>
            <w:r>
              <w:rPr>
                <w:rFonts w:hint="eastAsia" w:ascii="宋体" w:hAnsi="宋体"/>
                <w:b/>
                <w:color w:val="000000"/>
                <w:sz w:val="18"/>
                <w:szCs w:val="18"/>
                <w:highlight w:val="none"/>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highlight w:val="none"/>
              </w:rPr>
            </w:pPr>
            <w:r>
              <w:rPr>
                <w:rFonts w:hint="eastAsia" w:ascii="宋体" w:hAnsi="宋体"/>
                <w:b/>
                <w:color w:val="000000"/>
                <w:sz w:val="18"/>
                <w:szCs w:val="18"/>
                <w:highlight w:val="none"/>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highlight w:val="none"/>
              </w:rPr>
            </w:pPr>
            <w:r>
              <w:rPr>
                <w:rFonts w:hint="eastAsia" w:ascii="宋体" w:hAnsi="宋体"/>
                <w:b/>
                <w:color w:val="000000"/>
                <w:sz w:val="18"/>
                <w:szCs w:val="18"/>
                <w:highlight w:val="none"/>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highlight w:val="none"/>
              </w:rPr>
            </w:pPr>
            <w:r>
              <w:rPr>
                <w:rFonts w:hint="eastAsia" w:ascii="宋体" w:hAnsi="宋体"/>
                <w:b/>
                <w:color w:val="000000"/>
                <w:sz w:val="18"/>
                <w:szCs w:val="18"/>
                <w:highlight w:val="none"/>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一、本年收入</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281.85</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201 一般公共服务支出</w:t>
            </w:r>
          </w:p>
        </w:tc>
        <w:tc>
          <w:tcPr>
            <w:tcW w:w="1150" w:type="dxa"/>
            <w:shd w:val="clear" w:color="auto" w:fill="auto"/>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1.一般公共预算拨款</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281.85</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202 外交支出</w:t>
            </w:r>
          </w:p>
        </w:tc>
        <w:tc>
          <w:tcPr>
            <w:tcW w:w="1150" w:type="dxa"/>
            <w:shd w:val="clear" w:color="auto" w:fill="auto"/>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其中：一般财力</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color w:val="000000"/>
                <w:sz w:val="18"/>
                <w:szCs w:val="18"/>
                <w:highlight w:val="none"/>
              </w:rPr>
              <w:t>225.25</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203 国防支出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上级一般公共预算安排转移支付</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color w:val="000000"/>
                <w:sz w:val="18"/>
                <w:szCs w:val="18"/>
                <w:highlight w:val="none"/>
              </w:rPr>
              <w:t>56.60</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204 公共安全支出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2.政府性基金预算拨款</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205 教育支出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s="宋体"/>
                <w:color w:val="000000"/>
                <w:sz w:val="18"/>
                <w:szCs w:val="18"/>
                <w:highlight w:val="none"/>
              </w:rPr>
              <w:t>其中：政府性基金收入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206 科学技术支出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s="宋体"/>
                <w:color w:val="000000"/>
                <w:sz w:val="18"/>
                <w:szCs w:val="18"/>
                <w:highlight w:val="none"/>
              </w:rPr>
              <w:t xml:space="preserve">      上级政府性基金安排转移支付</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207 文化旅游体育与传媒支出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3.国有资本经营预算拨款</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208 社会保障和就业支出</w:t>
            </w:r>
          </w:p>
        </w:tc>
        <w:tc>
          <w:tcPr>
            <w:tcW w:w="1150"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其中：国有资本经营收入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209 社会保险基金支出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上级国有资本经营预算安排转移支付</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210 卫生健康支出</w:t>
            </w:r>
          </w:p>
        </w:tc>
        <w:tc>
          <w:tcPr>
            <w:tcW w:w="1150"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14.63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4.财政专户核拨</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211 节能环保支出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5.单位资金</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212 城乡社区支出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其中：事业收入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213 农林水支出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上级补助收入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214 交通运输支出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附属单位上缴收入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215 资源勘探工业信息等支出</w:t>
            </w:r>
          </w:p>
        </w:tc>
        <w:tc>
          <w:tcPr>
            <w:tcW w:w="1150"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222.41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事业单位经营收入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216 商业服务业等支出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其他收入</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217 金融支出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二、上年结转结余</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4.28</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219 援助其他地区支出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1.财政拨款结转</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4.28</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220 自然资源海洋气象等支出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其中：一般公共预算拨款</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color w:val="000000"/>
                <w:sz w:val="18"/>
                <w:szCs w:val="18"/>
                <w:highlight w:val="none"/>
              </w:rPr>
              <w:t>4.28</w:t>
            </w: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221 住房保障支出</w:t>
            </w:r>
          </w:p>
        </w:tc>
        <w:tc>
          <w:tcPr>
            <w:tcW w:w="1150"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政府性基金预算拨款</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222 粮油物资储备支出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国有资本经营预算拨款</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223 国有资本经营预算支出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b/>
                <w:color w:val="000000"/>
                <w:sz w:val="18"/>
                <w:szCs w:val="18"/>
                <w:highlight w:val="none"/>
              </w:rPr>
              <w:t>2.非财政拨款结转结余</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224 灾害防治及应急管理支出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其中：财政专户核拨</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227 预备费</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 xml:space="preserve">      单位资金</w:t>
            </w: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229 其他支出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230 转移性支出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231 债务还本支出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232 债务付息支出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s="宋体"/>
                <w:color w:val="000000"/>
                <w:sz w:val="18"/>
                <w:szCs w:val="18"/>
                <w:highlight w:val="none"/>
              </w:rPr>
              <w:t>233 债务发行费用支出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21" w:hRule="atLeast"/>
          <w:jc w:val="center"/>
        </w:trPr>
        <w:tc>
          <w:tcPr>
            <w:tcW w:w="3600" w:type="dxa"/>
            <w:shd w:val="clear" w:color="auto" w:fill="auto"/>
          </w:tcPr>
          <w:p>
            <w:pPr>
              <w:rPr>
                <w:rFonts w:hint="default" w:ascii="宋体" w:hAnsi="宋体"/>
                <w:color w:val="000000"/>
                <w:sz w:val="18"/>
                <w:szCs w:val="18"/>
                <w:highlight w:val="none"/>
              </w:rPr>
            </w:pPr>
          </w:p>
        </w:tc>
        <w:tc>
          <w:tcPr>
            <w:tcW w:w="1150" w:type="dxa"/>
            <w:shd w:val="clear" w:color="auto" w:fill="auto"/>
          </w:tcPr>
          <w:p>
            <w:pPr>
              <w:jc w:val="right"/>
              <w:rPr>
                <w:rFonts w:hint="default" w:ascii="宋体" w:hAnsi="宋体"/>
                <w:color w:val="000000"/>
                <w:sz w:val="18"/>
                <w:szCs w:val="18"/>
                <w:highlight w:val="none"/>
              </w:rPr>
            </w:pPr>
          </w:p>
        </w:tc>
        <w:tc>
          <w:tcPr>
            <w:tcW w:w="3600" w:type="dxa"/>
            <w:shd w:val="clear" w:color="auto" w:fill="auto"/>
            <w:vAlign w:val="center"/>
          </w:tcPr>
          <w:p>
            <w:pPr>
              <w:rPr>
                <w:rFonts w:hint="default" w:ascii="宋体" w:hAnsi="宋体" w:cs="宋体"/>
                <w:color w:val="000000"/>
                <w:sz w:val="18"/>
                <w:szCs w:val="18"/>
                <w:highlight w:val="none"/>
              </w:rPr>
            </w:pPr>
            <w:r>
              <w:rPr>
                <w:rFonts w:hint="eastAsia" w:ascii="宋体" w:hAnsi="宋体" w:cs="宋体"/>
                <w:color w:val="000000"/>
                <w:sz w:val="18"/>
                <w:szCs w:val="18"/>
                <w:highlight w:val="none"/>
              </w:rPr>
              <w:t>234 抗疫特别国债安排的支出</w:t>
            </w:r>
          </w:p>
        </w:tc>
        <w:tc>
          <w:tcPr>
            <w:tcW w:w="1150"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0" w:hRule="atLeast"/>
          <w:jc w:val="center"/>
        </w:trPr>
        <w:tc>
          <w:tcPr>
            <w:tcW w:w="3600" w:type="dxa"/>
            <w:shd w:val="clear" w:color="auto" w:fill="auto"/>
          </w:tcPr>
          <w:p>
            <w:pPr>
              <w:jc w:val="center"/>
              <w:rPr>
                <w:rFonts w:hint="default" w:ascii="宋体" w:hAnsi="宋体"/>
                <w:color w:val="000000"/>
                <w:sz w:val="18"/>
                <w:szCs w:val="18"/>
                <w:highlight w:val="none"/>
              </w:rPr>
            </w:pPr>
            <w:r>
              <w:rPr>
                <w:rFonts w:hint="eastAsia" w:ascii="宋体" w:hAnsi="宋体"/>
                <w:b/>
                <w:color w:val="000000"/>
                <w:sz w:val="18"/>
                <w:szCs w:val="18"/>
                <w:highlight w:val="none"/>
              </w:rPr>
              <w:t>收 入 总 计</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286.13</w:t>
            </w:r>
          </w:p>
        </w:tc>
        <w:tc>
          <w:tcPr>
            <w:tcW w:w="3600" w:type="dxa"/>
            <w:shd w:val="clear" w:color="auto" w:fill="auto"/>
          </w:tcPr>
          <w:p>
            <w:pPr>
              <w:jc w:val="center"/>
              <w:rPr>
                <w:rFonts w:hint="default" w:ascii="宋体" w:hAnsi="宋体" w:cs="宋体"/>
                <w:color w:val="000000"/>
                <w:sz w:val="18"/>
                <w:szCs w:val="18"/>
                <w:highlight w:val="none"/>
              </w:rPr>
            </w:pPr>
            <w:r>
              <w:rPr>
                <w:rFonts w:hint="eastAsia" w:ascii="宋体" w:hAnsi="宋体"/>
                <w:b/>
                <w:color w:val="000000"/>
                <w:sz w:val="18"/>
                <w:szCs w:val="18"/>
                <w:highlight w:val="none"/>
              </w:rPr>
              <w:t>支 出 总 计</w:t>
            </w:r>
          </w:p>
        </w:tc>
        <w:tc>
          <w:tcPr>
            <w:tcW w:w="1150"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286.13</w:t>
            </w:r>
          </w:p>
        </w:tc>
      </w:tr>
    </w:tbl>
    <w:p>
      <w:pPr>
        <w:widowControl/>
        <w:jc w:val="left"/>
        <w:rPr>
          <w:rFonts w:hint="default" w:ascii="仿宋" w:eastAsia="仿宋"/>
          <w:b/>
          <w:color w:val="000000"/>
          <w:szCs w:val="21"/>
          <w:highlight w:val="none"/>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highlight w:val="none"/>
        </w:rPr>
      </w:pPr>
      <w:r>
        <w:rPr>
          <w:rFonts w:hint="eastAsia" w:ascii="宋体" w:hAnsi="宋体"/>
          <w:color w:val="000000"/>
          <w:sz w:val="18"/>
          <w:szCs w:val="18"/>
          <w:highlight w:val="none"/>
        </w:rPr>
        <w:t>表2</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单位收入总体情况表</w:t>
      </w:r>
    </w:p>
    <w:tbl>
      <w:tblPr>
        <w:tblStyle w:val="8"/>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pPr>
              <w:jc w:val="left"/>
              <w:rPr>
                <w:rFonts w:hint="default" w:ascii="宋体" w:hAnsi="宋体"/>
                <w:sz w:val="18"/>
                <w:szCs w:val="18"/>
                <w:highlight w:val="none"/>
              </w:rPr>
            </w:pPr>
            <w:r>
              <w:rPr>
                <w:rFonts w:hint="eastAsia"/>
                <w:color w:val="000000"/>
                <w:sz w:val="18"/>
                <w:szCs w:val="18"/>
                <w:highlight w:val="none"/>
              </w:rPr>
              <w:t>编制单位：巴音郭楞蒙古自治州无线电管理中心</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科目代码</w:t>
            </w:r>
          </w:p>
        </w:tc>
        <w:tc>
          <w:tcPr>
            <w:tcW w:w="2500" w:type="dxa"/>
            <w:vMerge w:val="restart"/>
            <w:tcBorders>
              <w:top w:val="single" w:color="auto" w:sz="4" w:space="0"/>
            </w:tcBorders>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科目名称</w:t>
            </w:r>
          </w:p>
        </w:tc>
        <w:tc>
          <w:tcPr>
            <w:tcW w:w="1100" w:type="dxa"/>
            <w:vMerge w:val="restart"/>
            <w:tcBorders>
              <w:top w:val="single" w:color="auto" w:sz="4" w:space="0"/>
            </w:tcBorders>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总计</w:t>
            </w:r>
          </w:p>
        </w:tc>
        <w:tc>
          <w:tcPr>
            <w:tcW w:w="6340" w:type="dxa"/>
            <w:gridSpan w:val="7"/>
            <w:tcBorders>
              <w:top w:val="single" w:color="auto" w:sz="4" w:space="0"/>
            </w:tcBorders>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财政拨款（补助）</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财政专户（教育收费）</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单位资金</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财政拨款结转</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0" w:hRule="atLeast"/>
          <w:tblHeader/>
        </w:trPr>
        <w:tc>
          <w:tcPr>
            <w:tcW w:w="309"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类</w:t>
            </w:r>
          </w:p>
        </w:tc>
        <w:tc>
          <w:tcPr>
            <w:tcW w:w="268"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款</w:t>
            </w:r>
          </w:p>
        </w:tc>
        <w:tc>
          <w:tcPr>
            <w:tcW w:w="243"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项</w:t>
            </w:r>
          </w:p>
        </w:tc>
        <w:tc>
          <w:tcPr>
            <w:tcW w:w="2500" w:type="dxa"/>
            <w:vMerge w:val="continue"/>
            <w:shd w:val="clear" w:color="auto" w:fill="auto"/>
            <w:vAlign w:val="center"/>
          </w:tcPr>
          <w:p>
            <w:pPr>
              <w:jc w:val="center"/>
              <w:rPr>
                <w:rFonts w:hint="default" w:ascii="宋体" w:hAnsi="宋体"/>
                <w:sz w:val="18"/>
                <w:szCs w:val="18"/>
                <w:highlight w:val="none"/>
              </w:rPr>
            </w:pPr>
          </w:p>
        </w:tc>
        <w:tc>
          <w:tcPr>
            <w:tcW w:w="1100" w:type="dxa"/>
            <w:vMerge w:val="continue"/>
            <w:shd w:val="clear" w:color="auto" w:fill="auto"/>
            <w:vAlign w:val="center"/>
          </w:tcPr>
          <w:p>
            <w:pPr>
              <w:jc w:val="center"/>
              <w:rPr>
                <w:rFonts w:hint="default" w:ascii="宋体" w:hAnsi="宋体"/>
                <w:sz w:val="18"/>
                <w:szCs w:val="18"/>
                <w:highlight w:val="none"/>
              </w:rPr>
            </w:pPr>
          </w:p>
        </w:tc>
        <w:tc>
          <w:tcPr>
            <w:tcW w:w="1048"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财政拨款(补助)小计</w:t>
            </w:r>
          </w:p>
        </w:tc>
        <w:tc>
          <w:tcPr>
            <w:tcW w:w="925"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一般公共预算</w:t>
            </w:r>
          </w:p>
        </w:tc>
        <w:tc>
          <w:tcPr>
            <w:tcW w:w="924"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上级一般公共预算安排的转移支付</w:t>
            </w:r>
          </w:p>
        </w:tc>
        <w:tc>
          <w:tcPr>
            <w:tcW w:w="924"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政府性基金预算</w:t>
            </w:r>
          </w:p>
        </w:tc>
        <w:tc>
          <w:tcPr>
            <w:tcW w:w="924"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上级政府性基金安排的转移支付</w:t>
            </w:r>
          </w:p>
        </w:tc>
        <w:tc>
          <w:tcPr>
            <w:tcW w:w="924" w:type="dxa"/>
            <w:shd w:val="clear" w:color="auto" w:fill="auto"/>
            <w:vAlign w:val="center"/>
          </w:tcPr>
          <w:p>
            <w:pPr>
              <w:jc w:val="center"/>
              <w:rPr>
                <w:rFonts w:hint="eastAsia" w:ascii="宋体" w:hAnsi="宋体"/>
                <w:sz w:val="18"/>
                <w:szCs w:val="18"/>
                <w:highlight w:val="none"/>
              </w:rPr>
            </w:pPr>
            <w:r>
              <w:rPr>
                <w:rFonts w:hint="eastAsia" w:ascii="宋体" w:hAnsi="宋体"/>
                <w:sz w:val="18"/>
                <w:szCs w:val="18"/>
                <w:highlight w:val="none"/>
              </w:rPr>
              <w:t>国有资本经营预算</w:t>
            </w:r>
          </w:p>
        </w:tc>
        <w:tc>
          <w:tcPr>
            <w:tcW w:w="671"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上级国有资本经营预算安排的转移支付</w:t>
            </w:r>
          </w:p>
        </w:tc>
        <w:tc>
          <w:tcPr>
            <w:tcW w:w="900" w:type="dxa"/>
            <w:vMerge w:val="continue"/>
            <w:shd w:val="clear" w:color="auto" w:fill="auto"/>
          </w:tcPr>
          <w:p>
            <w:pPr>
              <w:jc w:val="center"/>
              <w:rPr>
                <w:rFonts w:hint="default" w:ascii="宋体" w:hAnsi="宋体"/>
                <w:sz w:val="18"/>
                <w:szCs w:val="18"/>
                <w:highlight w:val="none"/>
              </w:rPr>
            </w:pPr>
          </w:p>
        </w:tc>
        <w:tc>
          <w:tcPr>
            <w:tcW w:w="900" w:type="dxa"/>
            <w:vMerge w:val="continue"/>
            <w:shd w:val="clear" w:color="auto" w:fill="auto"/>
          </w:tcPr>
          <w:p>
            <w:pPr>
              <w:jc w:val="center"/>
              <w:rPr>
                <w:rFonts w:hint="default" w:ascii="宋体" w:hAnsi="宋体"/>
                <w:sz w:val="18"/>
                <w:szCs w:val="18"/>
                <w:highlight w:val="none"/>
              </w:rPr>
            </w:pPr>
          </w:p>
        </w:tc>
        <w:tc>
          <w:tcPr>
            <w:tcW w:w="900" w:type="dxa"/>
            <w:vMerge w:val="continue"/>
            <w:shd w:val="clear" w:color="auto" w:fill="auto"/>
          </w:tcPr>
          <w:p>
            <w:pPr>
              <w:jc w:val="center"/>
              <w:rPr>
                <w:rFonts w:hint="default" w:ascii="宋体" w:hAnsi="宋体"/>
                <w:sz w:val="18"/>
                <w:szCs w:val="18"/>
                <w:highlight w:val="none"/>
              </w:rPr>
            </w:pPr>
          </w:p>
        </w:tc>
        <w:tc>
          <w:tcPr>
            <w:tcW w:w="900" w:type="dxa"/>
            <w:vMerge w:val="continue"/>
            <w:shd w:val="clear" w:color="auto" w:fill="auto"/>
          </w:tcPr>
          <w:p>
            <w:pPr>
              <w:jc w:val="center"/>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208</w:t>
            </w:r>
          </w:p>
        </w:tc>
        <w:tc>
          <w:tcPr>
            <w:tcW w:w="268" w:type="dxa"/>
            <w:shd w:val="clear" w:color="auto" w:fill="auto"/>
            <w:vAlign w:val="center"/>
          </w:tcPr>
          <w:p>
            <w:pPr>
              <w:jc w:val="center"/>
              <w:rPr>
                <w:rFonts w:hint="default" w:ascii="宋体" w:hAnsi="宋体"/>
                <w:b/>
                <w:sz w:val="18"/>
                <w:szCs w:val="18"/>
                <w:highlight w:val="none"/>
              </w:rPr>
            </w:pPr>
          </w:p>
        </w:tc>
        <w:tc>
          <w:tcPr>
            <w:tcW w:w="243"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社会保障和就业支出</w:t>
            </w:r>
          </w:p>
        </w:tc>
        <w:tc>
          <w:tcPr>
            <w:tcW w:w="11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33.09</w:t>
            </w:r>
          </w:p>
        </w:tc>
        <w:tc>
          <w:tcPr>
            <w:tcW w:w="1048"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33.09</w:t>
            </w:r>
          </w:p>
        </w:tc>
        <w:tc>
          <w:tcPr>
            <w:tcW w:w="925"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33.09</w:t>
            </w:r>
          </w:p>
        </w:tc>
        <w:tc>
          <w:tcPr>
            <w:tcW w:w="924" w:type="dxa"/>
            <w:shd w:val="clear" w:color="auto" w:fill="auto"/>
            <w:vAlign w:val="center"/>
          </w:tcPr>
          <w:p>
            <w:pPr>
              <w:jc w:val="right"/>
              <w:rPr>
                <w:rFonts w:hint="default" w:ascii="宋体" w:hAnsi="宋体"/>
                <w:b/>
                <w:sz w:val="15"/>
                <w:szCs w:val="15"/>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671"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208</w:t>
            </w:r>
          </w:p>
        </w:tc>
        <w:tc>
          <w:tcPr>
            <w:tcW w:w="268"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05</w:t>
            </w:r>
          </w:p>
        </w:tc>
        <w:tc>
          <w:tcPr>
            <w:tcW w:w="243"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 xml:space="preserve">  行政事业单位养老支出</w:t>
            </w:r>
          </w:p>
        </w:tc>
        <w:tc>
          <w:tcPr>
            <w:tcW w:w="11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33.09</w:t>
            </w:r>
          </w:p>
        </w:tc>
        <w:tc>
          <w:tcPr>
            <w:tcW w:w="1048"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33.09</w:t>
            </w:r>
          </w:p>
        </w:tc>
        <w:tc>
          <w:tcPr>
            <w:tcW w:w="925"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33.09</w:t>
            </w:r>
          </w:p>
        </w:tc>
        <w:tc>
          <w:tcPr>
            <w:tcW w:w="924" w:type="dxa"/>
            <w:shd w:val="clear" w:color="auto" w:fill="auto"/>
            <w:vAlign w:val="center"/>
          </w:tcPr>
          <w:p>
            <w:pPr>
              <w:jc w:val="right"/>
              <w:rPr>
                <w:rFonts w:hint="default" w:ascii="宋体" w:hAnsi="宋体"/>
                <w:b/>
                <w:sz w:val="15"/>
                <w:szCs w:val="15"/>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671"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8"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事业单位离退休</w:t>
            </w:r>
          </w:p>
        </w:tc>
        <w:tc>
          <w:tcPr>
            <w:tcW w:w="11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2.47</w:t>
            </w:r>
          </w:p>
        </w:tc>
        <w:tc>
          <w:tcPr>
            <w:tcW w:w="1048"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2.47</w:t>
            </w:r>
          </w:p>
        </w:tc>
        <w:tc>
          <w:tcPr>
            <w:tcW w:w="925"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2.47</w:t>
            </w:r>
          </w:p>
        </w:tc>
        <w:tc>
          <w:tcPr>
            <w:tcW w:w="924" w:type="dxa"/>
            <w:shd w:val="clear" w:color="auto" w:fill="auto"/>
            <w:vAlign w:val="center"/>
          </w:tcPr>
          <w:p>
            <w:pPr>
              <w:jc w:val="right"/>
              <w:rPr>
                <w:rFonts w:hint="default" w:ascii="宋体" w:hAnsi="宋体"/>
                <w:sz w:val="15"/>
                <w:szCs w:val="15"/>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671"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8"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机关事业单位基本养老保险缴费支出</w:t>
            </w:r>
          </w:p>
        </w:tc>
        <w:tc>
          <w:tcPr>
            <w:tcW w:w="11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20.82</w:t>
            </w:r>
          </w:p>
        </w:tc>
        <w:tc>
          <w:tcPr>
            <w:tcW w:w="1048"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20.82</w:t>
            </w:r>
          </w:p>
        </w:tc>
        <w:tc>
          <w:tcPr>
            <w:tcW w:w="925"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20.82</w:t>
            </w:r>
          </w:p>
        </w:tc>
        <w:tc>
          <w:tcPr>
            <w:tcW w:w="924" w:type="dxa"/>
            <w:shd w:val="clear" w:color="auto" w:fill="auto"/>
            <w:vAlign w:val="center"/>
          </w:tcPr>
          <w:p>
            <w:pPr>
              <w:jc w:val="right"/>
              <w:rPr>
                <w:rFonts w:hint="default" w:ascii="宋体" w:hAnsi="宋体"/>
                <w:sz w:val="15"/>
                <w:szCs w:val="15"/>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671"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208</w:t>
            </w:r>
          </w:p>
        </w:tc>
        <w:tc>
          <w:tcPr>
            <w:tcW w:w="268"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06</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机关事业单位职业年金缴费支出</w:t>
            </w:r>
          </w:p>
        </w:tc>
        <w:tc>
          <w:tcPr>
            <w:tcW w:w="11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9.81</w:t>
            </w:r>
          </w:p>
        </w:tc>
        <w:tc>
          <w:tcPr>
            <w:tcW w:w="1048"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9.81</w:t>
            </w:r>
          </w:p>
        </w:tc>
        <w:tc>
          <w:tcPr>
            <w:tcW w:w="925"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9.81</w:t>
            </w:r>
          </w:p>
        </w:tc>
        <w:tc>
          <w:tcPr>
            <w:tcW w:w="924" w:type="dxa"/>
            <w:shd w:val="clear" w:color="auto" w:fill="auto"/>
            <w:vAlign w:val="center"/>
          </w:tcPr>
          <w:p>
            <w:pPr>
              <w:jc w:val="right"/>
              <w:rPr>
                <w:rFonts w:hint="default" w:ascii="宋体" w:hAnsi="宋体"/>
                <w:sz w:val="15"/>
                <w:szCs w:val="15"/>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671"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210</w:t>
            </w:r>
          </w:p>
        </w:tc>
        <w:tc>
          <w:tcPr>
            <w:tcW w:w="268" w:type="dxa"/>
            <w:shd w:val="clear" w:color="auto" w:fill="auto"/>
            <w:vAlign w:val="center"/>
          </w:tcPr>
          <w:p>
            <w:pPr>
              <w:jc w:val="center"/>
              <w:rPr>
                <w:rFonts w:hint="default" w:ascii="宋体" w:hAnsi="宋体"/>
                <w:b/>
                <w:sz w:val="18"/>
                <w:szCs w:val="18"/>
                <w:highlight w:val="none"/>
              </w:rPr>
            </w:pPr>
          </w:p>
        </w:tc>
        <w:tc>
          <w:tcPr>
            <w:tcW w:w="243"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卫生健康支出</w:t>
            </w:r>
          </w:p>
        </w:tc>
        <w:tc>
          <w:tcPr>
            <w:tcW w:w="11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14.63</w:t>
            </w:r>
          </w:p>
        </w:tc>
        <w:tc>
          <w:tcPr>
            <w:tcW w:w="1048"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14.63</w:t>
            </w:r>
          </w:p>
        </w:tc>
        <w:tc>
          <w:tcPr>
            <w:tcW w:w="925"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14.63</w:t>
            </w:r>
          </w:p>
        </w:tc>
        <w:tc>
          <w:tcPr>
            <w:tcW w:w="924" w:type="dxa"/>
            <w:shd w:val="clear" w:color="auto" w:fill="auto"/>
            <w:vAlign w:val="center"/>
          </w:tcPr>
          <w:p>
            <w:pPr>
              <w:jc w:val="right"/>
              <w:rPr>
                <w:rFonts w:hint="default" w:ascii="宋体" w:hAnsi="宋体"/>
                <w:b/>
                <w:sz w:val="15"/>
                <w:szCs w:val="15"/>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671"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210</w:t>
            </w:r>
          </w:p>
        </w:tc>
        <w:tc>
          <w:tcPr>
            <w:tcW w:w="268"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11</w:t>
            </w:r>
          </w:p>
        </w:tc>
        <w:tc>
          <w:tcPr>
            <w:tcW w:w="243"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 xml:space="preserve">  行政事业单位医疗</w:t>
            </w:r>
          </w:p>
        </w:tc>
        <w:tc>
          <w:tcPr>
            <w:tcW w:w="11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14.63</w:t>
            </w:r>
          </w:p>
        </w:tc>
        <w:tc>
          <w:tcPr>
            <w:tcW w:w="1048"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14.63</w:t>
            </w:r>
          </w:p>
        </w:tc>
        <w:tc>
          <w:tcPr>
            <w:tcW w:w="925"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14.63</w:t>
            </w:r>
          </w:p>
        </w:tc>
        <w:tc>
          <w:tcPr>
            <w:tcW w:w="924" w:type="dxa"/>
            <w:shd w:val="clear" w:color="auto" w:fill="auto"/>
            <w:vAlign w:val="center"/>
          </w:tcPr>
          <w:p>
            <w:pPr>
              <w:jc w:val="right"/>
              <w:rPr>
                <w:rFonts w:hint="default" w:ascii="宋体" w:hAnsi="宋体"/>
                <w:b/>
                <w:sz w:val="15"/>
                <w:szCs w:val="15"/>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671"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210</w:t>
            </w:r>
          </w:p>
        </w:tc>
        <w:tc>
          <w:tcPr>
            <w:tcW w:w="268"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11</w:t>
            </w:r>
          </w:p>
        </w:tc>
        <w:tc>
          <w:tcPr>
            <w:tcW w:w="243"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事业单位医疗</w:t>
            </w:r>
          </w:p>
        </w:tc>
        <w:tc>
          <w:tcPr>
            <w:tcW w:w="11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9.95</w:t>
            </w:r>
          </w:p>
        </w:tc>
        <w:tc>
          <w:tcPr>
            <w:tcW w:w="1048"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9.95</w:t>
            </w:r>
          </w:p>
        </w:tc>
        <w:tc>
          <w:tcPr>
            <w:tcW w:w="925"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9.95</w:t>
            </w:r>
          </w:p>
        </w:tc>
        <w:tc>
          <w:tcPr>
            <w:tcW w:w="924" w:type="dxa"/>
            <w:shd w:val="clear" w:color="auto" w:fill="auto"/>
            <w:vAlign w:val="center"/>
          </w:tcPr>
          <w:p>
            <w:pPr>
              <w:jc w:val="right"/>
              <w:rPr>
                <w:rFonts w:hint="default" w:ascii="宋体" w:hAnsi="宋体"/>
                <w:sz w:val="15"/>
                <w:szCs w:val="15"/>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671"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210</w:t>
            </w:r>
          </w:p>
        </w:tc>
        <w:tc>
          <w:tcPr>
            <w:tcW w:w="268"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11</w:t>
            </w:r>
          </w:p>
        </w:tc>
        <w:tc>
          <w:tcPr>
            <w:tcW w:w="243"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03</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公务员医疗补助</w:t>
            </w:r>
          </w:p>
        </w:tc>
        <w:tc>
          <w:tcPr>
            <w:tcW w:w="11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4.68</w:t>
            </w:r>
          </w:p>
        </w:tc>
        <w:tc>
          <w:tcPr>
            <w:tcW w:w="1048"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4.68</w:t>
            </w:r>
          </w:p>
        </w:tc>
        <w:tc>
          <w:tcPr>
            <w:tcW w:w="925"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4.68</w:t>
            </w:r>
          </w:p>
        </w:tc>
        <w:tc>
          <w:tcPr>
            <w:tcW w:w="924" w:type="dxa"/>
            <w:shd w:val="clear" w:color="auto" w:fill="auto"/>
            <w:vAlign w:val="center"/>
          </w:tcPr>
          <w:p>
            <w:pPr>
              <w:jc w:val="right"/>
              <w:rPr>
                <w:rFonts w:hint="default" w:ascii="宋体" w:hAnsi="宋体"/>
                <w:sz w:val="15"/>
                <w:szCs w:val="15"/>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671"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215</w:t>
            </w:r>
          </w:p>
        </w:tc>
        <w:tc>
          <w:tcPr>
            <w:tcW w:w="268" w:type="dxa"/>
            <w:shd w:val="clear" w:color="auto" w:fill="auto"/>
            <w:vAlign w:val="center"/>
          </w:tcPr>
          <w:p>
            <w:pPr>
              <w:jc w:val="center"/>
              <w:rPr>
                <w:rFonts w:hint="default" w:ascii="宋体" w:hAnsi="宋体"/>
                <w:b/>
                <w:sz w:val="18"/>
                <w:szCs w:val="18"/>
                <w:highlight w:val="none"/>
              </w:rPr>
            </w:pPr>
          </w:p>
        </w:tc>
        <w:tc>
          <w:tcPr>
            <w:tcW w:w="243"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资源勘探工业信息等支出</w:t>
            </w:r>
          </w:p>
        </w:tc>
        <w:tc>
          <w:tcPr>
            <w:tcW w:w="11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222.41</w:t>
            </w:r>
          </w:p>
        </w:tc>
        <w:tc>
          <w:tcPr>
            <w:tcW w:w="1048"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218.13</w:t>
            </w:r>
          </w:p>
        </w:tc>
        <w:tc>
          <w:tcPr>
            <w:tcW w:w="925"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161.53</w:t>
            </w:r>
          </w:p>
        </w:tc>
        <w:tc>
          <w:tcPr>
            <w:tcW w:w="924" w:type="dxa"/>
            <w:shd w:val="clear" w:color="auto" w:fill="auto"/>
            <w:vAlign w:val="center"/>
          </w:tcPr>
          <w:p>
            <w:pPr>
              <w:jc w:val="right"/>
              <w:rPr>
                <w:rFonts w:hint="default" w:ascii="宋体" w:hAnsi="宋体"/>
                <w:b/>
                <w:sz w:val="15"/>
                <w:szCs w:val="15"/>
                <w:highlight w:val="none"/>
              </w:rPr>
            </w:pPr>
            <w:r>
              <w:rPr>
                <w:rFonts w:hint="eastAsia" w:ascii="宋体" w:hAnsi="宋体"/>
                <w:b/>
                <w:color w:val="000000"/>
                <w:sz w:val="15"/>
                <w:szCs w:val="15"/>
                <w:highlight w:val="none"/>
              </w:rPr>
              <w:t>56.60</w:t>
            </w: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671"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r>
              <w:rPr>
                <w:rFonts w:hint="eastAsia" w:ascii="宋体" w:hAnsi="宋体"/>
                <w:b/>
                <w:color w:val="000000"/>
                <w:sz w:val="15"/>
                <w:szCs w:val="15"/>
                <w:highlight w:val="none"/>
              </w:rPr>
              <w:t>4.28</w:t>
            </w: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215</w:t>
            </w:r>
          </w:p>
        </w:tc>
        <w:tc>
          <w:tcPr>
            <w:tcW w:w="268"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05</w:t>
            </w:r>
          </w:p>
        </w:tc>
        <w:tc>
          <w:tcPr>
            <w:tcW w:w="243"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 xml:space="preserve">  工业和信息产业</w:t>
            </w:r>
          </w:p>
        </w:tc>
        <w:tc>
          <w:tcPr>
            <w:tcW w:w="11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222.41</w:t>
            </w:r>
          </w:p>
        </w:tc>
        <w:tc>
          <w:tcPr>
            <w:tcW w:w="1048"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218.13</w:t>
            </w:r>
          </w:p>
        </w:tc>
        <w:tc>
          <w:tcPr>
            <w:tcW w:w="925"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161.53</w:t>
            </w:r>
          </w:p>
        </w:tc>
        <w:tc>
          <w:tcPr>
            <w:tcW w:w="924" w:type="dxa"/>
            <w:shd w:val="clear" w:color="auto" w:fill="auto"/>
            <w:vAlign w:val="center"/>
          </w:tcPr>
          <w:p>
            <w:pPr>
              <w:jc w:val="right"/>
              <w:rPr>
                <w:rFonts w:hint="default" w:ascii="宋体" w:hAnsi="宋体"/>
                <w:b/>
                <w:sz w:val="15"/>
                <w:szCs w:val="15"/>
                <w:highlight w:val="none"/>
              </w:rPr>
            </w:pPr>
            <w:r>
              <w:rPr>
                <w:rFonts w:hint="eastAsia" w:ascii="宋体" w:hAnsi="宋体"/>
                <w:b/>
                <w:color w:val="000000"/>
                <w:sz w:val="15"/>
                <w:szCs w:val="15"/>
                <w:highlight w:val="none"/>
              </w:rPr>
              <w:t>56.60</w:t>
            </w: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671"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r>
              <w:rPr>
                <w:rFonts w:hint="eastAsia" w:ascii="宋体" w:hAnsi="宋体"/>
                <w:b/>
                <w:color w:val="000000"/>
                <w:sz w:val="15"/>
                <w:szCs w:val="15"/>
                <w:highlight w:val="none"/>
              </w:rPr>
              <w:t>4.28</w:t>
            </w: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215</w:t>
            </w:r>
          </w:p>
        </w:tc>
        <w:tc>
          <w:tcPr>
            <w:tcW w:w="268"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05</w:t>
            </w:r>
          </w:p>
        </w:tc>
        <w:tc>
          <w:tcPr>
            <w:tcW w:w="243"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08</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无线电及信息通信监管</w:t>
            </w:r>
          </w:p>
        </w:tc>
        <w:tc>
          <w:tcPr>
            <w:tcW w:w="11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222.41</w:t>
            </w:r>
          </w:p>
        </w:tc>
        <w:tc>
          <w:tcPr>
            <w:tcW w:w="1048"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218.13</w:t>
            </w:r>
          </w:p>
        </w:tc>
        <w:tc>
          <w:tcPr>
            <w:tcW w:w="925"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161.53</w:t>
            </w:r>
          </w:p>
        </w:tc>
        <w:tc>
          <w:tcPr>
            <w:tcW w:w="924" w:type="dxa"/>
            <w:shd w:val="clear" w:color="auto" w:fill="auto"/>
            <w:vAlign w:val="center"/>
          </w:tcPr>
          <w:p>
            <w:pPr>
              <w:jc w:val="right"/>
              <w:rPr>
                <w:rFonts w:hint="default" w:ascii="宋体" w:hAnsi="宋体"/>
                <w:sz w:val="15"/>
                <w:szCs w:val="15"/>
                <w:highlight w:val="none"/>
              </w:rPr>
            </w:pPr>
            <w:r>
              <w:rPr>
                <w:rFonts w:hint="eastAsia" w:ascii="宋体" w:hAnsi="宋体"/>
                <w:color w:val="000000"/>
                <w:sz w:val="15"/>
                <w:szCs w:val="15"/>
                <w:highlight w:val="none"/>
              </w:rPr>
              <w:t>56.60</w:t>
            </w: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671"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r>
              <w:rPr>
                <w:rFonts w:hint="eastAsia" w:ascii="宋体" w:hAnsi="宋体"/>
                <w:color w:val="000000"/>
                <w:sz w:val="15"/>
                <w:szCs w:val="15"/>
                <w:highlight w:val="none"/>
              </w:rPr>
              <w:t>4.28</w:t>
            </w: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221</w:t>
            </w:r>
          </w:p>
        </w:tc>
        <w:tc>
          <w:tcPr>
            <w:tcW w:w="268" w:type="dxa"/>
            <w:shd w:val="clear" w:color="auto" w:fill="auto"/>
            <w:vAlign w:val="center"/>
          </w:tcPr>
          <w:p>
            <w:pPr>
              <w:jc w:val="center"/>
              <w:rPr>
                <w:rFonts w:hint="default" w:ascii="宋体" w:hAnsi="宋体"/>
                <w:b/>
                <w:sz w:val="18"/>
                <w:szCs w:val="18"/>
                <w:highlight w:val="none"/>
              </w:rPr>
            </w:pPr>
          </w:p>
        </w:tc>
        <w:tc>
          <w:tcPr>
            <w:tcW w:w="243"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住房保障支出</w:t>
            </w:r>
          </w:p>
        </w:tc>
        <w:tc>
          <w:tcPr>
            <w:tcW w:w="11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16.00</w:t>
            </w:r>
          </w:p>
        </w:tc>
        <w:tc>
          <w:tcPr>
            <w:tcW w:w="1048"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16.00</w:t>
            </w:r>
          </w:p>
        </w:tc>
        <w:tc>
          <w:tcPr>
            <w:tcW w:w="925"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16.00</w:t>
            </w:r>
          </w:p>
        </w:tc>
        <w:tc>
          <w:tcPr>
            <w:tcW w:w="924" w:type="dxa"/>
            <w:shd w:val="clear" w:color="auto" w:fill="auto"/>
            <w:vAlign w:val="center"/>
          </w:tcPr>
          <w:p>
            <w:pPr>
              <w:jc w:val="right"/>
              <w:rPr>
                <w:rFonts w:hint="default" w:ascii="宋体" w:hAnsi="宋体"/>
                <w:b/>
                <w:sz w:val="15"/>
                <w:szCs w:val="15"/>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671"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221</w:t>
            </w:r>
          </w:p>
        </w:tc>
        <w:tc>
          <w:tcPr>
            <w:tcW w:w="268"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02</w:t>
            </w:r>
          </w:p>
        </w:tc>
        <w:tc>
          <w:tcPr>
            <w:tcW w:w="243"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5"/>
                <w:szCs w:val="15"/>
                <w:highlight w:val="none"/>
              </w:rPr>
              <w:t xml:space="preserve">  住房改革支出</w:t>
            </w:r>
          </w:p>
        </w:tc>
        <w:tc>
          <w:tcPr>
            <w:tcW w:w="11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16.00</w:t>
            </w:r>
          </w:p>
        </w:tc>
        <w:tc>
          <w:tcPr>
            <w:tcW w:w="1048"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16.00</w:t>
            </w:r>
          </w:p>
        </w:tc>
        <w:tc>
          <w:tcPr>
            <w:tcW w:w="925"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16.00</w:t>
            </w:r>
          </w:p>
        </w:tc>
        <w:tc>
          <w:tcPr>
            <w:tcW w:w="924" w:type="dxa"/>
            <w:shd w:val="clear" w:color="auto" w:fill="auto"/>
            <w:vAlign w:val="center"/>
          </w:tcPr>
          <w:p>
            <w:pPr>
              <w:jc w:val="right"/>
              <w:rPr>
                <w:rFonts w:hint="default" w:ascii="宋体" w:hAnsi="宋体"/>
                <w:b/>
                <w:sz w:val="15"/>
                <w:szCs w:val="15"/>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671"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221</w:t>
            </w:r>
          </w:p>
        </w:tc>
        <w:tc>
          <w:tcPr>
            <w:tcW w:w="268"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02</w:t>
            </w:r>
          </w:p>
        </w:tc>
        <w:tc>
          <w:tcPr>
            <w:tcW w:w="243"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5"/>
                <w:szCs w:val="15"/>
                <w:highlight w:val="none"/>
              </w:rPr>
              <w:t>01</w:t>
            </w:r>
          </w:p>
        </w:tc>
        <w:tc>
          <w:tcPr>
            <w:tcW w:w="2500"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5"/>
                <w:szCs w:val="15"/>
                <w:highlight w:val="none"/>
              </w:rPr>
              <w:t xml:space="preserve">    住房公积金</w:t>
            </w:r>
          </w:p>
        </w:tc>
        <w:tc>
          <w:tcPr>
            <w:tcW w:w="1100"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16.00</w:t>
            </w:r>
          </w:p>
        </w:tc>
        <w:tc>
          <w:tcPr>
            <w:tcW w:w="1048"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16.00</w:t>
            </w:r>
          </w:p>
        </w:tc>
        <w:tc>
          <w:tcPr>
            <w:tcW w:w="925" w:type="dxa"/>
            <w:shd w:val="clear" w:color="auto" w:fill="auto"/>
            <w:vAlign w:val="center"/>
          </w:tcPr>
          <w:p>
            <w:pPr>
              <w:jc w:val="right"/>
              <w:rPr>
                <w:rFonts w:hint="default" w:ascii="宋体" w:hAnsi="宋体"/>
                <w:sz w:val="18"/>
                <w:szCs w:val="18"/>
                <w:highlight w:val="none"/>
              </w:rPr>
            </w:pPr>
            <w:r>
              <w:rPr>
                <w:rFonts w:hint="eastAsia" w:ascii="宋体" w:hAnsi="宋体"/>
                <w:color w:val="000000"/>
                <w:sz w:val="15"/>
                <w:szCs w:val="15"/>
                <w:highlight w:val="none"/>
              </w:rPr>
              <w:t>16.00</w:t>
            </w:r>
          </w:p>
        </w:tc>
        <w:tc>
          <w:tcPr>
            <w:tcW w:w="924" w:type="dxa"/>
            <w:shd w:val="clear" w:color="auto" w:fill="auto"/>
            <w:vAlign w:val="center"/>
          </w:tcPr>
          <w:p>
            <w:pPr>
              <w:jc w:val="right"/>
              <w:rPr>
                <w:rFonts w:hint="default" w:ascii="宋体" w:hAnsi="宋体"/>
                <w:sz w:val="15"/>
                <w:szCs w:val="15"/>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924" w:type="dxa"/>
            <w:shd w:val="clear" w:color="auto" w:fill="auto"/>
            <w:vAlign w:val="center"/>
          </w:tcPr>
          <w:p>
            <w:pPr>
              <w:jc w:val="right"/>
              <w:rPr>
                <w:rFonts w:hint="default" w:ascii="宋体" w:hAnsi="宋体"/>
                <w:sz w:val="18"/>
                <w:szCs w:val="18"/>
                <w:highlight w:val="none"/>
              </w:rPr>
            </w:pPr>
          </w:p>
        </w:tc>
        <w:tc>
          <w:tcPr>
            <w:tcW w:w="671"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default" w:ascii="宋体" w:hAnsi="宋体"/>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c>
          <w:tcPr>
            <w:tcW w:w="900" w:type="dxa"/>
            <w:shd w:val="clear" w:color="auto" w:fill="auto"/>
            <w:vAlign w:val="center"/>
          </w:tcPr>
          <w:p>
            <w:pPr>
              <w:jc w:val="right"/>
              <w:rPr>
                <w:rFonts w:hint="eastAsia"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7" w:hRule="atLeast"/>
        </w:trPr>
        <w:tc>
          <w:tcPr>
            <w:tcW w:w="309" w:type="dxa"/>
            <w:shd w:val="clear" w:color="auto" w:fill="auto"/>
            <w:vAlign w:val="center"/>
          </w:tcPr>
          <w:p>
            <w:pPr>
              <w:jc w:val="center"/>
              <w:rPr>
                <w:rFonts w:hint="default" w:ascii="宋体" w:hAnsi="宋体"/>
                <w:b/>
                <w:sz w:val="18"/>
                <w:szCs w:val="18"/>
                <w:highlight w:val="none"/>
              </w:rPr>
            </w:pPr>
          </w:p>
        </w:tc>
        <w:tc>
          <w:tcPr>
            <w:tcW w:w="268" w:type="dxa"/>
            <w:shd w:val="clear" w:color="auto" w:fill="auto"/>
            <w:vAlign w:val="center"/>
          </w:tcPr>
          <w:p>
            <w:pPr>
              <w:jc w:val="center"/>
              <w:rPr>
                <w:rFonts w:hint="default" w:ascii="宋体" w:hAnsi="宋体"/>
                <w:b/>
                <w:sz w:val="18"/>
                <w:szCs w:val="18"/>
                <w:highlight w:val="none"/>
              </w:rPr>
            </w:pPr>
          </w:p>
        </w:tc>
        <w:tc>
          <w:tcPr>
            <w:tcW w:w="243" w:type="dxa"/>
            <w:shd w:val="clear" w:color="auto" w:fill="auto"/>
            <w:vAlign w:val="center"/>
          </w:tcPr>
          <w:p>
            <w:pPr>
              <w:jc w:val="center"/>
              <w:rPr>
                <w:rFonts w:hint="default" w:ascii="宋体" w:hAnsi="宋体"/>
                <w:b/>
                <w:sz w:val="18"/>
                <w:szCs w:val="18"/>
                <w:highlight w:val="none"/>
              </w:rPr>
            </w:pPr>
          </w:p>
        </w:tc>
        <w:tc>
          <w:tcPr>
            <w:tcW w:w="2500"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5"/>
                <w:szCs w:val="15"/>
                <w:highlight w:val="none"/>
              </w:rPr>
              <w:t>总计</w:t>
            </w:r>
          </w:p>
        </w:tc>
        <w:tc>
          <w:tcPr>
            <w:tcW w:w="1100"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286.13</w:t>
            </w:r>
          </w:p>
        </w:tc>
        <w:tc>
          <w:tcPr>
            <w:tcW w:w="1048"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281.85</w:t>
            </w:r>
          </w:p>
        </w:tc>
        <w:tc>
          <w:tcPr>
            <w:tcW w:w="925" w:type="dxa"/>
            <w:shd w:val="clear" w:color="auto" w:fill="auto"/>
            <w:vAlign w:val="center"/>
          </w:tcPr>
          <w:p>
            <w:pPr>
              <w:jc w:val="right"/>
              <w:rPr>
                <w:rFonts w:hint="default" w:ascii="宋体" w:hAnsi="宋体"/>
                <w:b/>
                <w:sz w:val="18"/>
                <w:szCs w:val="18"/>
                <w:highlight w:val="none"/>
              </w:rPr>
            </w:pPr>
            <w:r>
              <w:rPr>
                <w:rFonts w:hint="eastAsia" w:ascii="宋体" w:hAnsi="宋体"/>
                <w:b/>
                <w:color w:val="000000"/>
                <w:sz w:val="15"/>
                <w:szCs w:val="15"/>
                <w:highlight w:val="none"/>
              </w:rPr>
              <w:t>225.25</w:t>
            </w:r>
          </w:p>
        </w:tc>
        <w:tc>
          <w:tcPr>
            <w:tcW w:w="924" w:type="dxa"/>
            <w:shd w:val="clear" w:color="auto" w:fill="auto"/>
            <w:vAlign w:val="center"/>
          </w:tcPr>
          <w:p>
            <w:pPr>
              <w:jc w:val="right"/>
              <w:rPr>
                <w:rFonts w:hint="default" w:ascii="宋体" w:hAnsi="宋体"/>
                <w:b/>
                <w:sz w:val="15"/>
                <w:szCs w:val="15"/>
                <w:highlight w:val="none"/>
              </w:rPr>
            </w:pPr>
            <w:r>
              <w:rPr>
                <w:rFonts w:hint="eastAsia" w:ascii="宋体" w:hAnsi="宋体"/>
                <w:b/>
                <w:color w:val="000000"/>
                <w:sz w:val="15"/>
                <w:szCs w:val="15"/>
                <w:highlight w:val="none"/>
              </w:rPr>
              <w:t>56.60</w:t>
            </w: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924" w:type="dxa"/>
            <w:shd w:val="clear" w:color="auto" w:fill="auto"/>
            <w:vAlign w:val="center"/>
          </w:tcPr>
          <w:p>
            <w:pPr>
              <w:jc w:val="right"/>
              <w:rPr>
                <w:rFonts w:hint="default" w:ascii="宋体" w:hAnsi="宋体"/>
                <w:b/>
                <w:sz w:val="18"/>
                <w:szCs w:val="18"/>
                <w:highlight w:val="none"/>
              </w:rPr>
            </w:pPr>
          </w:p>
        </w:tc>
        <w:tc>
          <w:tcPr>
            <w:tcW w:w="671"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default" w:ascii="宋体" w:hAnsi="宋体"/>
                <w:b/>
                <w:sz w:val="18"/>
                <w:szCs w:val="18"/>
                <w:highlight w:val="none"/>
              </w:rPr>
            </w:pPr>
          </w:p>
        </w:tc>
        <w:tc>
          <w:tcPr>
            <w:tcW w:w="900" w:type="dxa"/>
            <w:shd w:val="clear" w:color="auto" w:fill="auto"/>
            <w:vAlign w:val="center"/>
          </w:tcPr>
          <w:p>
            <w:pPr>
              <w:jc w:val="right"/>
              <w:rPr>
                <w:rFonts w:hint="eastAsia" w:ascii="宋体" w:hAnsi="宋体"/>
                <w:b/>
                <w:color w:val="000000"/>
                <w:sz w:val="18"/>
                <w:szCs w:val="18"/>
                <w:highlight w:val="none"/>
              </w:rPr>
            </w:pPr>
            <w:r>
              <w:rPr>
                <w:rFonts w:hint="eastAsia" w:ascii="宋体" w:hAnsi="宋体"/>
                <w:b/>
                <w:color w:val="000000"/>
                <w:sz w:val="15"/>
                <w:szCs w:val="15"/>
                <w:highlight w:val="none"/>
              </w:rPr>
              <w:t>4.28</w:t>
            </w:r>
          </w:p>
        </w:tc>
        <w:tc>
          <w:tcPr>
            <w:tcW w:w="900" w:type="dxa"/>
            <w:shd w:val="clear" w:color="auto" w:fill="auto"/>
            <w:vAlign w:val="center"/>
          </w:tcPr>
          <w:p>
            <w:pPr>
              <w:jc w:val="right"/>
              <w:rPr>
                <w:rFonts w:hint="eastAsia" w:ascii="宋体" w:hAnsi="宋体"/>
                <w:b/>
                <w:color w:val="000000"/>
                <w:sz w:val="18"/>
                <w:szCs w:val="18"/>
                <w:highlight w:val="none"/>
              </w:rPr>
            </w:pPr>
          </w:p>
        </w:tc>
      </w:tr>
    </w:tbl>
    <w:p>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highlight w:val="none"/>
        </w:rPr>
      </w:pPr>
      <w:r>
        <w:rPr>
          <w:rFonts w:hint="eastAsia" w:ascii="宋体" w:hAnsi="宋体"/>
          <w:color w:val="000000"/>
          <w:sz w:val="18"/>
          <w:szCs w:val="18"/>
          <w:highlight w:val="none"/>
        </w:rPr>
        <w:t>表3</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单位支出总体情况表</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编制单位：巴音郭楞蒙古自治州无线电管理中心</w:t>
            </w:r>
          </w:p>
        </w:tc>
        <w:tc>
          <w:tcPr>
            <w:tcW w:w="1679"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highlight w:val="none"/>
              </w:rPr>
            </w:pPr>
            <w:r>
              <w:rPr>
                <w:rFonts w:hint="eastAsia"/>
                <w:sz w:val="18"/>
                <w:szCs w:val="18"/>
                <w:highlight w:val="none"/>
              </w:rPr>
              <w:t>科目</w:t>
            </w:r>
          </w:p>
        </w:tc>
        <w:tc>
          <w:tcPr>
            <w:tcW w:w="4017" w:type="dxa"/>
            <w:gridSpan w:val="4"/>
            <w:shd w:val="clear" w:color="auto" w:fill="auto"/>
            <w:vAlign w:val="center"/>
          </w:tcPr>
          <w:p>
            <w:pPr>
              <w:jc w:val="center"/>
              <w:rPr>
                <w:sz w:val="18"/>
                <w:szCs w:val="18"/>
                <w:highlight w:val="none"/>
              </w:rPr>
            </w:pPr>
            <w:r>
              <w:rPr>
                <w:rFonts w:hint="eastAsia"/>
                <w:sz w:val="18"/>
                <w:szCs w:val="18"/>
                <w:highlight w:val="none"/>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4169"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306"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1306" w:type="dxa"/>
            <w:gridSpan w:val="2"/>
            <w:vMerge w:val="restart"/>
            <w:shd w:val="clear" w:color="auto" w:fill="auto"/>
            <w:vAlign w:val="center"/>
          </w:tcPr>
          <w:p>
            <w:pPr>
              <w:jc w:val="center"/>
              <w:rPr>
                <w:sz w:val="18"/>
                <w:szCs w:val="18"/>
                <w:highlight w:val="none"/>
              </w:rPr>
            </w:pPr>
            <w:r>
              <w:rPr>
                <w:rFonts w:hint="eastAsia"/>
                <w:sz w:val="18"/>
                <w:szCs w:val="18"/>
                <w:highlight w:val="none"/>
              </w:rPr>
              <w:t>基本支出</w:t>
            </w:r>
          </w:p>
        </w:tc>
        <w:tc>
          <w:tcPr>
            <w:tcW w:w="1405"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567" w:type="dxa"/>
            <w:shd w:val="clear" w:color="auto" w:fill="auto"/>
            <w:vAlign w:val="center"/>
          </w:tcPr>
          <w:p>
            <w:pPr>
              <w:jc w:val="center"/>
              <w:rPr>
                <w:sz w:val="18"/>
                <w:szCs w:val="18"/>
                <w:highlight w:val="none"/>
              </w:rPr>
            </w:pPr>
            <w:r>
              <w:rPr>
                <w:rFonts w:hint="eastAsia"/>
                <w:sz w:val="18"/>
                <w:szCs w:val="18"/>
                <w:highlight w:val="none"/>
              </w:rPr>
              <w:t>项</w:t>
            </w:r>
          </w:p>
        </w:tc>
        <w:tc>
          <w:tcPr>
            <w:tcW w:w="4169" w:type="dxa"/>
            <w:vMerge w:val="continue"/>
            <w:shd w:val="clear" w:color="auto" w:fill="auto"/>
            <w:vAlign w:val="center"/>
          </w:tcPr>
          <w:p>
            <w:pPr>
              <w:jc w:val="center"/>
              <w:rPr>
                <w:sz w:val="18"/>
                <w:szCs w:val="18"/>
                <w:highlight w:val="none"/>
              </w:rPr>
            </w:pPr>
          </w:p>
        </w:tc>
        <w:tc>
          <w:tcPr>
            <w:tcW w:w="1306" w:type="dxa"/>
            <w:vMerge w:val="continue"/>
            <w:shd w:val="clear" w:color="auto" w:fill="auto"/>
            <w:vAlign w:val="center"/>
          </w:tcPr>
          <w:p>
            <w:pPr>
              <w:jc w:val="center"/>
              <w:rPr>
                <w:sz w:val="18"/>
                <w:szCs w:val="18"/>
                <w:highlight w:val="none"/>
              </w:rPr>
            </w:pPr>
          </w:p>
        </w:tc>
        <w:tc>
          <w:tcPr>
            <w:tcW w:w="1306" w:type="dxa"/>
            <w:gridSpan w:val="2"/>
            <w:vMerge w:val="continue"/>
            <w:shd w:val="clear" w:color="auto" w:fill="auto"/>
            <w:vAlign w:val="center"/>
          </w:tcPr>
          <w:p>
            <w:pPr>
              <w:jc w:val="center"/>
              <w:rPr>
                <w:sz w:val="18"/>
                <w:szCs w:val="18"/>
                <w:highlight w:val="none"/>
              </w:rPr>
            </w:pPr>
          </w:p>
        </w:tc>
        <w:tc>
          <w:tcPr>
            <w:tcW w:w="1405"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pPr>
              <w:jc w:val="center"/>
              <w:rPr>
                <w:rFonts w:hint="default" w:ascii="宋体" w:hAnsi="宋体"/>
                <w:b/>
                <w:sz w:val="18"/>
                <w:szCs w:val="18"/>
                <w:highlight w:val="none"/>
              </w:rPr>
            </w:pPr>
          </w:p>
        </w:tc>
        <w:tc>
          <w:tcPr>
            <w:tcW w:w="567" w:type="dxa"/>
            <w:shd w:val="clear" w:color="auto" w:fill="auto"/>
            <w:vAlign w:val="center"/>
          </w:tcPr>
          <w:p>
            <w:pPr>
              <w:jc w:val="center"/>
              <w:rPr>
                <w:rFonts w:hint="default" w:ascii="宋体" w:hAnsi="宋体"/>
                <w:b/>
                <w:sz w:val="18"/>
                <w:szCs w:val="18"/>
                <w:highlight w:val="none"/>
              </w:rPr>
            </w:pPr>
          </w:p>
        </w:tc>
        <w:tc>
          <w:tcPr>
            <w:tcW w:w="4169"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社会保障和就业支出</w:t>
            </w:r>
          </w:p>
        </w:tc>
        <w:tc>
          <w:tcPr>
            <w:tcW w:w="1306"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33.09</w:t>
            </w:r>
          </w:p>
        </w:tc>
        <w:tc>
          <w:tcPr>
            <w:tcW w:w="130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33.09</w:t>
            </w:r>
          </w:p>
        </w:tc>
        <w:tc>
          <w:tcPr>
            <w:tcW w:w="1405"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pPr>
              <w:jc w:val="center"/>
              <w:rPr>
                <w:rFonts w:hint="default" w:ascii="宋体" w:hAnsi="宋体"/>
                <w:b/>
                <w:sz w:val="18"/>
                <w:szCs w:val="18"/>
                <w:highlight w:val="none"/>
              </w:rPr>
            </w:pPr>
          </w:p>
        </w:tc>
        <w:tc>
          <w:tcPr>
            <w:tcW w:w="4169"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 xml:space="preserve">  行政事业单位养老支出</w:t>
            </w:r>
          </w:p>
        </w:tc>
        <w:tc>
          <w:tcPr>
            <w:tcW w:w="1306"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33.09</w:t>
            </w:r>
          </w:p>
        </w:tc>
        <w:tc>
          <w:tcPr>
            <w:tcW w:w="130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33.09</w:t>
            </w:r>
          </w:p>
        </w:tc>
        <w:tc>
          <w:tcPr>
            <w:tcW w:w="1405"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4169"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事业单位离退休</w:t>
            </w:r>
          </w:p>
        </w:tc>
        <w:tc>
          <w:tcPr>
            <w:tcW w:w="1306" w:type="dxa"/>
            <w:shd w:val="clear" w:color="auto" w:fill="auto"/>
            <w:vAlign w:val="center"/>
          </w:tcPr>
          <w:p>
            <w:pPr>
              <w:jc w:val="right"/>
              <w:rPr>
                <w:sz w:val="18"/>
                <w:szCs w:val="18"/>
                <w:highlight w:val="none"/>
              </w:rPr>
            </w:pPr>
            <w:r>
              <w:rPr>
                <w:rFonts w:hint="eastAsia" w:ascii="宋体" w:hAnsi="宋体"/>
                <w:color w:val="000000"/>
                <w:sz w:val="18"/>
                <w:szCs w:val="18"/>
                <w:highlight w:val="none"/>
              </w:rPr>
              <w:t>2.47</w:t>
            </w:r>
          </w:p>
        </w:tc>
        <w:tc>
          <w:tcPr>
            <w:tcW w:w="130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2.47</w:t>
            </w:r>
          </w:p>
        </w:tc>
        <w:tc>
          <w:tcPr>
            <w:tcW w:w="1405"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4169"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机关事业单位基本养老保险缴费支出</w:t>
            </w:r>
          </w:p>
        </w:tc>
        <w:tc>
          <w:tcPr>
            <w:tcW w:w="1306" w:type="dxa"/>
            <w:shd w:val="clear" w:color="auto" w:fill="auto"/>
            <w:vAlign w:val="center"/>
          </w:tcPr>
          <w:p>
            <w:pPr>
              <w:jc w:val="right"/>
              <w:rPr>
                <w:sz w:val="18"/>
                <w:szCs w:val="18"/>
                <w:highlight w:val="none"/>
              </w:rPr>
            </w:pPr>
            <w:r>
              <w:rPr>
                <w:rFonts w:hint="eastAsia" w:ascii="宋体" w:hAnsi="宋体"/>
                <w:color w:val="000000"/>
                <w:sz w:val="18"/>
                <w:szCs w:val="18"/>
                <w:highlight w:val="none"/>
              </w:rPr>
              <w:t>20.82</w:t>
            </w:r>
          </w:p>
        </w:tc>
        <w:tc>
          <w:tcPr>
            <w:tcW w:w="130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20.82</w:t>
            </w:r>
          </w:p>
        </w:tc>
        <w:tc>
          <w:tcPr>
            <w:tcW w:w="1405"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06</w:t>
            </w:r>
          </w:p>
        </w:tc>
        <w:tc>
          <w:tcPr>
            <w:tcW w:w="4169"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机关事业单位职业年金缴费支出</w:t>
            </w:r>
          </w:p>
        </w:tc>
        <w:tc>
          <w:tcPr>
            <w:tcW w:w="1306" w:type="dxa"/>
            <w:shd w:val="clear" w:color="auto" w:fill="auto"/>
            <w:vAlign w:val="center"/>
          </w:tcPr>
          <w:p>
            <w:pPr>
              <w:jc w:val="right"/>
              <w:rPr>
                <w:sz w:val="18"/>
                <w:szCs w:val="18"/>
                <w:highlight w:val="none"/>
              </w:rPr>
            </w:pPr>
            <w:r>
              <w:rPr>
                <w:rFonts w:hint="eastAsia" w:ascii="宋体" w:hAnsi="宋体"/>
                <w:color w:val="000000"/>
                <w:sz w:val="18"/>
                <w:szCs w:val="18"/>
                <w:highlight w:val="none"/>
              </w:rPr>
              <w:t>9.81</w:t>
            </w:r>
          </w:p>
        </w:tc>
        <w:tc>
          <w:tcPr>
            <w:tcW w:w="130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9.81</w:t>
            </w:r>
          </w:p>
        </w:tc>
        <w:tc>
          <w:tcPr>
            <w:tcW w:w="1405"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pPr>
              <w:jc w:val="center"/>
              <w:rPr>
                <w:rFonts w:hint="default" w:ascii="宋体" w:hAnsi="宋体"/>
                <w:b/>
                <w:sz w:val="18"/>
                <w:szCs w:val="18"/>
                <w:highlight w:val="none"/>
              </w:rPr>
            </w:pPr>
          </w:p>
        </w:tc>
        <w:tc>
          <w:tcPr>
            <w:tcW w:w="567" w:type="dxa"/>
            <w:shd w:val="clear" w:color="auto" w:fill="auto"/>
            <w:vAlign w:val="center"/>
          </w:tcPr>
          <w:p>
            <w:pPr>
              <w:jc w:val="center"/>
              <w:rPr>
                <w:rFonts w:hint="default" w:ascii="宋体" w:hAnsi="宋体"/>
                <w:b/>
                <w:sz w:val="18"/>
                <w:szCs w:val="18"/>
                <w:highlight w:val="none"/>
              </w:rPr>
            </w:pPr>
          </w:p>
        </w:tc>
        <w:tc>
          <w:tcPr>
            <w:tcW w:w="4169"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卫生健康支出</w:t>
            </w:r>
          </w:p>
        </w:tc>
        <w:tc>
          <w:tcPr>
            <w:tcW w:w="1306"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14.63</w:t>
            </w:r>
          </w:p>
        </w:tc>
        <w:tc>
          <w:tcPr>
            <w:tcW w:w="130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14.63</w:t>
            </w:r>
          </w:p>
        </w:tc>
        <w:tc>
          <w:tcPr>
            <w:tcW w:w="1405"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11</w:t>
            </w:r>
          </w:p>
        </w:tc>
        <w:tc>
          <w:tcPr>
            <w:tcW w:w="567" w:type="dxa"/>
            <w:shd w:val="clear" w:color="auto" w:fill="auto"/>
            <w:vAlign w:val="center"/>
          </w:tcPr>
          <w:p>
            <w:pPr>
              <w:jc w:val="center"/>
              <w:rPr>
                <w:rFonts w:hint="default" w:ascii="宋体" w:hAnsi="宋体"/>
                <w:b/>
                <w:sz w:val="18"/>
                <w:szCs w:val="18"/>
                <w:highlight w:val="none"/>
              </w:rPr>
            </w:pPr>
          </w:p>
        </w:tc>
        <w:tc>
          <w:tcPr>
            <w:tcW w:w="4169"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 xml:space="preserve">  行政事业单位医疗</w:t>
            </w:r>
          </w:p>
        </w:tc>
        <w:tc>
          <w:tcPr>
            <w:tcW w:w="1306"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14.63</w:t>
            </w:r>
          </w:p>
        </w:tc>
        <w:tc>
          <w:tcPr>
            <w:tcW w:w="130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14.63</w:t>
            </w:r>
          </w:p>
        </w:tc>
        <w:tc>
          <w:tcPr>
            <w:tcW w:w="1405"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4169"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事业单位医疗</w:t>
            </w:r>
          </w:p>
        </w:tc>
        <w:tc>
          <w:tcPr>
            <w:tcW w:w="1306" w:type="dxa"/>
            <w:shd w:val="clear" w:color="auto" w:fill="auto"/>
            <w:vAlign w:val="center"/>
          </w:tcPr>
          <w:p>
            <w:pPr>
              <w:jc w:val="right"/>
              <w:rPr>
                <w:sz w:val="18"/>
                <w:szCs w:val="18"/>
                <w:highlight w:val="none"/>
              </w:rPr>
            </w:pPr>
            <w:r>
              <w:rPr>
                <w:rFonts w:hint="eastAsia" w:ascii="宋体" w:hAnsi="宋体"/>
                <w:color w:val="000000"/>
                <w:sz w:val="18"/>
                <w:szCs w:val="18"/>
                <w:highlight w:val="none"/>
              </w:rPr>
              <w:t>9.95</w:t>
            </w:r>
          </w:p>
        </w:tc>
        <w:tc>
          <w:tcPr>
            <w:tcW w:w="130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9.95</w:t>
            </w:r>
          </w:p>
        </w:tc>
        <w:tc>
          <w:tcPr>
            <w:tcW w:w="1405"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03</w:t>
            </w:r>
          </w:p>
        </w:tc>
        <w:tc>
          <w:tcPr>
            <w:tcW w:w="4169"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公务员医疗补助</w:t>
            </w:r>
          </w:p>
        </w:tc>
        <w:tc>
          <w:tcPr>
            <w:tcW w:w="1306" w:type="dxa"/>
            <w:shd w:val="clear" w:color="auto" w:fill="auto"/>
            <w:vAlign w:val="center"/>
          </w:tcPr>
          <w:p>
            <w:pPr>
              <w:jc w:val="right"/>
              <w:rPr>
                <w:sz w:val="18"/>
                <w:szCs w:val="18"/>
                <w:highlight w:val="none"/>
              </w:rPr>
            </w:pPr>
            <w:r>
              <w:rPr>
                <w:rFonts w:hint="eastAsia" w:ascii="宋体" w:hAnsi="宋体"/>
                <w:color w:val="000000"/>
                <w:sz w:val="18"/>
                <w:szCs w:val="18"/>
                <w:highlight w:val="none"/>
              </w:rPr>
              <w:t>4.68</w:t>
            </w:r>
          </w:p>
        </w:tc>
        <w:tc>
          <w:tcPr>
            <w:tcW w:w="130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4.68</w:t>
            </w:r>
          </w:p>
        </w:tc>
        <w:tc>
          <w:tcPr>
            <w:tcW w:w="1405"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pPr>
              <w:jc w:val="center"/>
              <w:rPr>
                <w:rFonts w:hint="default" w:ascii="宋体" w:hAnsi="宋体"/>
                <w:b/>
                <w:sz w:val="18"/>
                <w:szCs w:val="18"/>
                <w:highlight w:val="none"/>
              </w:rPr>
            </w:pPr>
          </w:p>
        </w:tc>
        <w:tc>
          <w:tcPr>
            <w:tcW w:w="567" w:type="dxa"/>
            <w:shd w:val="clear" w:color="auto" w:fill="auto"/>
            <w:vAlign w:val="center"/>
          </w:tcPr>
          <w:p>
            <w:pPr>
              <w:jc w:val="center"/>
              <w:rPr>
                <w:rFonts w:hint="default" w:ascii="宋体" w:hAnsi="宋体"/>
                <w:b/>
                <w:sz w:val="18"/>
                <w:szCs w:val="18"/>
                <w:highlight w:val="none"/>
              </w:rPr>
            </w:pPr>
          </w:p>
        </w:tc>
        <w:tc>
          <w:tcPr>
            <w:tcW w:w="4169"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资源勘探工业信息等支出</w:t>
            </w:r>
          </w:p>
        </w:tc>
        <w:tc>
          <w:tcPr>
            <w:tcW w:w="1306"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222.41</w:t>
            </w:r>
          </w:p>
        </w:tc>
        <w:tc>
          <w:tcPr>
            <w:tcW w:w="130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161.53</w:t>
            </w:r>
          </w:p>
        </w:tc>
        <w:tc>
          <w:tcPr>
            <w:tcW w:w="1405"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60.88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pPr>
              <w:jc w:val="center"/>
              <w:rPr>
                <w:rFonts w:hint="default" w:ascii="宋体" w:hAnsi="宋体"/>
                <w:b/>
                <w:sz w:val="18"/>
                <w:szCs w:val="18"/>
                <w:highlight w:val="none"/>
              </w:rPr>
            </w:pPr>
          </w:p>
        </w:tc>
        <w:tc>
          <w:tcPr>
            <w:tcW w:w="4169"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 xml:space="preserve">  工业和信息产业</w:t>
            </w:r>
          </w:p>
        </w:tc>
        <w:tc>
          <w:tcPr>
            <w:tcW w:w="1306"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222.41</w:t>
            </w:r>
          </w:p>
        </w:tc>
        <w:tc>
          <w:tcPr>
            <w:tcW w:w="130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161.53</w:t>
            </w:r>
          </w:p>
        </w:tc>
        <w:tc>
          <w:tcPr>
            <w:tcW w:w="1405"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60.88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215</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08</w:t>
            </w:r>
          </w:p>
        </w:tc>
        <w:tc>
          <w:tcPr>
            <w:tcW w:w="4169"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无线电及信息通信监管</w:t>
            </w:r>
          </w:p>
        </w:tc>
        <w:tc>
          <w:tcPr>
            <w:tcW w:w="1306" w:type="dxa"/>
            <w:shd w:val="clear" w:color="auto" w:fill="auto"/>
            <w:vAlign w:val="center"/>
          </w:tcPr>
          <w:p>
            <w:pPr>
              <w:jc w:val="right"/>
              <w:rPr>
                <w:sz w:val="18"/>
                <w:szCs w:val="18"/>
                <w:highlight w:val="none"/>
              </w:rPr>
            </w:pPr>
            <w:r>
              <w:rPr>
                <w:rFonts w:hint="eastAsia" w:ascii="宋体" w:hAnsi="宋体"/>
                <w:color w:val="000000"/>
                <w:sz w:val="18"/>
                <w:szCs w:val="18"/>
                <w:highlight w:val="none"/>
              </w:rPr>
              <w:t>222.41</w:t>
            </w:r>
          </w:p>
        </w:tc>
        <w:tc>
          <w:tcPr>
            <w:tcW w:w="130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161.53</w:t>
            </w:r>
          </w:p>
        </w:tc>
        <w:tc>
          <w:tcPr>
            <w:tcW w:w="1405" w:type="dxa"/>
            <w:shd w:val="clear" w:color="auto" w:fill="auto"/>
            <w:vAlign w:val="center"/>
          </w:tcPr>
          <w:p>
            <w:pPr>
              <w:jc w:val="right"/>
              <w:rPr>
                <w:sz w:val="18"/>
                <w:szCs w:val="18"/>
                <w:highlight w:val="none"/>
              </w:rPr>
            </w:pPr>
            <w:r>
              <w:rPr>
                <w:rFonts w:hint="eastAsia" w:ascii="宋体" w:hAnsi="宋体"/>
                <w:color w:val="000000"/>
                <w:sz w:val="18"/>
                <w:szCs w:val="18"/>
                <w:highlight w:val="none"/>
              </w:rPr>
              <w:t>60.88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pPr>
              <w:jc w:val="center"/>
              <w:rPr>
                <w:rFonts w:hint="default" w:ascii="宋体" w:hAnsi="宋体"/>
                <w:b/>
                <w:sz w:val="18"/>
                <w:szCs w:val="18"/>
                <w:highlight w:val="none"/>
              </w:rPr>
            </w:pPr>
          </w:p>
        </w:tc>
        <w:tc>
          <w:tcPr>
            <w:tcW w:w="567" w:type="dxa"/>
            <w:shd w:val="clear" w:color="auto" w:fill="auto"/>
            <w:vAlign w:val="center"/>
          </w:tcPr>
          <w:p>
            <w:pPr>
              <w:jc w:val="center"/>
              <w:rPr>
                <w:rFonts w:hint="default" w:ascii="宋体" w:hAnsi="宋体"/>
                <w:b/>
                <w:sz w:val="18"/>
                <w:szCs w:val="18"/>
                <w:highlight w:val="none"/>
              </w:rPr>
            </w:pPr>
          </w:p>
        </w:tc>
        <w:tc>
          <w:tcPr>
            <w:tcW w:w="4169"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住房保障支出</w:t>
            </w:r>
          </w:p>
        </w:tc>
        <w:tc>
          <w:tcPr>
            <w:tcW w:w="1306"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16.00</w:t>
            </w:r>
          </w:p>
        </w:tc>
        <w:tc>
          <w:tcPr>
            <w:tcW w:w="130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16.00</w:t>
            </w:r>
          </w:p>
        </w:tc>
        <w:tc>
          <w:tcPr>
            <w:tcW w:w="1405"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02</w:t>
            </w:r>
          </w:p>
        </w:tc>
        <w:tc>
          <w:tcPr>
            <w:tcW w:w="567" w:type="dxa"/>
            <w:shd w:val="clear" w:color="auto" w:fill="auto"/>
            <w:vAlign w:val="center"/>
          </w:tcPr>
          <w:p>
            <w:pPr>
              <w:jc w:val="center"/>
              <w:rPr>
                <w:rFonts w:hint="default" w:ascii="宋体" w:hAnsi="宋体"/>
                <w:b/>
                <w:sz w:val="18"/>
                <w:szCs w:val="18"/>
                <w:highlight w:val="none"/>
              </w:rPr>
            </w:pPr>
          </w:p>
        </w:tc>
        <w:tc>
          <w:tcPr>
            <w:tcW w:w="4169" w:type="dxa"/>
            <w:shd w:val="clear" w:color="auto" w:fill="auto"/>
            <w:vAlign w:val="center"/>
          </w:tcPr>
          <w:p>
            <w:pPr>
              <w:jc w:val="left"/>
              <w:rPr>
                <w:rFonts w:hint="default" w:ascii="宋体" w:hAnsi="宋体"/>
                <w:b/>
                <w:sz w:val="18"/>
                <w:szCs w:val="18"/>
                <w:highlight w:val="none"/>
              </w:rPr>
            </w:pPr>
            <w:r>
              <w:rPr>
                <w:rFonts w:hint="eastAsia" w:ascii="宋体" w:hAnsi="宋体"/>
                <w:b/>
                <w:color w:val="000000"/>
                <w:sz w:val="18"/>
                <w:szCs w:val="18"/>
                <w:highlight w:val="none"/>
              </w:rPr>
              <w:t xml:space="preserve">  住房改革支出</w:t>
            </w:r>
          </w:p>
        </w:tc>
        <w:tc>
          <w:tcPr>
            <w:tcW w:w="1306"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16.00</w:t>
            </w:r>
          </w:p>
        </w:tc>
        <w:tc>
          <w:tcPr>
            <w:tcW w:w="130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16.00</w:t>
            </w:r>
          </w:p>
        </w:tc>
        <w:tc>
          <w:tcPr>
            <w:tcW w:w="1405"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221</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02</w:t>
            </w:r>
          </w:p>
        </w:tc>
        <w:tc>
          <w:tcPr>
            <w:tcW w:w="567" w:type="dxa"/>
            <w:shd w:val="clear" w:color="auto" w:fill="auto"/>
            <w:vAlign w:val="center"/>
          </w:tcPr>
          <w:p>
            <w:pPr>
              <w:jc w:val="center"/>
              <w:rPr>
                <w:rFonts w:hint="default" w:ascii="宋体" w:hAnsi="宋体"/>
                <w:sz w:val="18"/>
                <w:szCs w:val="18"/>
                <w:highlight w:val="none"/>
              </w:rPr>
            </w:pPr>
            <w:r>
              <w:rPr>
                <w:rFonts w:hint="eastAsia" w:ascii="宋体" w:hAnsi="宋体"/>
                <w:color w:val="000000"/>
                <w:sz w:val="18"/>
                <w:szCs w:val="18"/>
                <w:highlight w:val="none"/>
              </w:rPr>
              <w:t>01</w:t>
            </w:r>
          </w:p>
        </w:tc>
        <w:tc>
          <w:tcPr>
            <w:tcW w:w="4169" w:type="dxa"/>
            <w:shd w:val="clear" w:color="auto" w:fill="auto"/>
            <w:vAlign w:val="center"/>
          </w:tcPr>
          <w:p>
            <w:pPr>
              <w:jc w:val="left"/>
              <w:rPr>
                <w:rFonts w:hint="default" w:ascii="宋体" w:hAnsi="宋体"/>
                <w:sz w:val="18"/>
                <w:szCs w:val="18"/>
                <w:highlight w:val="none"/>
              </w:rPr>
            </w:pPr>
            <w:r>
              <w:rPr>
                <w:rFonts w:hint="eastAsia" w:ascii="宋体" w:hAnsi="宋体"/>
                <w:color w:val="000000"/>
                <w:sz w:val="18"/>
                <w:szCs w:val="18"/>
                <w:highlight w:val="none"/>
              </w:rPr>
              <w:t xml:space="preserve">    住房公积金</w:t>
            </w:r>
          </w:p>
        </w:tc>
        <w:tc>
          <w:tcPr>
            <w:tcW w:w="1306" w:type="dxa"/>
            <w:shd w:val="clear" w:color="auto" w:fill="auto"/>
            <w:vAlign w:val="center"/>
          </w:tcPr>
          <w:p>
            <w:pPr>
              <w:jc w:val="right"/>
              <w:rPr>
                <w:sz w:val="18"/>
                <w:szCs w:val="18"/>
                <w:highlight w:val="none"/>
              </w:rPr>
            </w:pPr>
            <w:r>
              <w:rPr>
                <w:rFonts w:hint="eastAsia" w:ascii="宋体" w:hAnsi="宋体"/>
                <w:color w:val="000000"/>
                <w:sz w:val="18"/>
                <w:szCs w:val="18"/>
                <w:highlight w:val="none"/>
              </w:rPr>
              <w:t>16.00</w:t>
            </w:r>
          </w:p>
        </w:tc>
        <w:tc>
          <w:tcPr>
            <w:tcW w:w="130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16.00</w:t>
            </w:r>
          </w:p>
        </w:tc>
        <w:tc>
          <w:tcPr>
            <w:tcW w:w="1405"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17" w:hRule="atLeast"/>
        </w:trPr>
        <w:tc>
          <w:tcPr>
            <w:tcW w:w="534" w:type="dxa"/>
            <w:shd w:val="clear" w:color="auto" w:fill="auto"/>
            <w:vAlign w:val="center"/>
          </w:tcPr>
          <w:p>
            <w:pPr>
              <w:jc w:val="center"/>
              <w:rPr>
                <w:rFonts w:hint="default" w:ascii="宋体" w:hAnsi="宋体"/>
                <w:b/>
                <w:sz w:val="18"/>
                <w:szCs w:val="18"/>
                <w:highlight w:val="none"/>
              </w:rPr>
            </w:pPr>
          </w:p>
        </w:tc>
        <w:tc>
          <w:tcPr>
            <w:tcW w:w="567" w:type="dxa"/>
            <w:shd w:val="clear" w:color="auto" w:fill="auto"/>
            <w:vAlign w:val="center"/>
          </w:tcPr>
          <w:p>
            <w:pPr>
              <w:jc w:val="center"/>
              <w:rPr>
                <w:rFonts w:hint="default" w:ascii="宋体" w:hAnsi="宋体"/>
                <w:b/>
                <w:sz w:val="18"/>
                <w:szCs w:val="18"/>
                <w:highlight w:val="none"/>
              </w:rPr>
            </w:pPr>
          </w:p>
        </w:tc>
        <w:tc>
          <w:tcPr>
            <w:tcW w:w="567" w:type="dxa"/>
            <w:shd w:val="clear" w:color="auto" w:fill="auto"/>
            <w:vAlign w:val="center"/>
          </w:tcPr>
          <w:p>
            <w:pPr>
              <w:jc w:val="center"/>
              <w:rPr>
                <w:rFonts w:hint="default" w:ascii="宋体" w:hAnsi="宋体"/>
                <w:b/>
                <w:sz w:val="18"/>
                <w:szCs w:val="18"/>
                <w:highlight w:val="none"/>
              </w:rPr>
            </w:pPr>
          </w:p>
        </w:tc>
        <w:tc>
          <w:tcPr>
            <w:tcW w:w="4169" w:type="dxa"/>
            <w:shd w:val="clear" w:color="auto" w:fill="auto"/>
            <w:vAlign w:val="center"/>
          </w:tcPr>
          <w:p>
            <w:pPr>
              <w:jc w:val="center"/>
              <w:rPr>
                <w:rFonts w:hint="default" w:ascii="宋体" w:hAnsi="宋体"/>
                <w:b/>
                <w:sz w:val="18"/>
                <w:szCs w:val="18"/>
                <w:highlight w:val="none"/>
              </w:rPr>
            </w:pPr>
            <w:r>
              <w:rPr>
                <w:rFonts w:hint="eastAsia" w:ascii="宋体" w:hAnsi="宋体"/>
                <w:b/>
                <w:color w:val="000000"/>
                <w:sz w:val="18"/>
                <w:szCs w:val="18"/>
                <w:highlight w:val="none"/>
              </w:rPr>
              <w:t>总计</w:t>
            </w:r>
          </w:p>
        </w:tc>
        <w:tc>
          <w:tcPr>
            <w:tcW w:w="1306"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286.13</w:t>
            </w:r>
          </w:p>
        </w:tc>
        <w:tc>
          <w:tcPr>
            <w:tcW w:w="130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225.25</w:t>
            </w:r>
          </w:p>
        </w:tc>
        <w:tc>
          <w:tcPr>
            <w:tcW w:w="1405"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60.88</w:t>
            </w: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highlight w:val="none"/>
        </w:rPr>
      </w:pPr>
      <w:r>
        <w:rPr>
          <w:rFonts w:hint="eastAsia" w:ascii="宋体" w:hAnsi="宋体"/>
          <w:color w:val="000000"/>
          <w:sz w:val="18"/>
          <w:szCs w:val="18"/>
          <w:highlight w:val="none"/>
        </w:rPr>
        <w:t>表4</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财政拨款收支预算总体情况表</w:t>
      </w:r>
    </w:p>
    <w:tbl>
      <w:tblPr>
        <w:tblStyle w:val="8"/>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highlight w:val="none"/>
              </w:rPr>
            </w:pPr>
            <w:r>
              <w:rPr>
                <w:rFonts w:hint="eastAsia"/>
                <w:color w:val="000000"/>
                <w:sz w:val="18"/>
                <w:szCs w:val="18"/>
                <w:highlight w:val="none"/>
              </w:rPr>
              <w:t>编制单位：巴音郭楞蒙古自治州无线电管理中心</w:t>
            </w:r>
          </w:p>
        </w:tc>
        <w:tc>
          <w:tcPr>
            <w:tcW w:w="1119" w:type="dxa"/>
            <w:gridSpan w:val="2"/>
            <w:tcBorders>
              <w:top w:val="nil"/>
              <w:left w:val="nil"/>
              <w:right w:val="nil"/>
            </w:tcBorders>
            <w:shd w:val="clear" w:color="auto" w:fill="auto"/>
          </w:tcPr>
          <w:p>
            <w:pPr>
              <w:jc w:val="right"/>
              <w:rPr>
                <w:color w:val="000000"/>
                <w:sz w:val="18"/>
                <w:szCs w:val="18"/>
                <w:highlight w:val="none"/>
              </w:rPr>
            </w:pPr>
          </w:p>
        </w:tc>
        <w:tc>
          <w:tcPr>
            <w:tcW w:w="2006" w:type="dxa"/>
            <w:gridSpan w:val="2"/>
            <w:tcBorders>
              <w:top w:val="nil"/>
              <w:left w:val="nil"/>
              <w:right w:val="nil"/>
            </w:tcBorders>
            <w:shd w:val="clear" w:color="auto" w:fill="auto"/>
            <w:vAlign w:val="center"/>
          </w:tcPr>
          <w:p>
            <w:pPr>
              <w:jc w:val="right"/>
              <w:rPr>
                <w:color w:val="000000"/>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highlight w:val="none"/>
              </w:rPr>
            </w:pPr>
            <w:r>
              <w:rPr>
                <w:rFonts w:hint="eastAsia"/>
                <w:b/>
                <w:color w:val="000000"/>
                <w:sz w:val="18"/>
                <w:szCs w:val="18"/>
                <w:highlight w:val="none"/>
              </w:rPr>
              <w:t>财政拨款收入</w:t>
            </w:r>
          </w:p>
        </w:tc>
        <w:tc>
          <w:tcPr>
            <w:tcW w:w="6728" w:type="dxa"/>
            <w:gridSpan w:val="7"/>
            <w:shd w:val="clear" w:color="auto" w:fill="auto"/>
            <w:vAlign w:val="center"/>
          </w:tcPr>
          <w:p>
            <w:pPr>
              <w:jc w:val="center"/>
              <w:rPr>
                <w:b/>
                <w:color w:val="000000"/>
                <w:sz w:val="18"/>
                <w:szCs w:val="18"/>
                <w:highlight w:val="none"/>
              </w:rPr>
            </w:pPr>
            <w:r>
              <w:rPr>
                <w:rFonts w:hint="eastAsia"/>
                <w:b/>
                <w:color w:val="000000"/>
                <w:sz w:val="18"/>
                <w:szCs w:val="18"/>
                <w:highlight w:val="none"/>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highlight w:val="none"/>
              </w:rPr>
            </w:pPr>
            <w:r>
              <w:rPr>
                <w:rFonts w:hint="eastAsia"/>
                <w:b/>
                <w:color w:val="000000"/>
                <w:sz w:val="18"/>
                <w:szCs w:val="18"/>
                <w:highlight w:val="none"/>
              </w:rPr>
              <w:t>项目</w:t>
            </w:r>
          </w:p>
        </w:tc>
        <w:tc>
          <w:tcPr>
            <w:tcW w:w="1117" w:type="dxa"/>
            <w:shd w:val="clear" w:color="auto" w:fill="auto"/>
            <w:vAlign w:val="center"/>
          </w:tcPr>
          <w:p>
            <w:pPr>
              <w:jc w:val="center"/>
              <w:rPr>
                <w:color w:val="000000"/>
                <w:sz w:val="18"/>
                <w:szCs w:val="18"/>
                <w:highlight w:val="none"/>
              </w:rPr>
            </w:pPr>
            <w:r>
              <w:rPr>
                <w:rFonts w:hint="eastAsia"/>
                <w:b/>
                <w:color w:val="000000"/>
                <w:sz w:val="18"/>
                <w:szCs w:val="18"/>
                <w:highlight w:val="none"/>
              </w:rPr>
              <w:t>合计</w:t>
            </w:r>
          </w:p>
        </w:tc>
        <w:tc>
          <w:tcPr>
            <w:tcW w:w="2434" w:type="dxa"/>
            <w:shd w:val="clear" w:color="auto" w:fill="auto"/>
            <w:vAlign w:val="center"/>
          </w:tcPr>
          <w:p>
            <w:pPr>
              <w:jc w:val="center"/>
              <w:rPr>
                <w:color w:val="000000"/>
                <w:sz w:val="18"/>
                <w:szCs w:val="18"/>
                <w:highlight w:val="none"/>
              </w:rPr>
            </w:pPr>
            <w:r>
              <w:rPr>
                <w:rFonts w:hint="eastAsia"/>
                <w:b/>
                <w:color w:val="000000"/>
                <w:sz w:val="18"/>
                <w:szCs w:val="18"/>
                <w:highlight w:val="none"/>
              </w:rPr>
              <w:t>科目名称</w:t>
            </w:r>
          </w:p>
        </w:tc>
        <w:tc>
          <w:tcPr>
            <w:tcW w:w="1117" w:type="dxa"/>
            <w:shd w:val="clear" w:color="auto" w:fill="auto"/>
            <w:vAlign w:val="center"/>
          </w:tcPr>
          <w:p>
            <w:pPr>
              <w:jc w:val="center"/>
              <w:rPr>
                <w:color w:val="000000"/>
                <w:sz w:val="18"/>
                <w:szCs w:val="18"/>
                <w:highlight w:val="none"/>
              </w:rPr>
            </w:pPr>
            <w:r>
              <w:rPr>
                <w:rFonts w:hint="eastAsia"/>
                <w:b/>
                <w:color w:val="000000"/>
                <w:sz w:val="18"/>
                <w:szCs w:val="18"/>
                <w:highlight w:val="none"/>
              </w:rPr>
              <w:t>合计</w:t>
            </w:r>
          </w:p>
        </w:tc>
        <w:tc>
          <w:tcPr>
            <w:tcW w:w="1063" w:type="dxa"/>
            <w:gridSpan w:val="2"/>
            <w:shd w:val="clear" w:color="auto" w:fill="auto"/>
            <w:vAlign w:val="center"/>
          </w:tcPr>
          <w:p>
            <w:pPr>
              <w:jc w:val="center"/>
              <w:rPr>
                <w:color w:val="000000"/>
                <w:sz w:val="18"/>
                <w:szCs w:val="18"/>
                <w:highlight w:val="none"/>
              </w:rPr>
            </w:pPr>
            <w:r>
              <w:rPr>
                <w:rFonts w:hint="eastAsia"/>
                <w:b/>
                <w:color w:val="000000"/>
                <w:sz w:val="18"/>
                <w:szCs w:val="18"/>
                <w:highlight w:val="none"/>
              </w:rPr>
              <w:t>一般公共预算</w:t>
            </w:r>
          </w:p>
        </w:tc>
        <w:tc>
          <w:tcPr>
            <w:tcW w:w="1063" w:type="dxa"/>
            <w:gridSpan w:val="2"/>
            <w:shd w:val="clear" w:color="auto" w:fill="auto"/>
            <w:vAlign w:val="center"/>
          </w:tcPr>
          <w:p>
            <w:pPr>
              <w:jc w:val="center"/>
              <w:rPr>
                <w:color w:val="000000"/>
                <w:sz w:val="18"/>
                <w:szCs w:val="18"/>
                <w:highlight w:val="none"/>
              </w:rPr>
            </w:pPr>
            <w:r>
              <w:rPr>
                <w:rFonts w:hint="eastAsia"/>
                <w:b/>
                <w:color w:val="000000"/>
                <w:sz w:val="18"/>
                <w:szCs w:val="18"/>
                <w:highlight w:val="none"/>
              </w:rPr>
              <w:t>政府性基金预算</w:t>
            </w:r>
          </w:p>
        </w:tc>
        <w:tc>
          <w:tcPr>
            <w:tcW w:w="1051" w:type="dxa"/>
            <w:shd w:val="clear" w:color="auto" w:fill="auto"/>
            <w:vAlign w:val="center"/>
          </w:tcPr>
          <w:p>
            <w:pPr>
              <w:jc w:val="center"/>
              <w:rPr>
                <w:color w:val="000000"/>
                <w:sz w:val="18"/>
                <w:szCs w:val="18"/>
                <w:highlight w:val="none"/>
              </w:rPr>
            </w:pPr>
            <w:r>
              <w:rPr>
                <w:rFonts w:hint="eastAsia"/>
                <w:b/>
                <w:color w:val="000000"/>
                <w:sz w:val="18"/>
                <w:szCs w:val="18"/>
                <w:highlight w:val="none"/>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highlight w:val="none"/>
              </w:rPr>
            </w:pPr>
            <w:r>
              <w:rPr>
                <w:rFonts w:hint="eastAsia"/>
                <w:b/>
                <w:color w:val="000000"/>
                <w:sz w:val="18"/>
                <w:szCs w:val="18"/>
                <w:highlight w:val="none"/>
              </w:rPr>
              <w:t>一、财政拨款（补助）</w:t>
            </w:r>
          </w:p>
        </w:tc>
        <w:tc>
          <w:tcPr>
            <w:tcW w:w="1117" w:type="dxa"/>
            <w:shd w:val="clear" w:color="auto" w:fill="auto"/>
          </w:tcPr>
          <w:p>
            <w:pPr>
              <w:jc w:val="right"/>
              <w:rPr>
                <w:rFonts w:hint="default" w:ascii="宋体" w:hAnsi="宋体"/>
                <w:color w:val="000000"/>
                <w:sz w:val="18"/>
                <w:szCs w:val="18"/>
                <w:highlight w:val="none"/>
              </w:rPr>
            </w:pPr>
            <w:r>
              <w:rPr>
                <w:rFonts w:hint="eastAsia" w:ascii="宋体" w:hAnsi="宋体"/>
                <w:b/>
                <w:color w:val="000000"/>
                <w:sz w:val="18"/>
                <w:szCs w:val="18"/>
                <w:highlight w:val="none"/>
              </w:rPr>
              <w:t>281.85</w:t>
            </w: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201 一般公共服务支出</w:t>
            </w:r>
          </w:p>
        </w:tc>
        <w:tc>
          <w:tcPr>
            <w:tcW w:w="1117" w:type="dxa"/>
            <w:shd w:val="clear" w:color="auto" w:fill="auto"/>
          </w:tcPr>
          <w:p>
            <w:pPr>
              <w:jc w:val="right"/>
              <w:rPr>
                <w:rFonts w:hint="default" w:ascii="宋体" w:hAnsi="宋体"/>
                <w:color w:val="000000"/>
                <w:sz w:val="18"/>
                <w:szCs w:val="18"/>
                <w:highlight w:val="none"/>
              </w:rPr>
            </w:pPr>
          </w:p>
        </w:tc>
        <w:tc>
          <w:tcPr>
            <w:tcW w:w="1063" w:type="dxa"/>
            <w:gridSpan w:val="2"/>
            <w:shd w:val="clear" w:color="auto" w:fill="auto"/>
          </w:tcPr>
          <w:p>
            <w:pPr>
              <w:jc w:val="right"/>
              <w:rPr>
                <w:rFonts w:hint="default" w:ascii="宋体" w:hAnsi="宋体"/>
                <w:color w:val="000000"/>
                <w:sz w:val="18"/>
                <w:szCs w:val="18"/>
                <w:highlight w:val="none"/>
              </w:rPr>
            </w:pPr>
          </w:p>
        </w:tc>
        <w:tc>
          <w:tcPr>
            <w:tcW w:w="1063" w:type="dxa"/>
            <w:gridSpan w:val="2"/>
            <w:shd w:val="clear" w:color="auto" w:fill="auto"/>
          </w:tcPr>
          <w:p>
            <w:pPr>
              <w:jc w:val="right"/>
              <w:rPr>
                <w:rFonts w:hint="default" w:ascii="宋体" w:hAnsi="宋体"/>
                <w:color w:val="000000"/>
                <w:sz w:val="18"/>
                <w:szCs w:val="18"/>
                <w:highlight w:val="none"/>
              </w:rPr>
            </w:pPr>
          </w:p>
        </w:tc>
        <w:tc>
          <w:tcPr>
            <w:tcW w:w="1051" w:type="dxa"/>
            <w:shd w:val="clear" w:color="auto" w:fill="auto"/>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highlight w:val="none"/>
              </w:rPr>
            </w:pPr>
            <w:r>
              <w:rPr>
                <w:rFonts w:hint="eastAsia"/>
                <w:color w:val="000000"/>
                <w:sz w:val="18"/>
                <w:szCs w:val="18"/>
                <w:highlight w:val="none"/>
              </w:rPr>
              <w:t>一般公共预算</w:t>
            </w:r>
          </w:p>
        </w:tc>
        <w:tc>
          <w:tcPr>
            <w:tcW w:w="1117" w:type="dxa"/>
            <w:shd w:val="clear" w:color="auto" w:fill="auto"/>
          </w:tcPr>
          <w:p>
            <w:pPr>
              <w:jc w:val="right"/>
              <w:rPr>
                <w:rFonts w:hint="default" w:ascii="宋体" w:hAnsi="宋体"/>
                <w:color w:val="000000"/>
                <w:sz w:val="18"/>
                <w:szCs w:val="18"/>
                <w:highlight w:val="none"/>
              </w:rPr>
            </w:pPr>
            <w:r>
              <w:rPr>
                <w:rFonts w:hint="eastAsia" w:ascii="宋体" w:hAnsi="宋体"/>
                <w:color w:val="000000"/>
                <w:sz w:val="18"/>
                <w:szCs w:val="18"/>
                <w:highlight w:val="none"/>
              </w:rPr>
              <w:t>281.85</w:t>
            </w: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202 外交支出</w:t>
            </w:r>
          </w:p>
        </w:tc>
        <w:tc>
          <w:tcPr>
            <w:tcW w:w="1117" w:type="dxa"/>
            <w:shd w:val="clear" w:color="auto" w:fill="auto"/>
          </w:tcPr>
          <w:p>
            <w:pPr>
              <w:jc w:val="right"/>
              <w:rPr>
                <w:rFonts w:hint="default" w:ascii="宋体" w:hAnsi="宋体"/>
                <w:color w:val="000000"/>
                <w:sz w:val="18"/>
                <w:szCs w:val="18"/>
                <w:highlight w:val="none"/>
              </w:rPr>
            </w:pPr>
          </w:p>
        </w:tc>
        <w:tc>
          <w:tcPr>
            <w:tcW w:w="1063" w:type="dxa"/>
            <w:gridSpan w:val="2"/>
            <w:shd w:val="clear" w:color="auto" w:fill="auto"/>
          </w:tcPr>
          <w:p>
            <w:pPr>
              <w:jc w:val="right"/>
              <w:rPr>
                <w:rFonts w:hint="default" w:ascii="宋体" w:hAnsi="宋体"/>
                <w:color w:val="000000"/>
                <w:sz w:val="18"/>
                <w:szCs w:val="18"/>
                <w:highlight w:val="none"/>
              </w:rPr>
            </w:pPr>
          </w:p>
        </w:tc>
        <w:tc>
          <w:tcPr>
            <w:tcW w:w="1063" w:type="dxa"/>
            <w:gridSpan w:val="2"/>
            <w:shd w:val="clear" w:color="auto" w:fill="auto"/>
          </w:tcPr>
          <w:p>
            <w:pPr>
              <w:jc w:val="right"/>
              <w:rPr>
                <w:rFonts w:hint="default" w:ascii="宋体" w:hAnsi="宋体"/>
                <w:color w:val="000000"/>
                <w:sz w:val="18"/>
                <w:szCs w:val="18"/>
                <w:highlight w:val="none"/>
              </w:rPr>
            </w:pPr>
          </w:p>
        </w:tc>
        <w:tc>
          <w:tcPr>
            <w:tcW w:w="1051" w:type="dxa"/>
            <w:shd w:val="clear" w:color="auto" w:fill="auto"/>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highlight w:val="none"/>
              </w:rPr>
            </w:pPr>
            <w:r>
              <w:rPr>
                <w:rFonts w:hint="eastAsia"/>
                <w:color w:val="000000"/>
                <w:sz w:val="18"/>
                <w:szCs w:val="18"/>
                <w:highlight w:val="none"/>
              </w:rPr>
              <w:t>政府性基金预算</w:t>
            </w:r>
          </w:p>
        </w:tc>
        <w:tc>
          <w:tcPr>
            <w:tcW w:w="1117" w:type="dxa"/>
            <w:shd w:val="clear" w:color="auto" w:fill="auto"/>
          </w:tcPr>
          <w:p>
            <w:pPr>
              <w:jc w:val="right"/>
              <w:rPr>
                <w:rFonts w:hint="default" w:ascii="宋体" w:hAnsi="宋体"/>
                <w:color w:val="000000"/>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203 国防支出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highlight w:val="none"/>
              </w:rPr>
            </w:pPr>
            <w:r>
              <w:rPr>
                <w:rFonts w:hint="eastAsia"/>
                <w:color w:val="000000"/>
                <w:sz w:val="18"/>
                <w:szCs w:val="18"/>
                <w:highlight w:val="none"/>
              </w:rPr>
              <w:t>国有资本经营预算</w:t>
            </w:r>
          </w:p>
        </w:tc>
        <w:tc>
          <w:tcPr>
            <w:tcW w:w="1117" w:type="dxa"/>
            <w:shd w:val="clear" w:color="auto" w:fill="auto"/>
          </w:tcPr>
          <w:p>
            <w:pPr>
              <w:jc w:val="right"/>
              <w:rPr>
                <w:rFonts w:hint="default" w:ascii="宋体" w:hAnsi="宋体"/>
                <w:color w:val="000000"/>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204 公共安全支出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205 教育支出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206 科学技术支出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207 文化旅游体育与传媒支出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208 社会保障和就业支出</w:t>
            </w:r>
          </w:p>
        </w:tc>
        <w:tc>
          <w:tcPr>
            <w:tcW w:w="1117"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33.09</w:t>
            </w:r>
          </w:p>
        </w:tc>
        <w:tc>
          <w:tcPr>
            <w:tcW w:w="1063" w:type="dxa"/>
            <w:gridSpan w:val="2"/>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33.09</w:t>
            </w: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209 社会保险基金支出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210 卫生健康支出</w:t>
            </w:r>
          </w:p>
        </w:tc>
        <w:tc>
          <w:tcPr>
            <w:tcW w:w="1117"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14.63</w:t>
            </w:r>
          </w:p>
        </w:tc>
        <w:tc>
          <w:tcPr>
            <w:tcW w:w="1063" w:type="dxa"/>
            <w:gridSpan w:val="2"/>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14.63</w:t>
            </w: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211 节能环保支出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212 城乡社区支出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213 农林水支出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214 交通运输支出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215 资源勘探工业信息等支出</w:t>
            </w:r>
          </w:p>
        </w:tc>
        <w:tc>
          <w:tcPr>
            <w:tcW w:w="1117"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218.13</w:t>
            </w:r>
          </w:p>
        </w:tc>
        <w:tc>
          <w:tcPr>
            <w:tcW w:w="1063" w:type="dxa"/>
            <w:gridSpan w:val="2"/>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218.13</w:t>
            </w: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216 商业服务业等支出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217 金融支出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219 援助其他地区支出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220 自然资源海洋气象等支出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221 住房保障支出</w:t>
            </w:r>
          </w:p>
        </w:tc>
        <w:tc>
          <w:tcPr>
            <w:tcW w:w="1117" w:type="dxa"/>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16.00</w:t>
            </w:r>
          </w:p>
        </w:tc>
        <w:tc>
          <w:tcPr>
            <w:tcW w:w="1063" w:type="dxa"/>
            <w:gridSpan w:val="2"/>
            <w:shd w:val="clear" w:color="auto" w:fill="auto"/>
            <w:vAlign w:val="center"/>
          </w:tcPr>
          <w:p>
            <w:pPr>
              <w:jc w:val="right"/>
              <w:rPr>
                <w:rFonts w:hint="default" w:ascii="宋体" w:hAnsi="宋体"/>
                <w:color w:val="000000"/>
                <w:sz w:val="18"/>
                <w:szCs w:val="18"/>
                <w:highlight w:val="none"/>
              </w:rPr>
            </w:pPr>
            <w:r>
              <w:rPr>
                <w:rFonts w:hint="eastAsia" w:ascii="宋体" w:hAnsi="宋体"/>
                <w:color w:val="000000"/>
                <w:sz w:val="18"/>
                <w:szCs w:val="18"/>
                <w:highlight w:val="none"/>
              </w:rPr>
              <w:t>16.00</w:t>
            </w: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222 粮油物资储备支出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223 国有资本经营预算支出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224 灾害防治及应急管理支出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227 预备费</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229 其他支出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230 转移性支出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231 债务还本支出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232 债务付息支出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233 债务发行费用支出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rPr>
                <w:color w:val="000000"/>
                <w:sz w:val="18"/>
                <w:szCs w:val="18"/>
                <w:highlight w:val="none"/>
              </w:rPr>
            </w:pPr>
          </w:p>
        </w:tc>
        <w:tc>
          <w:tcPr>
            <w:tcW w:w="1117" w:type="dxa"/>
            <w:shd w:val="clear" w:color="auto" w:fill="auto"/>
          </w:tcPr>
          <w:p>
            <w:pPr>
              <w:jc w:val="right"/>
              <w:rPr>
                <w:sz w:val="18"/>
                <w:szCs w:val="18"/>
                <w:highlight w:val="none"/>
              </w:rPr>
            </w:pPr>
          </w:p>
        </w:tc>
        <w:tc>
          <w:tcPr>
            <w:tcW w:w="2434" w:type="dxa"/>
            <w:shd w:val="clear" w:color="auto" w:fill="auto"/>
            <w:vAlign w:val="center"/>
          </w:tcPr>
          <w:p>
            <w:pPr>
              <w:rPr>
                <w:rFonts w:hint="default" w:ascii="宋体" w:hAnsi="宋体" w:cs="宋体"/>
                <w:color w:val="000000"/>
                <w:sz w:val="18"/>
                <w:szCs w:val="18"/>
                <w:highlight w:val="none"/>
              </w:rPr>
            </w:pPr>
            <w:r>
              <w:rPr>
                <w:rFonts w:hint="eastAsia" w:ascii="宋体" w:hAnsi="宋体"/>
                <w:color w:val="000000"/>
                <w:sz w:val="18"/>
                <w:szCs w:val="18"/>
                <w:highlight w:val="none"/>
              </w:rPr>
              <w:t>234 抗疫特别国债安排的支出</w:t>
            </w:r>
          </w:p>
        </w:tc>
        <w:tc>
          <w:tcPr>
            <w:tcW w:w="1117" w:type="dxa"/>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63" w:type="dxa"/>
            <w:gridSpan w:val="2"/>
            <w:shd w:val="clear" w:color="auto" w:fill="auto"/>
            <w:vAlign w:val="center"/>
          </w:tcPr>
          <w:p>
            <w:pPr>
              <w:jc w:val="right"/>
              <w:rPr>
                <w:rFonts w:hint="default" w:ascii="宋体" w:hAnsi="宋体"/>
                <w:color w:val="000000"/>
                <w:sz w:val="18"/>
                <w:szCs w:val="18"/>
                <w:highlight w:val="none"/>
              </w:rPr>
            </w:pPr>
          </w:p>
        </w:tc>
        <w:tc>
          <w:tcPr>
            <w:tcW w:w="105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c>
          <w:tcPr>
            <w:tcW w:w="1982" w:type="dxa"/>
            <w:shd w:val="clear" w:color="auto" w:fill="auto"/>
          </w:tcPr>
          <w:p>
            <w:pPr>
              <w:jc w:val="center"/>
              <w:rPr>
                <w:color w:val="000000"/>
                <w:sz w:val="18"/>
                <w:szCs w:val="18"/>
                <w:highlight w:val="none"/>
              </w:rPr>
            </w:pPr>
            <w:r>
              <w:rPr>
                <w:rFonts w:hint="eastAsia"/>
                <w:b/>
                <w:color w:val="000000"/>
                <w:sz w:val="18"/>
                <w:szCs w:val="18"/>
                <w:highlight w:val="none"/>
              </w:rPr>
              <w:t>收入总计</w:t>
            </w:r>
          </w:p>
        </w:tc>
        <w:tc>
          <w:tcPr>
            <w:tcW w:w="1117" w:type="dxa"/>
            <w:shd w:val="clear" w:color="auto" w:fill="auto"/>
          </w:tcPr>
          <w:p>
            <w:pPr>
              <w:jc w:val="right"/>
              <w:rPr>
                <w:sz w:val="18"/>
                <w:szCs w:val="18"/>
                <w:highlight w:val="none"/>
              </w:rPr>
            </w:pPr>
            <w:r>
              <w:rPr>
                <w:rFonts w:hint="eastAsia" w:ascii="宋体" w:hAnsi="宋体"/>
                <w:b/>
                <w:color w:val="000000"/>
                <w:sz w:val="18"/>
                <w:szCs w:val="18"/>
                <w:highlight w:val="none"/>
              </w:rPr>
              <w:t>281.85</w:t>
            </w:r>
          </w:p>
        </w:tc>
        <w:tc>
          <w:tcPr>
            <w:tcW w:w="2434" w:type="dxa"/>
            <w:shd w:val="clear" w:color="auto" w:fill="auto"/>
          </w:tcPr>
          <w:p>
            <w:pPr>
              <w:jc w:val="center"/>
              <w:rPr>
                <w:rFonts w:hint="default" w:ascii="宋体" w:hAnsi="宋体" w:cs="宋体"/>
                <w:color w:val="000000"/>
                <w:sz w:val="18"/>
                <w:szCs w:val="18"/>
                <w:highlight w:val="none"/>
              </w:rPr>
            </w:pPr>
            <w:r>
              <w:rPr>
                <w:rFonts w:hint="eastAsia"/>
                <w:b/>
                <w:color w:val="000000"/>
                <w:sz w:val="18"/>
                <w:szCs w:val="18"/>
                <w:highlight w:val="none"/>
              </w:rPr>
              <w:t>支出总计</w:t>
            </w:r>
          </w:p>
        </w:tc>
        <w:tc>
          <w:tcPr>
            <w:tcW w:w="1117" w:type="dxa"/>
            <w:shd w:val="clear" w:color="auto" w:fill="auto"/>
          </w:tcPr>
          <w:p>
            <w:pPr>
              <w:jc w:val="right"/>
              <w:rPr>
                <w:sz w:val="18"/>
                <w:szCs w:val="18"/>
                <w:highlight w:val="none"/>
              </w:rPr>
            </w:pPr>
            <w:r>
              <w:rPr>
                <w:rFonts w:hint="eastAsia" w:ascii="宋体" w:hAnsi="宋体"/>
                <w:b/>
                <w:color w:val="000000"/>
                <w:sz w:val="18"/>
                <w:szCs w:val="18"/>
                <w:highlight w:val="none"/>
              </w:rPr>
              <w:t>281.85</w:t>
            </w:r>
          </w:p>
        </w:tc>
        <w:tc>
          <w:tcPr>
            <w:tcW w:w="1063" w:type="dxa"/>
            <w:gridSpan w:val="2"/>
            <w:shd w:val="clear" w:color="auto" w:fill="auto"/>
          </w:tcPr>
          <w:p>
            <w:pPr>
              <w:jc w:val="right"/>
              <w:rPr>
                <w:sz w:val="18"/>
                <w:szCs w:val="18"/>
                <w:highlight w:val="none"/>
              </w:rPr>
            </w:pPr>
            <w:r>
              <w:rPr>
                <w:rFonts w:hint="eastAsia" w:ascii="宋体" w:hAnsi="宋体"/>
                <w:b/>
                <w:color w:val="000000"/>
                <w:sz w:val="18"/>
                <w:szCs w:val="18"/>
                <w:highlight w:val="none"/>
              </w:rPr>
              <w:t>281.85</w:t>
            </w:r>
          </w:p>
        </w:tc>
        <w:tc>
          <w:tcPr>
            <w:tcW w:w="1063" w:type="dxa"/>
            <w:gridSpan w:val="2"/>
            <w:shd w:val="clear" w:color="auto" w:fill="auto"/>
          </w:tcPr>
          <w:p>
            <w:pPr>
              <w:jc w:val="right"/>
              <w:rPr>
                <w:sz w:val="18"/>
                <w:szCs w:val="18"/>
                <w:highlight w:val="none"/>
              </w:rPr>
            </w:pPr>
          </w:p>
        </w:tc>
        <w:tc>
          <w:tcPr>
            <w:tcW w:w="1051" w:type="dxa"/>
            <w:shd w:val="clear" w:color="auto" w:fill="auto"/>
          </w:tcPr>
          <w:p>
            <w:pPr>
              <w:jc w:val="right"/>
              <w:rPr>
                <w:sz w:val="18"/>
                <w:szCs w:val="18"/>
                <w:highlight w:val="none"/>
              </w:rPr>
            </w:pP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表5</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一般公共预算支出情况表</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编制单位：巴音郭楞蒙古自治州无线电管理中心</w:t>
            </w:r>
          </w:p>
        </w:tc>
        <w:tc>
          <w:tcPr>
            <w:tcW w:w="1708"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highlight w:val="none"/>
              </w:rPr>
            </w:pPr>
            <w:r>
              <w:rPr>
                <w:rFonts w:hint="eastAsia"/>
                <w:sz w:val="18"/>
                <w:szCs w:val="18"/>
                <w:highlight w:val="none"/>
              </w:rPr>
              <w:t>科目</w:t>
            </w:r>
          </w:p>
        </w:tc>
        <w:tc>
          <w:tcPr>
            <w:tcW w:w="4160" w:type="dxa"/>
            <w:gridSpan w:val="4"/>
            <w:shd w:val="clear" w:color="auto" w:fill="auto"/>
            <w:vAlign w:val="center"/>
          </w:tcPr>
          <w:p>
            <w:pPr>
              <w:jc w:val="center"/>
              <w:rPr>
                <w:sz w:val="18"/>
                <w:szCs w:val="18"/>
                <w:highlight w:val="none"/>
              </w:rPr>
            </w:pPr>
            <w:r>
              <w:rPr>
                <w:rFonts w:hint="eastAsia"/>
                <w:sz w:val="18"/>
                <w:szCs w:val="18"/>
                <w:highlight w:val="none"/>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4026"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367"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1366" w:type="dxa"/>
            <w:gridSpan w:val="2"/>
            <w:vMerge w:val="restart"/>
            <w:shd w:val="clear" w:color="auto" w:fill="auto"/>
            <w:vAlign w:val="center"/>
          </w:tcPr>
          <w:p>
            <w:pPr>
              <w:jc w:val="center"/>
              <w:rPr>
                <w:sz w:val="18"/>
                <w:szCs w:val="18"/>
                <w:highlight w:val="none"/>
              </w:rPr>
            </w:pPr>
            <w:r>
              <w:rPr>
                <w:rFonts w:hint="eastAsia"/>
                <w:sz w:val="18"/>
                <w:szCs w:val="18"/>
                <w:highlight w:val="none"/>
              </w:rPr>
              <w:t>基本支出</w:t>
            </w:r>
          </w:p>
        </w:tc>
        <w:tc>
          <w:tcPr>
            <w:tcW w:w="142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567" w:type="dxa"/>
            <w:shd w:val="clear" w:color="auto" w:fill="auto"/>
            <w:vAlign w:val="center"/>
          </w:tcPr>
          <w:p>
            <w:pPr>
              <w:jc w:val="center"/>
              <w:rPr>
                <w:sz w:val="18"/>
                <w:szCs w:val="18"/>
                <w:highlight w:val="none"/>
              </w:rPr>
            </w:pPr>
            <w:r>
              <w:rPr>
                <w:rFonts w:hint="eastAsia"/>
                <w:sz w:val="18"/>
                <w:szCs w:val="18"/>
                <w:highlight w:val="none"/>
              </w:rPr>
              <w:t>项</w:t>
            </w:r>
          </w:p>
        </w:tc>
        <w:tc>
          <w:tcPr>
            <w:tcW w:w="4026" w:type="dxa"/>
            <w:vMerge w:val="continue"/>
            <w:shd w:val="clear" w:color="auto" w:fill="auto"/>
            <w:vAlign w:val="center"/>
          </w:tcPr>
          <w:p>
            <w:pPr>
              <w:jc w:val="center"/>
              <w:rPr>
                <w:sz w:val="18"/>
                <w:szCs w:val="18"/>
                <w:highlight w:val="none"/>
              </w:rPr>
            </w:pPr>
          </w:p>
        </w:tc>
        <w:tc>
          <w:tcPr>
            <w:tcW w:w="1367" w:type="dxa"/>
            <w:vMerge w:val="continue"/>
            <w:shd w:val="clear" w:color="auto" w:fill="auto"/>
            <w:vAlign w:val="center"/>
          </w:tcPr>
          <w:p>
            <w:pPr>
              <w:jc w:val="center"/>
              <w:rPr>
                <w:sz w:val="18"/>
                <w:szCs w:val="18"/>
                <w:highlight w:val="none"/>
              </w:rPr>
            </w:pPr>
          </w:p>
        </w:tc>
        <w:tc>
          <w:tcPr>
            <w:tcW w:w="1366" w:type="dxa"/>
            <w:gridSpan w:val="2"/>
            <w:vMerge w:val="continue"/>
            <w:shd w:val="clear" w:color="auto" w:fill="auto"/>
            <w:vAlign w:val="center"/>
          </w:tcPr>
          <w:p>
            <w:pPr>
              <w:jc w:val="center"/>
              <w:rPr>
                <w:sz w:val="18"/>
                <w:szCs w:val="18"/>
                <w:highlight w:val="none"/>
              </w:rPr>
            </w:pPr>
          </w:p>
        </w:tc>
        <w:tc>
          <w:tcPr>
            <w:tcW w:w="142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社会保障和就业支出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33.09</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33.09</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208</w:t>
            </w:r>
          </w:p>
        </w:tc>
        <w:tc>
          <w:tcPr>
            <w:tcW w:w="567"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 xml:space="preserve">  行政事业单位养老支出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33.09</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33.09</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02</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事业单位离退休</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2.47</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2.47</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机关事业单位基本养老保险缴费支出</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20.82</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20.82</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208</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06</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机关事业单位职业年金缴费支出</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9.81</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9.81</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卫生健康支出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14.63</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14.63</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210</w:t>
            </w:r>
          </w:p>
        </w:tc>
        <w:tc>
          <w:tcPr>
            <w:tcW w:w="567"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11</w:t>
            </w: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 xml:space="preserve">  行政事业单位医疗</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14.63</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14.63</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02</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事业单位医疗</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9.95</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9.95</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210</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11</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03</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公务员医疗补助</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4.68</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4.68</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资源勘探工业信息等支出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218.13</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161.53</w:t>
            </w:r>
          </w:p>
        </w:tc>
        <w:tc>
          <w:tcPr>
            <w:tcW w:w="142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56.60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215</w:t>
            </w:r>
          </w:p>
        </w:tc>
        <w:tc>
          <w:tcPr>
            <w:tcW w:w="567"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05</w:t>
            </w: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 xml:space="preserve">  工业和信息产业</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218.13</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161.53</w:t>
            </w:r>
          </w:p>
        </w:tc>
        <w:tc>
          <w:tcPr>
            <w:tcW w:w="142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56.60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215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05</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08</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无线电及信息通信监管</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218.13</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161.53</w:t>
            </w:r>
          </w:p>
        </w:tc>
        <w:tc>
          <w:tcPr>
            <w:tcW w:w="1427" w:type="dxa"/>
            <w:shd w:val="clear" w:color="auto" w:fill="auto"/>
            <w:vAlign w:val="center"/>
          </w:tcPr>
          <w:p>
            <w:pPr>
              <w:jc w:val="right"/>
              <w:rPr>
                <w:sz w:val="18"/>
                <w:szCs w:val="18"/>
                <w:highlight w:val="none"/>
              </w:rPr>
            </w:pPr>
            <w:r>
              <w:rPr>
                <w:rFonts w:hint="eastAsia" w:ascii="宋体" w:hAnsi="宋体"/>
                <w:color w:val="000000"/>
                <w:sz w:val="18"/>
                <w:szCs w:val="18"/>
                <w:highlight w:val="none"/>
              </w:rPr>
              <w:t>56.60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住房保障支出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16.00</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16.00</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221</w:t>
            </w:r>
          </w:p>
        </w:tc>
        <w:tc>
          <w:tcPr>
            <w:tcW w:w="567"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02</w:t>
            </w: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left"/>
              <w:rPr>
                <w:b/>
                <w:sz w:val="18"/>
                <w:szCs w:val="18"/>
                <w:highlight w:val="none"/>
              </w:rPr>
            </w:pPr>
            <w:r>
              <w:rPr>
                <w:rFonts w:hint="eastAsia" w:ascii="宋体" w:hAnsi="宋体"/>
                <w:b/>
                <w:color w:val="000000"/>
                <w:sz w:val="18"/>
                <w:szCs w:val="18"/>
                <w:highlight w:val="none"/>
              </w:rPr>
              <w:t xml:space="preserve">  住房改革支出</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16.00</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16.00</w:t>
            </w:r>
          </w:p>
        </w:tc>
        <w:tc>
          <w:tcPr>
            <w:tcW w:w="1427"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highlight w:val="none"/>
              </w:rPr>
            </w:pPr>
            <w:r>
              <w:rPr>
                <w:rFonts w:hint="eastAsia" w:ascii="宋体" w:hAnsi="宋体"/>
                <w:color w:val="000000"/>
                <w:sz w:val="18"/>
                <w:szCs w:val="18"/>
                <w:highlight w:val="none"/>
              </w:rPr>
              <w:t>221</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02</w:t>
            </w:r>
          </w:p>
        </w:tc>
        <w:tc>
          <w:tcPr>
            <w:tcW w:w="567" w:type="dxa"/>
            <w:shd w:val="clear" w:color="auto" w:fill="auto"/>
            <w:vAlign w:val="center"/>
          </w:tcPr>
          <w:p>
            <w:pPr>
              <w:jc w:val="center"/>
              <w:rPr>
                <w:sz w:val="18"/>
                <w:szCs w:val="18"/>
                <w:highlight w:val="none"/>
              </w:rPr>
            </w:pPr>
            <w:r>
              <w:rPr>
                <w:rFonts w:hint="eastAsia" w:ascii="宋体" w:hAnsi="宋体"/>
                <w:color w:val="000000"/>
                <w:sz w:val="18"/>
                <w:szCs w:val="18"/>
                <w:highlight w:val="none"/>
              </w:rPr>
              <w:t>01</w:t>
            </w:r>
          </w:p>
        </w:tc>
        <w:tc>
          <w:tcPr>
            <w:tcW w:w="4026" w:type="dxa"/>
            <w:shd w:val="clear" w:color="auto" w:fill="auto"/>
            <w:vAlign w:val="center"/>
          </w:tcPr>
          <w:p>
            <w:pPr>
              <w:jc w:val="left"/>
              <w:rPr>
                <w:sz w:val="18"/>
                <w:szCs w:val="18"/>
                <w:highlight w:val="none"/>
              </w:rPr>
            </w:pPr>
            <w:r>
              <w:rPr>
                <w:rFonts w:hint="eastAsia" w:ascii="宋体" w:hAnsi="宋体"/>
                <w:color w:val="000000"/>
                <w:sz w:val="18"/>
                <w:szCs w:val="18"/>
                <w:highlight w:val="none"/>
              </w:rPr>
              <w:t xml:space="preserve">    住房公积金</w:t>
            </w:r>
          </w:p>
        </w:tc>
        <w:tc>
          <w:tcPr>
            <w:tcW w:w="1367" w:type="dxa"/>
            <w:shd w:val="clear" w:color="auto" w:fill="auto"/>
            <w:vAlign w:val="center"/>
          </w:tcPr>
          <w:p>
            <w:pPr>
              <w:jc w:val="right"/>
              <w:rPr>
                <w:sz w:val="18"/>
                <w:szCs w:val="18"/>
                <w:highlight w:val="none"/>
              </w:rPr>
            </w:pPr>
            <w:r>
              <w:rPr>
                <w:rFonts w:hint="eastAsia" w:ascii="宋体" w:hAnsi="宋体"/>
                <w:color w:val="000000"/>
                <w:sz w:val="18"/>
                <w:szCs w:val="18"/>
                <w:highlight w:val="none"/>
              </w:rPr>
              <w:t>16.00</w:t>
            </w:r>
          </w:p>
        </w:tc>
        <w:tc>
          <w:tcPr>
            <w:tcW w:w="1366" w:type="dxa"/>
            <w:gridSpan w:val="2"/>
            <w:shd w:val="clear" w:color="auto" w:fill="auto"/>
            <w:vAlign w:val="center"/>
          </w:tcPr>
          <w:p>
            <w:pPr>
              <w:jc w:val="right"/>
              <w:rPr>
                <w:sz w:val="18"/>
                <w:szCs w:val="18"/>
                <w:highlight w:val="none"/>
              </w:rPr>
            </w:pPr>
            <w:r>
              <w:rPr>
                <w:rFonts w:hint="eastAsia" w:ascii="宋体" w:hAnsi="宋体"/>
                <w:color w:val="000000"/>
                <w:sz w:val="18"/>
                <w:szCs w:val="18"/>
                <w:highlight w:val="none"/>
              </w:rPr>
              <w:t>16.00</w:t>
            </w:r>
          </w:p>
        </w:tc>
        <w:tc>
          <w:tcPr>
            <w:tcW w:w="142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4026" w:type="dxa"/>
            <w:shd w:val="clear" w:color="auto" w:fill="auto"/>
            <w:vAlign w:val="center"/>
          </w:tcPr>
          <w:p>
            <w:pPr>
              <w:jc w:val="center"/>
              <w:rPr>
                <w:b/>
                <w:sz w:val="18"/>
                <w:szCs w:val="18"/>
                <w:highlight w:val="none"/>
              </w:rPr>
            </w:pPr>
            <w:r>
              <w:rPr>
                <w:rFonts w:hint="eastAsia" w:ascii="宋体" w:hAnsi="宋体"/>
                <w:b/>
                <w:color w:val="000000"/>
                <w:sz w:val="18"/>
                <w:szCs w:val="18"/>
                <w:highlight w:val="none"/>
              </w:rPr>
              <w:t>总计</w:t>
            </w:r>
          </w:p>
        </w:tc>
        <w:tc>
          <w:tcPr>
            <w:tcW w:w="136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281.85</w:t>
            </w:r>
          </w:p>
        </w:tc>
        <w:tc>
          <w:tcPr>
            <w:tcW w:w="1366" w:type="dxa"/>
            <w:gridSpan w:val="2"/>
            <w:shd w:val="clear" w:color="auto" w:fill="auto"/>
            <w:vAlign w:val="center"/>
          </w:tcPr>
          <w:p>
            <w:pPr>
              <w:jc w:val="right"/>
              <w:rPr>
                <w:b/>
                <w:sz w:val="18"/>
                <w:szCs w:val="18"/>
                <w:highlight w:val="none"/>
              </w:rPr>
            </w:pPr>
            <w:r>
              <w:rPr>
                <w:rFonts w:hint="eastAsia" w:ascii="宋体" w:hAnsi="宋体"/>
                <w:b/>
                <w:color w:val="000000"/>
                <w:sz w:val="18"/>
                <w:szCs w:val="18"/>
                <w:highlight w:val="none"/>
              </w:rPr>
              <w:t>225.25</w:t>
            </w:r>
          </w:p>
        </w:tc>
        <w:tc>
          <w:tcPr>
            <w:tcW w:w="1427" w:type="dxa"/>
            <w:shd w:val="clear" w:color="auto" w:fill="auto"/>
            <w:vAlign w:val="center"/>
          </w:tcPr>
          <w:p>
            <w:pPr>
              <w:jc w:val="right"/>
              <w:rPr>
                <w:b/>
                <w:sz w:val="18"/>
                <w:szCs w:val="18"/>
                <w:highlight w:val="none"/>
              </w:rPr>
            </w:pPr>
            <w:r>
              <w:rPr>
                <w:rFonts w:hint="eastAsia" w:ascii="宋体" w:hAnsi="宋体"/>
                <w:b/>
                <w:color w:val="000000"/>
                <w:sz w:val="18"/>
                <w:szCs w:val="18"/>
                <w:highlight w:val="none"/>
              </w:rPr>
              <w:t>56.60</w:t>
            </w: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表6</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一般公共预算基本支出情况表</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编制单位：巴音郭楞蒙古自治州无线电管理中心</w:t>
            </w:r>
          </w:p>
        </w:tc>
        <w:tc>
          <w:tcPr>
            <w:tcW w:w="1708"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highlight w:val="none"/>
              </w:rPr>
            </w:pPr>
            <w:r>
              <w:rPr>
                <w:rFonts w:hint="eastAsia"/>
                <w:sz w:val="18"/>
                <w:szCs w:val="18"/>
                <w:highlight w:val="none"/>
              </w:rPr>
              <w:t>科目</w:t>
            </w:r>
          </w:p>
        </w:tc>
        <w:tc>
          <w:tcPr>
            <w:tcW w:w="4160" w:type="dxa"/>
            <w:gridSpan w:val="4"/>
            <w:shd w:val="clear" w:color="auto" w:fill="auto"/>
            <w:vAlign w:val="center"/>
          </w:tcPr>
          <w:p>
            <w:pPr>
              <w:jc w:val="center"/>
              <w:rPr>
                <w:sz w:val="18"/>
                <w:szCs w:val="18"/>
                <w:highlight w:val="none"/>
              </w:rPr>
            </w:pPr>
            <w:r>
              <w:rPr>
                <w:rFonts w:hint="eastAsia"/>
                <w:sz w:val="18"/>
                <w:szCs w:val="18"/>
                <w:highlight w:val="none"/>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highlight w:val="none"/>
              </w:rPr>
            </w:pPr>
            <w:r>
              <w:rPr>
                <w:rFonts w:hint="eastAsia"/>
                <w:sz w:val="18"/>
                <w:szCs w:val="18"/>
                <w:highlight w:val="none"/>
              </w:rPr>
              <w:t>科目代码</w:t>
            </w:r>
          </w:p>
        </w:tc>
        <w:tc>
          <w:tcPr>
            <w:tcW w:w="4593"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367"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1366" w:type="dxa"/>
            <w:gridSpan w:val="2"/>
            <w:vMerge w:val="restart"/>
            <w:shd w:val="clear" w:color="auto" w:fill="auto"/>
            <w:vAlign w:val="center"/>
          </w:tcPr>
          <w:p>
            <w:pPr>
              <w:jc w:val="center"/>
              <w:rPr>
                <w:sz w:val="18"/>
                <w:szCs w:val="18"/>
                <w:highlight w:val="none"/>
              </w:rPr>
            </w:pPr>
            <w:r>
              <w:rPr>
                <w:rFonts w:hint="eastAsia"/>
                <w:sz w:val="18"/>
                <w:szCs w:val="18"/>
                <w:highlight w:val="none"/>
              </w:rPr>
              <w:t>人员经费</w:t>
            </w:r>
          </w:p>
        </w:tc>
        <w:tc>
          <w:tcPr>
            <w:tcW w:w="1427" w:type="dxa"/>
            <w:vMerge w:val="restart"/>
            <w:shd w:val="clear" w:color="auto" w:fill="auto"/>
            <w:vAlign w:val="center"/>
          </w:tcPr>
          <w:p>
            <w:pPr>
              <w:jc w:val="center"/>
              <w:rPr>
                <w:sz w:val="18"/>
                <w:szCs w:val="18"/>
                <w:highlight w:val="none"/>
              </w:rPr>
            </w:pPr>
            <w:r>
              <w:rPr>
                <w:rFonts w:hint="eastAsia"/>
                <w:sz w:val="18"/>
                <w:szCs w:val="18"/>
                <w:highlight w:val="none"/>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4593" w:type="dxa"/>
            <w:vMerge w:val="continue"/>
            <w:shd w:val="clear" w:color="auto" w:fill="auto"/>
            <w:vAlign w:val="center"/>
          </w:tcPr>
          <w:p>
            <w:pPr>
              <w:jc w:val="center"/>
              <w:rPr>
                <w:sz w:val="18"/>
                <w:szCs w:val="18"/>
                <w:highlight w:val="none"/>
              </w:rPr>
            </w:pPr>
          </w:p>
        </w:tc>
        <w:tc>
          <w:tcPr>
            <w:tcW w:w="1367" w:type="dxa"/>
            <w:vMerge w:val="continue"/>
            <w:shd w:val="clear" w:color="auto" w:fill="auto"/>
            <w:vAlign w:val="center"/>
          </w:tcPr>
          <w:p>
            <w:pPr>
              <w:jc w:val="center"/>
              <w:rPr>
                <w:sz w:val="18"/>
                <w:szCs w:val="18"/>
                <w:highlight w:val="none"/>
              </w:rPr>
            </w:pPr>
          </w:p>
        </w:tc>
        <w:tc>
          <w:tcPr>
            <w:tcW w:w="1366" w:type="dxa"/>
            <w:gridSpan w:val="2"/>
            <w:vMerge w:val="continue"/>
            <w:shd w:val="clear" w:color="auto" w:fill="auto"/>
            <w:vAlign w:val="center"/>
          </w:tcPr>
          <w:p>
            <w:pPr>
              <w:jc w:val="center"/>
              <w:rPr>
                <w:sz w:val="18"/>
                <w:szCs w:val="18"/>
                <w:highlight w:val="none"/>
              </w:rPr>
            </w:pPr>
          </w:p>
        </w:tc>
        <w:tc>
          <w:tcPr>
            <w:tcW w:w="142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highlight w:val="none"/>
              </w:rPr>
            </w:pPr>
            <w:r>
              <w:rPr>
                <w:rFonts w:hint="default" w:ascii="宋体" w:hAnsi="宋体"/>
                <w:b/>
                <w:sz w:val="18"/>
                <w:szCs w:val="18"/>
                <w:highlight w:val="none"/>
              </w:rPr>
              <w:t>301</w:t>
            </w:r>
          </w:p>
        </w:tc>
        <w:tc>
          <w:tcPr>
            <w:tcW w:w="567" w:type="dxa"/>
            <w:shd w:val="clear" w:color="auto" w:fill="auto"/>
            <w:vAlign w:val="center"/>
          </w:tcPr>
          <w:p>
            <w:pPr>
              <w:jc w:val="center"/>
              <w:rPr>
                <w:rFonts w:hint="default" w:ascii="宋体" w:hAnsi="宋体"/>
                <w:b/>
                <w:sz w:val="18"/>
                <w:szCs w:val="18"/>
                <w:highlight w:val="none"/>
              </w:rPr>
            </w:pPr>
          </w:p>
        </w:tc>
        <w:tc>
          <w:tcPr>
            <w:tcW w:w="4593" w:type="dxa"/>
            <w:shd w:val="clear" w:color="auto" w:fill="auto"/>
            <w:vAlign w:val="center"/>
          </w:tcPr>
          <w:p>
            <w:pPr>
              <w:jc w:val="left"/>
              <w:rPr>
                <w:rFonts w:hint="default" w:ascii="宋体" w:hAnsi="宋体"/>
                <w:b/>
                <w:sz w:val="18"/>
                <w:szCs w:val="18"/>
                <w:highlight w:val="none"/>
              </w:rPr>
            </w:pPr>
            <w:r>
              <w:rPr>
                <w:rFonts w:hint="default" w:ascii="宋体" w:hAnsi="宋体"/>
                <w:b/>
                <w:sz w:val="18"/>
                <w:szCs w:val="18"/>
                <w:highlight w:val="none"/>
              </w:rPr>
              <w:t>工资福利支出</w:t>
            </w:r>
          </w:p>
        </w:tc>
        <w:tc>
          <w:tcPr>
            <w:tcW w:w="136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194.52</w:t>
            </w:r>
          </w:p>
        </w:tc>
        <w:tc>
          <w:tcPr>
            <w:tcW w:w="1366" w:type="dxa"/>
            <w:gridSpan w:val="2"/>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194.52</w:t>
            </w:r>
          </w:p>
        </w:tc>
        <w:tc>
          <w:tcPr>
            <w:tcW w:w="1427" w:type="dxa"/>
            <w:shd w:val="clear" w:color="auto" w:fill="auto"/>
            <w:vAlign w:val="center"/>
          </w:tcPr>
          <w:p>
            <w:pPr>
              <w:jc w:val="right"/>
              <w:rPr>
                <w:rFonts w:hint="default" w:ascii="宋体" w:hAnsi="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基本工资</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54.19</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54.19</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02</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津贴补贴</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13.85</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13.85</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03</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奖金</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27.15</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27.15</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07</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绩效工资</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33.08</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33.08</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08</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机关事业单位基本养老保险缴费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20.82</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20.82</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09</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职业年金缴费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9.81</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9.81</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10</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职工基本医疗保险缴费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9.95</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9.95</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公务员医疗补助缴费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4.68</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4.68</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12</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其他社会保障缴费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1.53</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1.53</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13</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住房公积金</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16.00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16.00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301</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其他工资福利支出</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3.47</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3.47</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highlight w:val="none"/>
              </w:rPr>
            </w:pPr>
            <w:r>
              <w:rPr>
                <w:rFonts w:hint="default" w:ascii="宋体" w:hAnsi="宋体"/>
                <w:b/>
                <w:sz w:val="18"/>
                <w:szCs w:val="18"/>
                <w:highlight w:val="none"/>
              </w:rPr>
              <w:t>302</w:t>
            </w:r>
          </w:p>
        </w:tc>
        <w:tc>
          <w:tcPr>
            <w:tcW w:w="567" w:type="dxa"/>
            <w:shd w:val="clear" w:color="auto" w:fill="auto"/>
            <w:vAlign w:val="center"/>
          </w:tcPr>
          <w:p>
            <w:pPr>
              <w:jc w:val="center"/>
              <w:rPr>
                <w:rFonts w:hint="default" w:ascii="宋体" w:hAnsi="宋体"/>
                <w:b/>
                <w:sz w:val="18"/>
                <w:szCs w:val="18"/>
                <w:highlight w:val="none"/>
              </w:rPr>
            </w:pPr>
          </w:p>
        </w:tc>
        <w:tc>
          <w:tcPr>
            <w:tcW w:w="4593" w:type="dxa"/>
            <w:shd w:val="clear" w:color="auto" w:fill="auto"/>
            <w:vAlign w:val="center"/>
          </w:tcPr>
          <w:p>
            <w:pPr>
              <w:jc w:val="left"/>
              <w:rPr>
                <w:rFonts w:hint="default" w:ascii="宋体" w:hAnsi="宋体"/>
                <w:b/>
                <w:sz w:val="18"/>
                <w:szCs w:val="18"/>
                <w:highlight w:val="none"/>
              </w:rPr>
            </w:pPr>
            <w:r>
              <w:rPr>
                <w:rFonts w:hint="default" w:ascii="宋体" w:hAnsi="宋体"/>
                <w:b/>
                <w:sz w:val="18"/>
                <w:szCs w:val="18"/>
                <w:highlight w:val="none"/>
              </w:rPr>
              <w:t>商品和服务支出</w:t>
            </w:r>
          </w:p>
        </w:tc>
        <w:tc>
          <w:tcPr>
            <w:tcW w:w="136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28.27</w:t>
            </w:r>
          </w:p>
        </w:tc>
        <w:tc>
          <w:tcPr>
            <w:tcW w:w="1366" w:type="dxa"/>
            <w:gridSpan w:val="2"/>
            <w:shd w:val="clear" w:color="auto" w:fill="auto"/>
            <w:vAlign w:val="center"/>
          </w:tcPr>
          <w:p>
            <w:pPr>
              <w:jc w:val="right"/>
              <w:rPr>
                <w:rFonts w:hint="default" w:ascii="宋体" w:hAnsi="宋体"/>
                <w:b/>
                <w:sz w:val="18"/>
                <w:szCs w:val="18"/>
                <w:highlight w:val="none"/>
              </w:rPr>
            </w:pPr>
          </w:p>
        </w:tc>
        <w:tc>
          <w:tcPr>
            <w:tcW w:w="142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28.27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办公费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7.42</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05</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水费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0.10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06</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电费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0.70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07</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邮电费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1.80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08</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取暖费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2.50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11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差旅费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3.85</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28</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工会经费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2.80</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31</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公务用车运行维护费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4.89</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302</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其他商品和服务支出</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4.21</w:t>
            </w:r>
          </w:p>
        </w:tc>
        <w:tc>
          <w:tcPr>
            <w:tcW w:w="1366" w:type="dxa"/>
            <w:gridSpan w:val="2"/>
            <w:shd w:val="clear" w:color="auto" w:fill="auto"/>
            <w:vAlign w:val="center"/>
          </w:tcPr>
          <w:p>
            <w:pPr>
              <w:jc w:val="right"/>
              <w:rPr>
                <w:rFonts w:hint="default" w:ascii="宋体" w:hAnsi="宋体"/>
                <w:sz w:val="18"/>
                <w:szCs w:val="18"/>
                <w:highlight w:val="none"/>
              </w:rPr>
            </w:pPr>
          </w:p>
        </w:tc>
        <w:tc>
          <w:tcPr>
            <w:tcW w:w="142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highlight w:val="none"/>
              </w:rPr>
            </w:pPr>
            <w:r>
              <w:rPr>
                <w:rFonts w:hint="default" w:ascii="宋体" w:hAnsi="宋体"/>
                <w:b/>
                <w:sz w:val="18"/>
                <w:szCs w:val="18"/>
                <w:highlight w:val="none"/>
              </w:rPr>
              <w:t>303</w:t>
            </w:r>
          </w:p>
        </w:tc>
        <w:tc>
          <w:tcPr>
            <w:tcW w:w="567" w:type="dxa"/>
            <w:shd w:val="clear" w:color="auto" w:fill="auto"/>
            <w:vAlign w:val="center"/>
          </w:tcPr>
          <w:p>
            <w:pPr>
              <w:jc w:val="center"/>
              <w:rPr>
                <w:rFonts w:hint="default" w:ascii="宋体" w:hAnsi="宋体"/>
                <w:b/>
                <w:sz w:val="18"/>
                <w:szCs w:val="18"/>
                <w:highlight w:val="none"/>
              </w:rPr>
            </w:pPr>
          </w:p>
        </w:tc>
        <w:tc>
          <w:tcPr>
            <w:tcW w:w="4593" w:type="dxa"/>
            <w:shd w:val="clear" w:color="auto" w:fill="auto"/>
            <w:vAlign w:val="center"/>
          </w:tcPr>
          <w:p>
            <w:pPr>
              <w:jc w:val="left"/>
              <w:rPr>
                <w:rFonts w:hint="default" w:ascii="宋体" w:hAnsi="宋体"/>
                <w:b/>
                <w:sz w:val="18"/>
                <w:szCs w:val="18"/>
                <w:highlight w:val="none"/>
              </w:rPr>
            </w:pPr>
            <w:r>
              <w:rPr>
                <w:rFonts w:hint="default" w:ascii="宋体" w:hAnsi="宋体"/>
                <w:b/>
                <w:sz w:val="18"/>
                <w:szCs w:val="18"/>
                <w:highlight w:val="none"/>
              </w:rPr>
              <w:t>对个人和家庭的补助</w:t>
            </w:r>
          </w:p>
        </w:tc>
        <w:tc>
          <w:tcPr>
            <w:tcW w:w="136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2.47</w:t>
            </w:r>
          </w:p>
        </w:tc>
        <w:tc>
          <w:tcPr>
            <w:tcW w:w="1366" w:type="dxa"/>
            <w:gridSpan w:val="2"/>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2.47</w:t>
            </w:r>
          </w:p>
        </w:tc>
        <w:tc>
          <w:tcPr>
            <w:tcW w:w="1427" w:type="dxa"/>
            <w:shd w:val="clear" w:color="auto" w:fill="auto"/>
            <w:vAlign w:val="center"/>
          </w:tcPr>
          <w:p>
            <w:pPr>
              <w:jc w:val="right"/>
              <w:rPr>
                <w:rFonts w:hint="default" w:ascii="宋体" w:hAnsi="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02</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退休费</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2.27</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2.27</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303</w:t>
            </w:r>
          </w:p>
        </w:tc>
        <w:tc>
          <w:tcPr>
            <w:tcW w:w="567" w:type="dxa"/>
            <w:shd w:val="clear" w:color="auto" w:fill="auto"/>
            <w:vAlign w:val="center"/>
          </w:tcPr>
          <w:p>
            <w:pPr>
              <w:jc w:val="center"/>
              <w:rPr>
                <w:rFonts w:hint="default" w:ascii="宋体" w:hAnsi="宋体"/>
                <w:sz w:val="18"/>
                <w:szCs w:val="18"/>
                <w:highlight w:val="none"/>
              </w:rPr>
            </w:pPr>
            <w:r>
              <w:rPr>
                <w:rFonts w:hint="default" w:ascii="宋体" w:hAnsi="宋体"/>
                <w:sz w:val="18"/>
                <w:szCs w:val="18"/>
                <w:highlight w:val="none"/>
              </w:rPr>
              <w:t>99</w:t>
            </w:r>
          </w:p>
        </w:tc>
        <w:tc>
          <w:tcPr>
            <w:tcW w:w="4593" w:type="dxa"/>
            <w:shd w:val="clear" w:color="auto" w:fill="auto"/>
            <w:vAlign w:val="center"/>
          </w:tcPr>
          <w:p>
            <w:pPr>
              <w:jc w:val="left"/>
              <w:rPr>
                <w:rFonts w:hint="default" w:ascii="宋体" w:hAnsi="宋体"/>
                <w:sz w:val="18"/>
                <w:szCs w:val="18"/>
                <w:highlight w:val="none"/>
              </w:rPr>
            </w:pPr>
            <w:r>
              <w:rPr>
                <w:rFonts w:hint="default" w:ascii="宋体" w:hAnsi="宋体"/>
                <w:sz w:val="18"/>
                <w:szCs w:val="18"/>
                <w:highlight w:val="none"/>
              </w:rPr>
              <w:t xml:space="preserve">  其他对个人和家庭的补助</w:t>
            </w:r>
          </w:p>
        </w:tc>
        <w:tc>
          <w:tcPr>
            <w:tcW w:w="1367" w:type="dxa"/>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0.20</w:t>
            </w:r>
          </w:p>
        </w:tc>
        <w:tc>
          <w:tcPr>
            <w:tcW w:w="1366" w:type="dxa"/>
            <w:gridSpan w:val="2"/>
            <w:shd w:val="clear" w:color="auto" w:fill="auto"/>
            <w:vAlign w:val="center"/>
          </w:tcPr>
          <w:p>
            <w:pPr>
              <w:jc w:val="right"/>
              <w:rPr>
                <w:rFonts w:hint="default" w:ascii="宋体" w:hAnsi="宋体"/>
                <w:sz w:val="18"/>
                <w:szCs w:val="18"/>
                <w:highlight w:val="none"/>
              </w:rPr>
            </w:pPr>
            <w:r>
              <w:rPr>
                <w:rFonts w:hint="default" w:ascii="宋体" w:hAnsi="宋体"/>
                <w:sz w:val="18"/>
                <w:szCs w:val="18"/>
                <w:highlight w:val="none"/>
              </w:rPr>
              <w:t>0.20</w:t>
            </w:r>
          </w:p>
        </w:tc>
        <w:tc>
          <w:tcPr>
            <w:tcW w:w="1427" w:type="dxa"/>
            <w:shd w:val="clear" w:color="auto" w:fill="auto"/>
            <w:vAlign w:val="center"/>
          </w:tcPr>
          <w:p>
            <w:pPr>
              <w:jc w:val="right"/>
              <w:rPr>
                <w:rFonts w:hint="default"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highlight w:val="none"/>
              </w:rPr>
            </w:pPr>
          </w:p>
        </w:tc>
        <w:tc>
          <w:tcPr>
            <w:tcW w:w="567" w:type="dxa"/>
            <w:shd w:val="clear" w:color="auto" w:fill="auto"/>
            <w:vAlign w:val="center"/>
          </w:tcPr>
          <w:p>
            <w:pPr>
              <w:jc w:val="center"/>
              <w:rPr>
                <w:rFonts w:hint="default" w:ascii="宋体" w:hAnsi="宋体"/>
                <w:b/>
                <w:sz w:val="18"/>
                <w:szCs w:val="18"/>
                <w:highlight w:val="none"/>
              </w:rPr>
            </w:pPr>
          </w:p>
        </w:tc>
        <w:tc>
          <w:tcPr>
            <w:tcW w:w="4593" w:type="dxa"/>
            <w:shd w:val="clear" w:color="auto" w:fill="auto"/>
            <w:vAlign w:val="center"/>
          </w:tcPr>
          <w:p>
            <w:pPr>
              <w:jc w:val="center"/>
              <w:rPr>
                <w:rFonts w:hint="default" w:ascii="宋体" w:hAnsi="宋体"/>
                <w:b/>
                <w:sz w:val="18"/>
                <w:szCs w:val="18"/>
                <w:highlight w:val="none"/>
              </w:rPr>
            </w:pPr>
            <w:r>
              <w:rPr>
                <w:rFonts w:hint="default" w:ascii="宋体" w:hAnsi="宋体"/>
                <w:b/>
                <w:sz w:val="18"/>
                <w:szCs w:val="18"/>
                <w:highlight w:val="none"/>
              </w:rPr>
              <w:t>总计</w:t>
            </w:r>
          </w:p>
        </w:tc>
        <w:tc>
          <w:tcPr>
            <w:tcW w:w="136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225.25</w:t>
            </w:r>
          </w:p>
        </w:tc>
        <w:tc>
          <w:tcPr>
            <w:tcW w:w="1366" w:type="dxa"/>
            <w:gridSpan w:val="2"/>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196.98</w:t>
            </w:r>
          </w:p>
        </w:tc>
        <w:tc>
          <w:tcPr>
            <w:tcW w:w="1427" w:type="dxa"/>
            <w:shd w:val="clear" w:color="auto" w:fill="auto"/>
            <w:vAlign w:val="center"/>
          </w:tcPr>
          <w:p>
            <w:pPr>
              <w:jc w:val="right"/>
              <w:rPr>
                <w:rFonts w:hint="default" w:ascii="宋体" w:hAnsi="宋体"/>
                <w:b/>
                <w:sz w:val="18"/>
                <w:szCs w:val="18"/>
                <w:highlight w:val="none"/>
              </w:rPr>
            </w:pPr>
            <w:r>
              <w:rPr>
                <w:rFonts w:hint="default" w:ascii="宋体" w:hAnsi="宋体"/>
                <w:b/>
                <w:sz w:val="18"/>
                <w:szCs w:val="18"/>
                <w:highlight w:val="none"/>
              </w:rPr>
              <w:t>28.27</w:t>
            </w: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表7</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一般公共预算项目支出情况表</w:t>
      </w:r>
    </w:p>
    <w:tbl>
      <w:tblPr>
        <w:tblStyle w:val="8"/>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52" w:hRule="atLeast"/>
          <w:tblHeader/>
        </w:trPr>
        <w:tc>
          <w:tcPr>
            <w:tcW w:w="12869" w:type="dxa"/>
            <w:gridSpan w:val="14"/>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编制单位：巴音郭楞蒙古自治州无线电管理中心</w:t>
            </w:r>
          </w:p>
        </w:tc>
        <w:tc>
          <w:tcPr>
            <w:tcW w:w="1863"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711" w:hRule="atLeast"/>
          <w:tblHeader/>
        </w:trPr>
        <w:tc>
          <w:tcPr>
            <w:tcW w:w="891"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2073"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2073" w:type="dxa"/>
            <w:vMerge w:val="restart"/>
            <w:shd w:val="clear" w:color="auto" w:fill="auto"/>
            <w:vAlign w:val="center"/>
          </w:tcPr>
          <w:p>
            <w:pPr>
              <w:jc w:val="center"/>
              <w:rPr>
                <w:sz w:val="18"/>
                <w:szCs w:val="18"/>
                <w:highlight w:val="none"/>
              </w:rPr>
            </w:pPr>
            <w:r>
              <w:rPr>
                <w:rFonts w:hint="eastAsia"/>
                <w:sz w:val="18"/>
                <w:szCs w:val="18"/>
                <w:highlight w:val="none"/>
              </w:rPr>
              <w:t>项目名称</w:t>
            </w:r>
          </w:p>
        </w:tc>
        <w:tc>
          <w:tcPr>
            <w:tcW w:w="881" w:type="dxa"/>
            <w:vMerge w:val="restart"/>
            <w:shd w:val="clear" w:color="auto" w:fill="auto"/>
            <w:vAlign w:val="center"/>
          </w:tcPr>
          <w:p>
            <w:pPr>
              <w:jc w:val="center"/>
              <w:rPr>
                <w:sz w:val="18"/>
                <w:szCs w:val="18"/>
                <w:highlight w:val="none"/>
              </w:rPr>
            </w:pPr>
            <w:r>
              <w:rPr>
                <w:rFonts w:hint="eastAsia"/>
                <w:sz w:val="18"/>
                <w:szCs w:val="18"/>
                <w:highlight w:val="none"/>
              </w:rPr>
              <w:t>项目支出合计</w:t>
            </w:r>
          </w:p>
        </w:tc>
        <w:tc>
          <w:tcPr>
            <w:tcW w:w="881" w:type="dxa"/>
            <w:vMerge w:val="restart"/>
            <w:shd w:val="clear" w:color="auto" w:fill="auto"/>
            <w:vAlign w:val="center"/>
          </w:tcPr>
          <w:p>
            <w:pPr>
              <w:jc w:val="center"/>
              <w:rPr>
                <w:sz w:val="18"/>
                <w:szCs w:val="18"/>
                <w:highlight w:val="none"/>
              </w:rPr>
            </w:pPr>
            <w:r>
              <w:rPr>
                <w:rFonts w:hint="eastAsia"/>
                <w:sz w:val="18"/>
                <w:szCs w:val="18"/>
                <w:highlight w:val="none"/>
              </w:rPr>
              <w:t>工资福利支出</w:t>
            </w:r>
          </w:p>
        </w:tc>
        <w:tc>
          <w:tcPr>
            <w:tcW w:w="881" w:type="dxa"/>
            <w:vMerge w:val="restart"/>
            <w:shd w:val="clear" w:color="auto" w:fill="auto"/>
            <w:vAlign w:val="center"/>
          </w:tcPr>
          <w:p>
            <w:pPr>
              <w:jc w:val="center"/>
              <w:rPr>
                <w:sz w:val="18"/>
                <w:szCs w:val="18"/>
                <w:highlight w:val="none"/>
              </w:rPr>
            </w:pPr>
            <w:r>
              <w:rPr>
                <w:rFonts w:hint="eastAsia"/>
                <w:sz w:val="18"/>
                <w:szCs w:val="18"/>
                <w:highlight w:val="none"/>
              </w:rPr>
              <w:t>商品和服务支出</w:t>
            </w:r>
          </w:p>
        </w:tc>
        <w:tc>
          <w:tcPr>
            <w:tcW w:w="881" w:type="dxa"/>
            <w:vMerge w:val="restart"/>
            <w:shd w:val="clear" w:color="auto" w:fill="auto"/>
            <w:vAlign w:val="center"/>
          </w:tcPr>
          <w:p>
            <w:pPr>
              <w:jc w:val="center"/>
              <w:rPr>
                <w:sz w:val="18"/>
                <w:szCs w:val="18"/>
                <w:highlight w:val="none"/>
              </w:rPr>
            </w:pPr>
            <w:r>
              <w:rPr>
                <w:rFonts w:hint="eastAsia"/>
                <w:sz w:val="18"/>
                <w:szCs w:val="18"/>
                <w:highlight w:val="none"/>
              </w:rPr>
              <w:t>对个人和家庭的补助</w:t>
            </w:r>
          </w:p>
        </w:tc>
        <w:tc>
          <w:tcPr>
            <w:tcW w:w="881" w:type="dxa"/>
            <w:vMerge w:val="restart"/>
            <w:shd w:val="clear" w:color="auto" w:fill="auto"/>
            <w:vAlign w:val="center"/>
          </w:tcPr>
          <w:p>
            <w:pPr>
              <w:jc w:val="center"/>
              <w:rPr>
                <w:sz w:val="18"/>
                <w:szCs w:val="18"/>
                <w:highlight w:val="none"/>
              </w:rPr>
            </w:pPr>
            <w:r>
              <w:rPr>
                <w:rFonts w:hint="eastAsia"/>
                <w:sz w:val="18"/>
                <w:szCs w:val="18"/>
                <w:highlight w:val="none"/>
              </w:rPr>
              <w:t>债务利息及费用支出</w:t>
            </w:r>
          </w:p>
        </w:tc>
        <w:tc>
          <w:tcPr>
            <w:tcW w:w="881" w:type="dxa"/>
            <w:vMerge w:val="restart"/>
            <w:shd w:val="clear" w:color="auto" w:fill="auto"/>
            <w:vAlign w:val="center"/>
          </w:tcPr>
          <w:p>
            <w:pPr>
              <w:jc w:val="center"/>
              <w:rPr>
                <w:sz w:val="18"/>
                <w:szCs w:val="18"/>
                <w:highlight w:val="none"/>
              </w:rPr>
            </w:pPr>
            <w:r>
              <w:rPr>
                <w:rFonts w:hint="eastAsia"/>
                <w:sz w:val="18"/>
                <w:szCs w:val="18"/>
                <w:highlight w:val="none"/>
              </w:rPr>
              <w:t>资本性支出（基本建设）</w:t>
            </w:r>
          </w:p>
        </w:tc>
        <w:tc>
          <w:tcPr>
            <w:tcW w:w="881" w:type="dxa"/>
            <w:vMerge w:val="restart"/>
            <w:shd w:val="clear" w:color="auto" w:fill="auto"/>
            <w:vAlign w:val="center"/>
          </w:tcPr>
          <w:p>
            <w:pPr>
              <w:jc w:val="center"/>
              <w:rPr>
                <w:sz w:val="18"/>
                <w:szCs w:val="18"/>
                <w:highlight w:val="none"/>
              </w:rPr>
            </w:pPr>
            <w:r>
              <w:rPr>
                <w:rFonts w:hint="eastAsia"/>
                <w:sz w:val="18"/>
                <w:szCs w:val="18"/>
                <w:highlight w:val="none"/>
              </w:rPr>
              <w:t>资本性支出</w:t>
            </w:r>
          </w:p>
        </w:tc>
        <w:tc>
          <w:tcPr>
            <w:tcW w:w="882" w:type="dxa"/>
            <w:vMerge w:val="restart"/>
            <w:shd w:val="clear" w:color="auto" w:fill="auto"/>
            <w:vAlign w:val="center"/>
          </w:tcPr>
          <w:p>
            <w:pPr>
              <w:jc w:val="center"/>
              <w:rPr>
                <w:sz w:val="18"/>
                <w:szCs w:val="18"/>
                <w:highlight w:val="none"/>
              </w:rPr>
            </w:pPr>
            <w:r>
              <w:rPr>
                <w:rFonts w:hint="eastAsia"/>
                <w:sz w:val="18"/>
                <w:szCs w:val="18"/>
                <w:highlight w:val="none"/>
              </w:rPr>
              <w:t>对企业补助（基本建设）</w:t>
            </w:r>
          </w:p>
        </w:tc>
        <w:tc>
          <w:tcPr>
            <w:tcW w:w="783" w:type="dxa"/>
            <w:vMerge w:val="restart"/>
            <w:shd w:val="clear" w:color="auto" w:fill="auto"/>
            <w:vAlign w:val="center"/>
          </w:tcPr>
          <w:p>
            <w:pPr>
              <w:jc w:val="center"/>
              <w:rPr>
                <w:sz w:val="18"/>
                <w:szCs w:val="18"/>
                <w:highlight w:val="none"/>
              </w:rPr>
            </w:pPr>
            <w:r>
              <w:rPr>
                <w:rFonts w:hint="eastAsia"/>
                <w:sz w:val="18"/>
                <w:szCs w:val="18"/>
                <w:highlight w:val="none"/>
              </w:rPr>
              <w:t>对企业补助</w:t>
            </w:r>
          </w:p>
        </w:tc>
        <w:tc>
          <w:tcPr>
            <w:tcW w:w="981" w:type="dxa"/>
            <w:vMerge w:val="restart"/>
            <w:shd w:val="clear" w:color="auto" w:fill="auto"/>
            <w:vAlign w:val="center"/>
          </w:tcPr>
          <w:p>
            <w:pPr>
              <w:jc w:val="center"/>
              <w:rPr>
                <w:sz w:val="18"/>
                <w:szCs w:val="18"/>
                <w:highlight w:val="none"/>
              </w:rPr>
            </w:pPr>
            <w:r>
              <w:rPr>
                <w:rFonts w:hint="eastAsia"/>
                <w:sz w:val="18"/>
                <w:szCs w:val="18"/>
                <w:highlight w:val="none"/>
              </w:rPr>
              <w:t>对社会保障基金补助</w:t>
            </w:r>
          </w:p>
        </w:tc>
        <w:tc>
          <w:tcPr>
            <w:tcW w:w="882" w:type="dxa"/>
            <w:vMerge w:val="restart"/>
            <w:shd w:val="clear" w:color="auto" w:fill="auto"/>
            <w:vAlign w:val="center"/>
          </w:tcPr>
          <w:p>
            <w:pPr>
              <w:jc w:val="center"/>
              <w:rPr>
                <w:sz w:val="18"/>
                <w:szCs w:val="18"/>
                <w:highlight w:val="none"/>
              </w:rPr>
            </w:pPr>
            <w:r>
              <w:rPr>
                <w:rFonts w:hint="eastAsia"/>
                <w:sz w:val="18"/>
                <w:szCs w:val="18"/>
                <w:highlight w:val="none"/>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highlight w:val="none"/>
              </w:rPr>
            </w:pPr>
            <w:r>
              <w:rPr>
                <w:rFonts w:hint="eastAsia"/>
                <w:sz w:val="18"/>
                <w:szCs w:val="18"/>
                <w:highlight w:val="none"/>
              </w:rPr>
              <w:t>类</w:t>
            </w:r>
          </w:p>
        </w:tc>
        <w:tc>
          <w:tcPr>
            <w:tcW w:w="260" w:type="dxa"/>
            <w:shd w:val="clear" w:color="auto" w:fill="auto"/>
            <w:vAlign w:val="center"/>
          </w:tcPr>
          <w:p>
            <w:pPr>
              <w:jc w:val="center"/>
              <w:rPr>
                <w:sz w:val="18"/>
                <w:szCs w:val="18"/>
                <w:highlight w:val="none"/>
              </w:rPr>
            </w:pPr>
            <w:r>
              <w:rPr>
                <w:rFonts w:hint="eastAsia"/>
                <w:sz w:val="18"/>
                <w:szCs w:val="18"/>
                <w:highlight w:val="none"/>
              </w:rPr>
              <w:t>款</w:t>
            </w:r>
          </w:p>
        </w:tc>
        <w:tc>
          <w:tcPr>
            <w:tcW w:w="331" w:type="dxa"/>
            <w:shd w:val="clear" w:color="auto" w:fill="auto"/>
            <w:vAlign w:val="center"/>
          </w:tcPr>
          <w:p>
            <w:pPr>
              <w:jc w:val="center"/>
              <w:rPr>
                <w:sz w:val="18"/>
                <w:szCs w:val="18"/>
                <w:highlight w:val="none"/>
              </w:rPr>
            </w:pPr>
            <w:r>
              <w:rPr>
                <w:rFonts w:hint="eastAsia"/>
                <w:sz w:val="18"/>
                <w:szCs w:val="18"/>
                <w:highlight w:val="none"/>
              </w:rPr>
              <w:t>项</w:t>
            </w:r>
          </w:p>
        </w:tc>
        <w:tc>
          <w:tcPr>
            <w:tcW w:w="2073" w:type="dxa"/>
            <w:vMerge w:val="continue"/>
            <w:shd w:val="clear" w:color="auto" w:fill="auto"/>
            <w:vAlign w:val="center"/>
          </w:tcPr>
          <w:p>
            <w:pPr>
              <w:jc w:val="center"/>
              <w:rPr>
                <w:sz w:val="18"/>
                <w:szCs w:val="18"/>
                <w:highlight w:val="none"/>
              </w:rPr>
            </w:pPr>
          </w:p>
        </w:tc>
        <w:tc>
          <w:tcPr>
            <w:tcW w:w="2073" w:type="dxa"/>
            <w:vMerge w:val="continue"/>
            <w:shd w:val="clear" w:color="auto" w:fill="auto"/>
            <w:vAlign w:val="center"/>
          </w:tcPr>
          <w:p>
            <w:pPr>
              <w:jc w:val="center"/>
              <w:rPr>
                <w:sz w:val="18"/>
                <w:szCs w:val="18"/>
                <w:highlight w:val="none"/>
              </w:rPr>
            </w:pPr>
          </w:p>
        </w:tc>
        <w:tc>
          <w:tcPr>
            <w:tcW w:w="881" w:type="dxa"/>
            <w:vMerge w:val="continue"/>
            <w:shd w:val="clear" w:color="auto" w:fill="auto"/>
            <w:vAlign w:val="center"/>
          </w:tcPr>
          <w:p>
            <w:pPr>
              <w:jc w:val="center"/>
              <w:rPr>
                <w:sz w:val="18"/>
                <w:szCs w:val="18"/>
                <w:highlight w:val="none"/>
              </w:rPr>
            </w:pPr>
          </w:p>
        </w:tc>
        <w:tc>
          <w:tcPr>
            <w:tcW w:w="881" w:type="dxa"/>
            <w:vMerge w:val="continue"/>
            <w:shd w:val="clear" w:color="auto" w:fill="auto"/>
            <w:vAlign w:val="center"/>
          </w:tcPr>
          <w:p>
            <w:pPr>
              <w:jc w:val="center"/>
              <w:rPr>
                <w:sz w:val="18"/>
                <w:szCs w:val="18"/>
                <w:highlight w:val="none"/>
              </w:rPr>
            </w:pPr>
          </w:p>
        </w:tc>
        <w:tc>
          <w:tcPr>
            <w:tcW w:w="881" w:type="dxa"/>
            <w:vMerge w:val="continue"/>
            <w:shd w:val="clear" w:color="auto" w:fill="auto"/>
            <w:vAlign w:val="center"/>
          </w:tcPr>
          <w:p>
            <w:pPr>
              <w:jc w:val="center"/>
              <w:rPr>
                <w:sz w:val="18"/>
                <w:szCs w:val="18"/>
                <w:highlight w:val="none"/>
              </w:rPr>
            </w:pPr>
          </w:p>
        </w:tc>
        <w:tc>
          <w:tcPr>
            <w:tcW w:w="881" w:type="dxa"/>
            <w:vMerge w:val="continue"/>
            <w:shd w:val="clear" w:color="auto" w:fill="auto"/>
            <w:vAlign w:val="center"/>
          </w:tcPr>
          <w:p>
            <w:pPr>
              <w:jc w:val="center"/>
              <w:rPr>
                <w:sz w:val="18"/>
                <w:szCs w:val="18"/>
                <w:highlight w:val="none"/>
              </w:rPr>
            </w:pPr>
          </w:p>
        </w:tc>
        <w:tc>
          <w:tcPr>
            <w:tcW w:w="881" w:type="dxa"/>
            <w:vMerge w:val="continue"/>
            <w:shd w:val="clear" w:color="auto" w:fill="auto"/>
            <w:vAlign w:val="center"/>
          </w:tcPr>
          <w:p>
            <w:pPr>
              <w:jc w:val="center"/>
              <w:rPr>
                <w:sz w:val="18"/>
                <w:szCs w:val="18"/>
                <w:highlight w:val="none"/>
              </w:rPr>
            </w:pPr>
          </w:p>
        </w:tc>
        <w:tc>
          <w:tcPr>
            <w:tcW w:w="881" w:type="dxa"/>
            <w:vMerge w:val="continue"/>
            <w:shd w:val="clear" w:color="auto" w:fill="auto"/>
            <w:vAlign w:val="center"/>
          </w:tcPr>
          <w:p>
            <w:pPr>
              <w:jc w:val="center"/>
              <w:rPr>
                <w:sz w:val="18"/>
                <w:szCs w:val="18"/>
                <w:highlight w:val="none"/>
              </w:rPr>
            </w:pPr>
          </w:p>
        </w:tc>
        <w:tc>
          <w:tcPr>
            <w:tcW w:w="881" w:type="dxa"/>
            <w:vMerge w:val="continue"/>
            <w:shd w:val="clear" w:color="auto" w:fill="auto"/>
            <w:vAlign w:val="center"/>
          </w:tcPr>
          <w:p>
            <w:pPr>
              <w:jc w:val="center"/>
              <w:rPr>
                <w:sz w:val="18"/>
                <w:szCs w:val="18"/>
                <w:highlight w:val="none"/>
              </w:rPr>
            </w:pPr>
          </w:p>
        </w:tc>
        <w:tc>
          <w:tcPr>
            <w:tcW w:w="882" w:type="dxa"/>
            <w:vMerge w:val="continue"/>
            <w:shd w:val="clear" w:color="auto" w:fill="auto"/>
          </w:tcPr>
          <w:p>
            <w:pPr>
              <w:jc w:val="center"/>
              <w:rPr>
                <w:sz w:val="18"/>
                <w:szCs w:val="18"/>
                <w:highlight w:val="none"/>
              </w:rPr>
            </w:pPr>
          </w:p>
        </w:tc>
        <w:tc>
          <w:tcPr>
            <w:tcW w:w="783" w:type="dxa"/>
            <w:vMerge w:val="continue"/>
            <w:shd w:val="clear" w:color="auto" w:fill="auto"/>
            <w:vAlign w:val="center"/>
          </w:tcPr>
          <w:p>
            <w:pPr>
              <w:jc w:val="center"/>
              <w:rPr>
                <w:sz w:val="18"/>
                <w:szCs w:val="18"/>
                <w:highlight w:val="none"/>
              </w:rPr>
            </w:pPr>
          </w:p>
        </w:tc>
        <w:tc>
          <w:tcPr>
            <w:tcW w:w="981" w:type="dxa"/>
            <w:vMerge w:val="continue"/>
            <w:shd w:val="clear" w:color="auto" w:fill="auto"/>
          </w:tcPr>
          <w:p>
            <w:pPr>
              <w:jc w:val="center"/>
              <w:rPr>
                <w:sz w:val="18"/>
                <w:szCs w:val="18"/>
                <w:highlight w:val="none"/>
              </w:rPr>
            </w:pPr>
          </w:p>
        </w:tc>
        <w:tc>
          <w:tcPr>
            <w:tcW w:w="882" w:type="dxa"/>
            <w:vMerge w:val="continue"/>
            <w:shd w:val="clear" w:color="auto" w:fill="auto"/>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highlight w:val="none"/>
              </w:rPr>
            </w:pPr>
            <w:r>
              <w:rPr>
                <w:rFonts w:hint="default" w:ascii="宋体" w:hAnsi="宋体"/>
                <w:b/>
                <w:kern w:val="0"/>
                <w:sz w:val="13"/>
                <w:szCs w:val="13"/>
                <w:highlight w:val="none"/>
              </w:rPr>
              <w:t>215</w:t>
            </w:r>
          </w:p>
        </w:tc>
        <w:tc>
          <w:tcPr>
            <w:tcW w:w="260" w:type="dxa"/>
            <w:shd w:val="clear" w:color="auto" w:fill="auto"/>
            <w:vAlign w:val="center"/>
          </w:tcPr>
          <w:p>
            <w:pPr>
              <w:jc w:val="center"/>
              <w:rPr>
                <w:b/>
                <w:sz w:val="18"/>
                <w:szCs w:val="18"/>
                <w:highlight w:val="none"/>
              </w:rPr>
            </w:pPr>
          </w:p>
        </w:tc>
        <w:tc>
          <w:tcPr>
            <w:tcW w:w="331" w:type="dxa"/>
            <w:shd w:val="clear" w:color="auto" w:fill="auto"/>
            <w:vAlign w:val="center"/>
          </w:tcPr>
          <w:p>
            <w:pPr>
              <w:jc w:val="center"/>
              <w:rPr>
                <w:b/>
                <w:sz w:val="18"/>
                <w:szCs w:val="18"/>
                <w:highlight w:val="none"/>
              </w:rPr>
            </w:pPr>
          </w:p>
        </w:tc>
        <w:tc>
          <w:tcPr>
            <w:tcW w:w="2073" w:type="dxa"/>
            <w:shd w:val="clear" w:color="auto" w:fill="auto"/>
            <w:vAlign w:val="center"/>
          </w:tcPr>
          <w:p>
            <w:pPr>
              <w:jc w:val="left"/>
              <w:rPr>
                <w:b/>
                <w:sz w:val="18"/>
                <w:szCs w:val="18"/>
                <w:highlight w:val="none"/>
              </w:rPr>
            </w:pPr>
            <w:r>
              <w:rPr>
                <w:rFonts w:hint="default" w:ascii="宋体" w:hAnsi="宋体"/>
                <w:b/>
                <w:kern w:val="0"/>
                <w:sz w:val="13"/>
                <w:szCs w:val="13"/>
                <w:highlight w:val="none"/>
              </w:rPr>
              <w:t xml:space="preserve">  资源勘探工业信息等支出</w:t>
            </w:r>
          </w:p>
        </w:tc>
        <w:tc>
          <w:tcPr>
            <w:tcW w:w="2073" w:type="dxa"/>
            <w:shd w:val="clear" w:color="auto" w:fill="auto"/>
            <w:vAlign w:val="center"/>
          </w:tcPr>
          <w:p>
            <w:pPr>
              <w:jc w:val="left"/>
              <w:rPr>
                <w:b/>
                <w:sz w:val="18"/>
                <w:szCs w:val="18"/>
                <w:highlight w:val="none"/>
              </w:rPr>
            </w:pPr>
          </w:p>
        </w:tc>
        <w:tc>
          <w:tcPr>
            <w:tcW w:w="881"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56.60</w:t>
            </w: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r>
              <w:rPr>
                <w:rFonts w:hint="default" w:ascii="宋体" w:hAnsi="宋体"/>
                <w:b/>
                <w:kern w:val="0"/>
                <w:sz w:val="13"/>
                <w:szCs w:val="13"/>
                <w:highlight w:val="none"/>
              </w:rPr>
              <w:t>56.60</w:t>
            </w: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p>
        </w:tc>
        <w:tc>
          <w:tcPr>
            <w:tcW w:w="882" w:type="dxa"/>
            <w:shd w:val="clear" w:color="auto" w:fill="auto"/>
            <w:vAlign w:val="center"/>
          </w:tcPr>
          <w:p>
            <w:pPr>
              <w:jc w:val="right"/>
              <w:rPr>
                <w:b/>
                <w:sz w:val="18"/>
                <w:szCs w:val="18"/>
                <w:highlight w:val="none"/>
              </w:rPr>
            </w:pPr>
          </w:p>
        </w:tc>
        <w:tc>
          <w:tcPr>
            <w:tcW w:w="783" w:type="dxa"/>
            <w:shd w:val="clear" w:color="auto" w:fill="auto"/>
            <w:vAlign w:val="center"/>
          </w:tcPr>
          <w:p>
            <w:pPr>
              <w:jc w:val="right"/>
              <w:rPr>
                <w:b/>
                <w:sz w:val="18"/>
                <w:szCs w:val="18"/>
                <w:highlight w:val="none"/>
              </w:rPr>
            </w:pPr>
          </w:p>
        </w:tc>
        <w:tc>
          <w:tcPr>
            <w:tcW w:w="981" w:type="dxa"/>
            <w:shd w:val="clear" w:color="auto" w:fill="auto"/>
            <w:vAlign w:val="center"/>
          </w:tcPr>
          <w:p>
            <w:pPr>
              <w:jc w:val="right"/>
              <w:rPr>
                <w:b/>
                <w:sz w:val="18"/>
                <w:szCs w:val="18"/>
                <w:highlight w:val="none"/>
              </w:rPr>
            </w:pPr>
          </w:p>
        </w:tc>
        <w:tc>
          <w:tcPr>
            <w:tcW w:w="882"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highlight w:val="none"/>
              </w:rPr>
            </w:pPr>
            <w:r>
              <w:rPr>
                <w:rFonts w:hint="default" w:ascii="宋体" w:hAnsi="宋体"/>
                <w:b/>
                <w:kern w:val="0"/>
                <w:sz w:val="13"/>
                <w:szCs w:val="13"/>
                <w:highlight w:val="none"/>
              </w:rPr>
              <w:t>215</w:t>
            </w:r>
          </w:p>
        </w:tc>
        <w:tc>
          <w:tcPr>
            <w:tcW w:w="260" w:type="dxa"/>
            <w:shd w:val="clear" w:color="auto" w:fill="auto"/>
            <w:vAlign w:val="center"/>
          </w:tcPr>
          <w:p>
            <w:pPr>
              <w:jc w:val="center"/>
              <w:rPr>
                <w:b/>
                <w:sz w:val="18"/>
                <w:szCs w:val="18"/>
                <w:highlight w:val="none"/>
              </w:rPr>
            </w:pPr>
            <w:r>
              <w:rPr>
                <w:rFonts w:hint="default" w:ascii="宋体" w:hAnsi="宋体"/>
                <w:b/>
                <w:kern w:val="0"/>
                <w:sz w:val="13"/>
                <w:szCs w:val="13"/>
                <w:highlight w:val="none"/>
              </w:rPr>
              <w:t>05</w:t>
            </w:r>
          </w:p>
        </w:tc>
        <w:tc>
          <w:tcPr>
            <w:tcW w:w="331" w:type="dxa"/>
            <w:shd w:val="clear" w:color="auto" w:fill="auto"/>
            <w:vAlign w:val="center"/>
          </w:tcPr>
          <w:p>
            <w:pPr>
              <w:jc w:val="center"/>
              <w:rPr>
                <w:b/>
                <w:sz w:val="18"/>
                <w:szCs w:val="18"/>
                <w:highlight w:val="none"/>
              </w:rPr>
            </w:pPr>
          </w:p>
        </w:tc>
        <w:tc>
          <w:tcPr>
            <w:tcW w:w="2073" w:type="dxa"/>
            <w:shd w:val="clear" w:color="auto" w:fill="auto"/>
            <w:vAlign w:val="center"/>
          </w:tcPr>
          <w:p>
            <w:pPr>
              <w:jc w:val="left"/>
              <w:rPr>
                <w:b/>
                <w:sz w:val="18"/>
                <w:szCs w:val="18"/>
                <w:highlight w:val="none"/>
              </w:rPr>
            </w:pPr>
            <w:r>
              <w:rPr>
                <w:rFonts w:hint="default" w:ascii="宋体" w:hAnsi="宋体"/>
                <w:b/>
                <w:kern w:val="0"/>
                <w:sz w:val="13"/>
                <w:szCs w:val="13"/>
                <w:highlight w:val="none"/>
              </w:rPr>
              <w:t xml:space="preserve">    工业和信息产业</w:t>
            </w:r>
          </w:p>
        </w:tc>
        <w:tc>
          <w:tcPr>
            <w:tcW w:w="2073" w:type="dxa"/>
            <w:shd w:val="clear" w:color="auto" w:fill="auto"/>
            <w:vAlign w:val="center"/>
          </w:tcPr>
          <w:p>
            <w:pPr>
              <w:jc w:val="left"/>
              <w:rPr>
                <w:b/>
                <w:sz w:val="18"/>
                <w:szCs w:val="18"/>
                <w:highlight w:val="none"/>
              </w:rPr>
            </w:pPr>
          </w:p>
        </w:tc>
        <w:tc>
          <w:tcPr>
            <w:tcW w:w="881"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56.60</w:t>
            </w: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r>
              <w:rPr>
                <w:rFonts w:hint="default" w:ascii="宋体" w:hAnsi="宋体"/>
                <w:b/>
                <w:kern w:val="0"/>
                <w:sz w:val="13"/>
                <w:szCs w:val="13"/>
                <w:highlight w:val="none"/>
              </w:rPr>
              <w:t>56.60</w:t>
            </w: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p>
        </w:tc>
        <w:tc>
          <w:tcPr>
            <w:tcW w:w="882" w:type="dxa"/>
            <w:shd w:val="clear" w:color="auto" w:fill="auto"/>
            <w:vAlign w:val="center"/>
          </w:tcPr>
          <w:p>
            <w:pPr>
              <w:jc w:val="right"/>
              <w:rPr>
                <w:b/>
                <w:sz w:val="18"/>
                <w:szCs w:val="18"/>
                <w:highlight w:val="none"/>
              </w:rPr>
            </w:pPr>
          </w:p>
        </w:tc>
        <w:tc>
          <w:tcPr>
            <w:tcW w:w="783" w:type="dxa"/>
            <w:shd w:val="clear" w:color="auto" w:fill="auto"/>
            <w:vAlign w:val="center"/>
          </w:tcPr>
          <w:p>
            <w:pPr>
              <w:jc w:val="right"/>
              <w:rPr>
                <w:b/>
                <w:sz w:val="18"/>
                <w:szCs w:val="18"/>
                <w:highlight w:val="none"/>
              </w:rPr>
            </w:pPr>
          </w:p>
        </w:tc>
        <w:tc>
          <w:tcPr>
            <w:tcW w:w="981" w:type="dxa"/>
            <w:shd w:val="clear" w:color="auto" w:fill="auto"/>
            <w:vAlign w:val="center"/>
          </w:tcPr>
          <w:p>
            <w:pPr>
              <w:jc w:val="right"/>
              <w:rPr>
                <w:b/>
                <w:sz w:val="18"/>
                <w:szCs w:val="18"/>
                <w:highlight w:val="none"/>
              </w:rPr>
            </w:pPr>
          </w:p>
        </w:tc>
        <w:tc>
          <w:tcPr>
            <w:tcW w:w="882" w:type="dxa"/>
            <w:shd w:val="clear" w:color="auto" w:fill="auto"/>
            <w:vAlign w:val="center"/>
          </w:tcPr>
          <w:p>
            <w:pPr>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highlight w:val="none"/>
              </w:rPr>
            </w:pPr>
            <w:r>
              <w:rPr>
                <w:rFonts w:hint="default" w:ascii="宋体" w:hAnsi="宋体"/>
                <w:kern w:val="0"/>
                <w:sz w:val="13"/>
                <w:szCs w:val="13"/>
                <w:highlight w:val="none"/>
              </w:rPr>
              <w:t>215</w:t>
            </w:r>
          </w:p>
        </w:tc>
        <w:tc>
          <w:tcPr>
            <w:tcW w:w="260" w:type="dxa"/>
            <w:shd w:val="clear" w:color="auto" w:fill="auto"/>
            <w:vAlign w:val="center"/>
          </w:tcPr>
          <w:p>
            <w:pPr>
              <w:jc w:val="center"/>
              <w:rPr>
                <w:sz w:val="18"/>
                <w:szCs w:val="18"/>
                <w:highlight w:val="none"/>
              </w:rPr>
            </w:pPr>
            <w:r>
              <w:rPr>
                <w:rFonts w:hint="default" w:ascii="宋体" w:hAnsi="宋体"/>
                <w:kern w:val="0"/>
                <w:sz w:val="13"/>
                <w:szCs w:val="13"/>
                <w:highlight w:val="none"/>
              </w:rPr>
              <w:t>05</w:t>
            </w:r>
          </w:p>
        </w:tc>
        <w:tc>
          <w:tcPr>
            <w:tcW w:w="331" w:type="dxa"/>
            <w:shd w:val="clear" w:color="auto" w:fill="auto"/>
            <w:vAlign w:val="center"/>
          </w:tcPr>
          <w:p>
            <w:pPr>
              <w:jc w:val="center"/>
              <w:rPr>
                <w:sz w:val="18"/>
                <w:szCs w:val="18"/>
                <w:highlight w:val="none"/>
              </w:rPr>
            </w:pPr>
            <w:r>
              <w:rPr>
                <w:rFonts w:hint="default" w:ascii="宋体" w:hAnsi="宋体"/>
                <w:kern w:val="0"/>
                <w:sz w:val="13"/>
                <w:szCs w:val="13"/>
                <w:highlight w:val="none"/>
              </w:rPr>
              <w:t>08</w:t>
            </w:r>
          </w:p>
        </w:tc>
        <w:tc>
          <w:tcPr>
            <w:tcW w:w="2073" w:type="dxa"/>
            <w:shd w:val="clear" w:color="auto" w:fill="auto"/>
            <w:vAlign w:val="center"/>
          </w:tcPr>
          <w:p>
            <w:pPr>
              <w:jc w:val="left"/>
              <w:rPr>
                <w:sz w:val="18"/>
                <w:szCs w:val="18"/>
                <w:highlight w:val="none"/>
              </w:rPr>
            </w:pPr>
            <w:r>
              <w:rPr>
                <w:rFonts w:hint="default" w:ascii="宋体" w:hAnsi="宋体"/>
                <w:kern w:val="0"/>
                <w:sz w:val="13"/>
                <w:szCs w:val="13"/>
                <w:highlight w:val="none"/>
              </w:rPr>
              <w:t xml:space="preserve">      无线电及信息通信监管</w:t>
            </w:r>
          </w:p>
        </w:tc>
        <w:tc>
          <w:tcPr>
            <w:tcW w:w="2073" w:type="dxa"/>
            <w:shd w:val="clear" w:color="auto" w:fill="auto"/>
            <w:vAlign w:val="center"/>
          </w:tcPr>
          <w:p>
            <w:pPr>
              <w:jc w:val="left"/>
              <w:rPr>
                <w:sz w:val="18"/>
                <w:szCs w:val="18"/>
                <w:highlight w:val="none"/>
              </w:rPr>
            </w:pPr>
            <w:r>
              <w:rPr>
                <w:rFonts w:hint="default" w:ascii="宋体" w:hAnsi="宋体"/>
                <w:kern w:val="0"/>
                <w:sz w:val="13"/>
                <w:szCs w:val="13"/>
                <w:highlight w:val="none"/>
              </w:rPr>
              <w:t>2026年无线电管理经费</w:t>
            </w:r>
          </w:p>
        </w:tc>
        <w:tc>
          <w:tcPr>
            <w:tcW w:w="881"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56.60</w:t>
            </w:r>
          </w:p>
        </w:tc>
        <w:tc>
          <w:tcPr>
            <w:tcW w:w="881" w:type="dxa"/>
            <w:shd w:val="clear" w:color="auto" w:fill="auto"/>
            <w:vAlign w:val="center"/>
          </w:tcPr>
          <w:p>
            <w:pPr>
              <w:jc w:val="right"/>
              <w:rPr>
                <w:sz w:val="18"/>
                <w:szCs w:val="18"/>
                <w:highlight w:val="none"/>
              </w:rPr>
            </w:pPr>
          </w:p>
        </w:tc>
        <w:tc>
          <w:tcPr>
            <w:tcW w:w="881" w:type="dxa"/>
            <w:shd w:val="clear" w:color="auto" w:fill="auto"/>
            <w:vAlign w:val="center"/>
          </w:tcPr>
          <w:p>
            <w:pPr>
              <w:jc w:val="right"/>
              <w:rPr>
                <w:sz w:val="18"/>
                <w:szCs w:val="18"/>
                <w:highlight w:val="none"/>
              </w:rPr>
            </w:pPr>
            <w:r>
              <w:rPr>
                <w:rFonts w:hint="default" w:ascii="宋体" w:hAnsi="宋体"/>
                <w:kern w:val="0"/>
                <w:sz w:val="13"/>
                <w:szCs w:val="13"/>
                <w:highlight w:val="none"/>
              </w:rPr>
              <w:t>56.60</w:t>
            </w:r>
          </w:p>
        </w:tc>
        <w:tc>
          <w:tcPr>
            <w:tcW w:w="881" w:type="dxa"/>
            <w:shd w:val="clear" w:color="auto" w:fill="auto"/>
            <w:vAlign w:val="center"/>
          </w:tcPr>
          <w:p>
            <w:pPr>
              <w:jc w:val="right"/>
              <w:rPr>
                <w:sz w:val="18"/>
                <w:szCs w:val="18"/>
                <w:highlight w:val="none"/>
              </w:rPr>
            </w:pPr>
          </w:p>
        </w:tc>
        <w:tc>
          <w:tcPr>
            <w:tcW w:w="881" w:type="dxa"/>
            <w:shd w:val="clear" w:color="auto" w:fill="auto"/>
            <w:vAlign w:val="center"/>
          </w:tcPr>
          <w:p>
            <w:pPr>
              <w:jc w:val="right"/>
              <w:rPr>
                <w:sz w:val="18"/>
                <w:szCs w:val="18"/>
                <w:highlight w:val="none"/>
              </w:rPr>
            </w:pPr>
          </w:p>
        </w:tc>
        <w:tc>
          <w:tcPr>
            <w:tcW w:w="881" w:type="dxa"/>
            <w:shd w:val="clear" w:color="auto" w:fill="auto"/>
            <w:vAlign w:val="center"/>
          </w:tcPr>
          <w:p>
            <w:pPr>
              <w:jc w:val="right"/>
              <w:rPr>
                <w:sz w:val="18"/>
                <w:szCs w:val="18"/>
                <w:highlight w:val="none"/>
              </w:rPr>
            </w:pPr>
          </w:p>
        </w:tc>
        <w:tc>
          <w:tcPr>
            <w:tcW w:w="881" w:type="dxa"/>
            <w:shd w:val="clear" w:color="auto" w:fill="auto"/>
            <w:vAlign w:val="center"/>
          </w:tcPr>
          <w:p>
            <w:pPr>
              <w:jc w:val="right"/>
              <w:rPr>
                <w:sz w:val="18"/>
                <w:szCs w:val="18"/>
                <w:highlight w:val="none"/>
              </w:rPr>
            </w:pPr>
          </w:p>
        </w:tc>
        <w:tc>
          <w:tcPr>
            <w:tcW w:w="882" w:type="dxa"/>
            <w:shd w:val="clear" w:color="auto" w:fill="auto"/>
            <w:vAlign w:val="center"/>
          </w:tcPr>
          <w:p>
            <w:pPr>
              <w:jc w:val="right"/>
              <w:rPr>
                <w:sz w:val="18"/>
                <w:szCs w:val="18"/>
                <w:highlight w:val="none"/>
              </w:rPr>
            </w:pPr>
          </w:p>
        </w:tc>
        <w:tc>
          <w:tcPr>
            <w:tcW w:w="783" w:type="dxa"/>
            <w:shd w:val="clear" w:color="auto" w:fill="auto"/>
            <w:vAlign w:val="center"/>
          </w:tcPr>
          <w:p>
            <w:pPr>
              <w:jc w:val="right"/>
              <w:rPr>
                <w:sz w:val="18"/>
                <w:szCs w:val="18"/>
                <w:highlight w:val="none"/>
              </w:rPr>
            </w:pPr>
          </w:p>
        </w:tc>
        <w:tc>
          <w:tcPr>
            <w:tcW w:w="981" w:type="dxa"/>
            <w:shd w:val="clear" w:color="auto" w:fill="auto"/>
            <w:vAlign w:val="center"/>
          </w:tcPr>
          <w:p>
            <w:pPr>
              <w:jc w:val="right"/>
              <w:rPr>
                <w:sz w:val="18"/>
                <w:szCs w:val="18"/>
                <w:highlight w:val="none"/>
              </w:rPr>
            </w:pPr>
          </w:p>
        </w:tc>
        <w:tc>
          <w:tcPr>
            <w:tcW w:w="882"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highlight w:val="none"/>
              </w:rPr>
            </w:pPr>
          </w:p>
        </w:tc>
        <w:tc>
          <w:tcPr>
            <w:tcW w:w="260" w:type="dxa"/>
            <w:shd w:val="clear" w:color="auto" w:fill="auto"/>
            <w:vAlign w:val="center"/>
          </w:tcPr>
          <w:p>
            <w:pPr>
              <w:jc w:val="center"/>
              <w:rPr>
                <w:b/>
                <w:sz w:val="18"/>
                <w:szCs w:val="18"/>
                <w:highlight w:val="none"/>
              </w:rPr>
            </w:pPr>
          </w:p>
        </w:tc>
        <w:tc>
          <w:tcPr>
            <w:tcW w:w="331" w:type="dxa"/>
            <w:shd w:val="clear" w:color="auto" w:fill="auto"/>
            <w:vAlign w:val="center"/>
          </w:tcPr>
          <w:p>
            <w:pPr>
              <w:jc w:val="center"/>
              <w:rPr>
                <w:b/>
                <w:sz w:val="18"/>
                <w:szCs w:val="18"/>
                <w:highlight w:val="none"/>
              </w:rPr>
            </w:pPr>
          </w:p>
        </w:tc>
        <w:tc>
          <w:tcPr>
            <w:tcW w:w="2073" w:type="dxa"/>
            <w:shd w:val="clear" w:color="auto" w:fill="auto"/>
            <w:vAlign w:val="center"/>
          </w:tcPr>
          <w:p>
            <w:pPr>
              <w:jc w:val="center"/>
              <w:rPr>
                <w:b/>
                <w:sz w:val="18"/>
                <w:szCs w:val="18"/>
                <w:highlight w:val="none"/>
              </w:rPr>
            </w:pPr>
            <w:r>
              <w:rPr>
                <w:rFonts w:hint="default" w:ascii="宋体" w:hAnsi="宋体"/>
                <w:b/>
                <w:kern w:val="0"/>
                <w:sz w:val="13"/>
                <w:szCs w:val="13"/>
                <w:highlight w:val="none"/>
              </w:rPr>
              <w:t>总计</w:t>
            </w:r>
          </w:p>
        </w:tc>
        <w:tc>
          <w:tcPr>
            <w:tcW w:w="2073" w:type="dxa"/>
            <w:shd w:val="clear" w:color="auto" w:fill="auto"/>
            <w:vAlign w:val="center"/>
          </w:tcPr>
          <w:p>
            <w:pPr>
              <w:jc w:val="left"/>
              <w:rPr>
                <w:b/>
                <w:sz w:val="18"/>
                <w:szCs w:val="18"/>
                <w:highlight w:val="none"/>
              </w:rPr>
            </w:pPr>
          </w:p>
        </w:tc>
        <w:tc>
          <w:tcPr>
            <w:tcW w:w="881"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56.60</w:t>
            </w: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r>
              <w:rPr>
                <w:rFonts w:hint="default" w:ascii="宋体" w:hAnsi="宋体"/>
                <w:b/>
                <w:kern w:val="0"/>
                <w:sz w:val="13"/>
                <w:szCs w:val="13"/>
                <w:highlight w:val="none"/>
              </w:rPr>
              <w:t>56.60</w:t>
            </w: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p>
        </w:tc>
        <w:tc>
          <w:tcPr>
            <w:tcW w:w="881" w:type="dxa"/>
            <w:shd w:val="clear" w:color="auto" w:fill="auto"/>
            <w:vAlign w:val="center"/>
          </w:tcPr>
          <w:p>
            <w:pPr>
              <w:jc w:val="right"/>
              <w:rPr>
                <w:b/>
                <w:sz w:val="18"/>
                <w:szCs w:val="18"/>
                <w:highlight w:val="none"/>
              </w:rPr>
            </w:pPr>
          </w:p>
        </w:tc>
        <w:tc>
          <w:tcPr>
            <w:tcW w:w="882" w:type="dxa"/>
            <w:shd w:val="clear" w:color="auto" w:fill="auto"/>
            <w:vAlign w:val="center"/>
          </w:tcPr>
          <w:p>
            <w:pPr>
              <w:jc w:val="right"/>
              <w:rPr>
                <w:b/>
                <w:sz w:val="18"/>
                <w:szCs w:val="18"/>
                <w:highlight w:val="none"/>
              </w:rPr>
            </w:pPr>
          </w:p>
        </w:tc>
        <w:tc>
          <w:tcPr>
            <w:tcW w:w="783" w:type="dxa"/>
            <w:shd w:val="clear" w:color="auto" w:fill="auto"/>
            <w:vAlign w:val="center"/>
          </w:tcPr>
          <w:p>
            <w:pPr>
              <w:jc w:val="right"/>
              <w:rPr>
                <w:b/>
                <w:sz w:val="18"/>
                <w:szCs w:val="18"/>
                <w:highlight w:val="none"/>
              </w:rPr>
            </w:pPr>
          </w:p>
        </w:tc>
        <w:tc>
          <w:tcPr>
            <w:tcW w:w="981" w:type="dxa"/>
            <w:shd w:val="clear" w:color="auto" w:fill="auto"/>
            <w:vAlign w:val="center"/>
          </w:tcPr>
          <w:p>
            <w:pPr>
              <w:jc w:val="right"/>
              <w:rPr>
                <w:b/>
                <w:sz w:val="18"/>
                <w:szCs w:val="18"/>
                <w:highlight w:val="none"/>
              </w:rPr>
            </w:pPr>
          </w:p>
        </w:tc>
        <w:tc>
          <w:tcPr>
            <w:tcW w:w="882" w:type="dxa"/>
            <w:shd w:val="clear" w:color="auto" w:fill="auto"/>
            <w:vAlign w:val="center"/>
          </w:tcPr>
          <w:p>
            <w:pPr>
              <w:jc w:val="right"/>
              <w:rPr>
                <w:b/>
                <w:sz w:val="18"/>
                <w:szCs w:val="18"/>
                <w:highlight w:val="none"/>
              </w:rPr>
            </w:pPr>
          </w:p>
        </w:tc>
      </w:tr>
    </w:tbl>
    <w:p>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表8</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政府性基金预算支出情况表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编制单位：巴音郭楞蒙古自治州无线电管理中心</w:t>
            </w:r>
          </w:p>
        </w:tc>
        <w:tc>
          <w:tcPr>
            <w:tcW w:w="1918"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highlight w:val="none"/>
              </w:rPr>
            </w:pPr>
            <w:r>
              <w:rPr>
                <w:rFonts w:hint="eastAsia"/>
                <w:sz w:val="18"/>
                <w:szCs w:val="18"/>
                <w:highlight w:val="none"/>
              </w:rPr>
              <w:t>科目</w:t>
            </w:r>
          </w:p>
        </w:tc>
        <w:tc>
          <w:tcPr>
            <w:tcW w:w="5670" w:type="dxa"/>
            <w:gridSpan w:val="5"/>
            <w:shd w:val="clear" w:color="auto" w:fill="auto"/>
            <w:vAlign w:val="center"/>
          </w:tcPr>
          <w:p>
            <w:pPr>
              <w:jc w:val="center"/>
              <w:rPr>
                <w:sz w:val="18"/>
                <w:szCs w:val="18"/>
                <w:highlight w:val="none"/>
              </w:rPr>
            </w:pPr>
            <w:r>
              <w:rPr>
                <w:rFonts w:hint="eastAsia"/>
                <w:sz w:val="18"/>
                <w:szCs w:val="18"/>
                <w:highlight w:val="none"/>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2551"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418"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2835" w:type="dxa"/>
            <w:gridSpan w:val="3"/>
            <w:shd w:val="clear" w:color="auto" w:fill="auto"/>
            <w:vAlign w:val="center"/>
          </w:tcPr>
          <w:p>
            <w:pPr>
              <w:jc w:val="center"/>
              <w:rPr>
                <w:sz w:val="18"/>
                <w:szCs w:val="18"/>
                <w:highlight w:val="none"/>
              </w:rPr>
            </w:pPr>
            <w:r>
              <w:rPr>
                <w:rFonts w:hint="eastAsia"/>
                <w:sz w:val="18"/>
                <w:szCs w:val="18"/>
                <w:highlight w:val="none"/>
              </w:rPr>
              <w:t>基本支出</w:t>
            </w:r>
          </w:p>
        </w:tc>
        <w:tc>
          <w:tcPr>
            <w:tcW w:w="141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567" w:type="dxa"/>
            <w:shd w:val="clear" w:color="auto" w:fill="auto"/>
            <w:vAlign w:val="center"/>
          </w:tcPr>
          <w:p>
            <w:pPr>
              <w:jc w:val="center"/>
              <w:rPr>
                <w:sz w:val="18"/>
                <w:szCs w:val="18"/>
                <w:highlight w:val="none"/>
              </w:rPr>
            </w:pPr>
            <w:r>
              <w:rPr>
                <w:rFonts w:hint="eastAsia"/>
                <w:sz w:val="18"/>
                <w:szCs w:val="18"/>
                <w:highlight w:val="none"/>
              </w:rPr>
              <w:t>项</w:t>
            </w:r>
          </w:p>
        </w:tc>
        <w:tc>
          <w:tcPr>
            <w:tcW w:w="2551" w:type="dxa"/>
            <w:vMerge w:val="continue"/>
            <w:shd w:val="clear" w:color="auto" w:fill="auto"/>
            <w:vAlign w:val="center"/>
          </w:tcPr>
          <w:p>
            <w:pPr>
              <w:jc w:val="center"/>
              <w:rPr>
                <w:sz w:val="18"/>
                <w:szCs w:val="18"/>
                <w:highlight w:val="none"/>
              </w:rPr>
            </w:pPr>
          </w:p>
        </w:tc>
        <w:tc>
          <w:tcPr>
            <w:tcW w:w="1418" w:type="dxa"/>
            <w:vMerge w:val="continue"/>
            <w:shd w:val="clear" w:color="auto" w:fill="auto"/>
            <w:vAlign w:val="center"/>
          </w:tcPr>
          <w:p>
            <w:pPr>
              <w:jc w:val="center"/>
              <w:rPr>
                <w:sz w:val="18"/>
                <w:szCs w:val="18"/>
                <w:highlight w:val="none"/>
              </w:rPr>
            </w:pPr>
          </w:p>
        </w:tc>
        <w:tc>
          <w:tcPr>
            <w:tcW w:w="1417" w:type="dxa"/>
            <w:shd w:val="clear" w:color="auto" w:fill="auto"/>
            <w:vAlign w:val="center"/>
          </w:tcPr>
          <w:p>
            <w:pPr>
              <w:jc w:val="center"/>
              <w:rPr>
                <w:sz w:val="18"/>
                <w:szCs w:val="18"/>
                <w:highlight w:val="none"/>
              </w:rPr>
            </w:pPr>
            <w:r>
              <w:rPr>
                <w:rFonts w:hint="eastAsia"/>
                <w:sz w:val="18"/>
                <w:szCs w:val="18"/>
                <w:highlight w:val="none"/>
              </w:rPr>
              <w:t>人员经费</w:t>
            </w:r>
          </w:p>
        </w:tc>
        <w:tc>
          <w:tcPr>
            <w:tcW w:w="1418" w:type="dxa"/>
            <w:gridSpan w:val="2"/>
            <w:shd w:val="clear" w:color="auto" w:fill="auto"/>
            <w:vAlign w:val="center"/>
          </w:tcPr>
          <w:p>
            <w:pPr>
              <w:jc w:val="center"/>
              <w:rPr>
                <w:sz w:val="18"/>
                <w:szCs w:val="18"/>
                <w:highlight w:val="none"/>
              </w:rPr>
            </w:pPr>
            <w:r>
              <w:rPr>
                <w:rFonts w:hint="eastAsia"/>
                <w:sz w:val="18"/>
                <w:szCs w:val="18"/>
                <w:highlight w:val="none"/>
              </w:rPr>
              <w:t>公用经费</w:t>
            </w:r>
          </w:p>
        </w:tc>
        <w:tc>
          <w:tcPr>
            <w:tcW w:w="141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2551" w:type="dxa"/>
            <w:shd w:val="clear" w:color="auto" w:fill="auto"/>
            <w:vAlign w:val="center"/>
          </w:tcPr>
          <w:p>
            <w:pPr>
              <w:jc w:val="center"/>
              <w:rPr>
                <w:b/>
                <w:sz w:val="18"/>
                <w:szCs w:val="18"/>
                <w:highlight w:val="none"/>
              </w:rPr>
            </w:pPr>
            <w:r>
              <w:rPr>
                <w:rFonts w:hint="default" w:ascii="宋体" w:hAnsi="宋体"/>
                <w:b/>
                <w:kern w:val="0"/>
                <w:sz w:val="18"/>
                <w:szCs w:val="18"/>
                <w:highlight w:val="none"/>
              </w:rPr>
              <w:t>总计</w:t>
            </w:r>
          </w:p>
        </w:tc>
        <w:tc>
          <w:tcPr>
            <w:tcW w:w="1418" w:type="dxa"/>
            <w:shd w:val="clear" w:color="auto" w:fill="auto"/>
            <w:vAlign w:val="center"/>
          </w:tcPr>
          <w:p>
            <w:pPr>
              <w:jc w:val="right"/>
              <w:rPr>
                <w:b/>
                <w:sz w:val="18"/>
                <w:szCs w:val="18"/>
                <w:highlight w:val="none"/>
              </w:rPr>
            </w:pPr>
          </w:p>
        </w:tc>
        <w:tc>
          <w:tcPr>
            <w:tcW w:w="1417" w:type="dxa"/>
            <w:shd w:val="clear" w:color="auto" w:fill="auto"/>
            <w:vAlign w:val="center"/>
          </w:tcPr>
          <w:p>
            <w:pPr>
              <w:jc w:val="right"/>
              <w:rPr>
                <w:b/>
                <w:sz w:val="18"/>
                <w:szCs w:val="18"/>
                <w:highlight w:val="none"/>
              </w:rPr>
            </w:pPr>
          </w:p>
        </w:tc>
        <w:tc>
          <w:tcPr>
            <w:tcW w:w="1418" w:type="dxa"/>
            <w:gridSpan w:val="2"/>
            <w:shd w:val="clear" w:color="auto" w:fill="auto"/>
            <w:vAlign w:val="center"/>
          </w:tcPr>
          <w:p>
            <w:pPr>
              <w:jc w:val="right"/>
              <w:rPr>
                <w:b/>
                <w:sz w:val="18"/>
                <w:szCs w:val="18"/>
                <w:highlight w:val="none"/>
              </w:rPr>
            </w:pPr>
          </w:p>
        </w:tc>
        <w:tc>
          <w:tcPr>
            <w:tcW w:w="1417" w:type="dxa"/>
            <w:shd w:val="clear" w:color="auto" w:fill="auto"/>
            <w:vAlign w:val="center"/>
          </w:tcPr>
          <w:p>
            <w:pPr>
              <w:jc w:val="right"/>
              <w:rPr>
                <w:b/>
                <w:sz w:val="18"/>
                <w:szCs w:val="18"/>
                <w:highlight w:val="none"/>
              </w:rPr>
            </w:pPr>
          </w:p>
        </w:tc>
      </w:tr>
    </w:tbl>
    <w:p>
      <w:pPr>
        <w:widowControl/>
        <w:jc w:val="left"/>
        <w:rPr>
          <w:rFonts w:hint="default" w:ascii="仿宋" w:eastAsia="仿宋"/>
          <w:b/>
          <w:color w:val="000000"/>
          <w:szCs w:val="21"/>
          <w:highlight w:val="none"/>
        </w:rPr>
      </w:pPr>
      <w:r>
        <w:rPr>
          <w:rFonts w:hint="eastAsia" w:ascii="仿宋" w:eastAsia="仿宋"/>
          <w:b/>
          <w:color w:val="000000"/>
          <w:szCs w:val="21"/>
          <w:highlight w:val="none"/>
        </w:rPr>
        <w:t>巴音郭楞蒙古自治州无线电管理中心2026年没有使用政府性基金预算拨款安排的支出，政府性基金预算支出情况表为空表。</w:t>
      </w:r>
    </w:p>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表9</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国有资本经营预算支出情况表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highlight w:val="none"/>
              </w:rPr>
            </w:pPr>
            <w:r>
              <w:rPr>
                <w:rFonts w:hint="eastAsia"/>
                <w:color w:val="000000"/>
                <w:sz w:val="18"/>
                <w:szCs w:val="18"/>
                <w:highlight w:val="none"/>
              </w:rPr>
              <w:t>编制单位：巴音郭楞蒙古自治州无线电管理中心</w:t>
            </w:r>
          </w:p>
        </w:tc>
        <w:tc>
          <w:tcPr>
            <w:tcW w:w="1918" w:type="dxa"/>
            <w:gridSpan w:val="2"/>
            <w:tcBorders>
              <w:top w:val="nil"/>
              <w:left w:val="nil"/>
              <w:right w:val="nil"/>
            </w:tcBorders>
            <w:shd w:val="clear" w:color="auto" w:fill="auto"/>
            <w:vAlign w:val="center"/>
          </w:tcPr>
          <w:p>
            <w:pPr>
              <w:jc w:val="right"/>
              <w:rPr>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highlight w:val="none"/>
              </w:rPr>
            </w:pPr>
            <w:r>
              <w:rPr>
                <w:rFonts w:hint="eastAsia"/>
                <w:sz w:val="18"/>
                <w:szCs w:val="18"/>
                <w:highlight w:val="none"/>
              </w:rPr>
              <w:t>科目</w:t>
            </w:r>
          </w:p>
        </w:tc>
        <w:tc>
          <w:tcPr>
            <w:tcW w:w="5670" w:type="dxa"/>
            <w:gridSpan w:val="5"/>
            <w:shd w:val="clear" w:color="auto" w:fill="auto"/>
            <w:vAlign w:val="center"/>
          </w:tcPr>
          <w:p>
            <w:pPr>
              <w:jc w:val="center"/>
              <w:rPr>
                <w:sz w:val="18"/>
                <w:szCs w:val="18"/>
                <w:highlight w:val="none"/>
              </w:rPr>
            </w:pPr>
            <w:r>
              <w:rPr>
                <w:rFonts w:hint="eastAsia"/>
                <w:sz w:val="18"/>
                <w:szCs w:val="18"/>
                <w:highlight w:val="none"/>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highlight w:val="none"/>
              </w:rPr>
            </w:pPr>
            <w:r>
              <w:rPr>
                <w:rFonts w:hint="eastAsia"/>
                <w:sz w:val="18"/>
                <w:szCs w:val="18"/>
                <w:highlight w:val="none"/>
              </w:rPr>
              <w:t>科目代码</w:t>
            </w:r>
          </w:p>
        </w:tc>
        <w:tc>
          <w:tcPr>
            <w:tcW w:w="2551" w:type="dxa"/>
            <w:vMerge w:val="restart"/>
            <w:shd w:val="clear" w:color="auto" w:fill="auto"/>
            <w:vAlign w:val="center"/>
          </w:tcPr>
          <w:p>
            <w:pPr>
              <w:jc w:val="center"/>
              <w:rPr>
                <w:sz w:val="18"/>
                <w:szCs w:val="18"/>
                <w:highlight w:val="none"/>
              </w:rPr>
            </w:pPr>
            <w:r>
              <w:rPr>
                <w:rFonts w:hint="eastAsia"/>
                <w:sz w:val="18"/>
                <w:szCs w:val="18"/>
                <w:highlight w:val="none"/>
              </w:rPr>
              <w:t>科目名称</w:t>
            </w:r>
          </w:p>
        </w:tc>
        <w:tc>
          <w:tcPr>
            <w:tcW w:w="1418"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2835" w:type="dxa"/>
            <w:gridSpan w:val="3"/>
            <w:shd w:val="clear" w:color="auto" w:fill="auto"/>
            <w:vAlign w:val="center"/>
          </w:tcPr>
          <w:p>
            <w:pPr>
              <w:jc w:val="center"/>
              <w:rPr>
                <w:sz w:val="18"/>
                <w:szCs w:val="18"/>
                <w:highlight w:val="none"/>
              </w:rPr>
            </w:pPr>
            <w:r>
              <w:rPr>
                <w:rFonts w:hint="eastAsia"/>
                <w:sz w:val="18"/>
                <w:szCs w:val="18"/>
                <w:highlight w:val="none"/>
              </w:rPr>
              <w:t>基本支出</w:t>
            </w:r>
          </w:p>
        </w:tc>
        <w:tc>
          <w:tcPr>
            <w:tcW w:w="141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highlight w:val="none"/>
              </w:rPr>
            </w:pPr>
            <w:r>
              <w:rPr>
                <w:rFonts w:hint="eastAsia"/>
                <w:sz w:val="18"/>
                <w:szCs w:val="18"/>
                <w:highlight w:val="none"/>
              </w:rPr>
              <w:t>类</w:t>
            </w:r>
          </w:p>
        </w:tc>
        <w:tc>
          <w:tcPr>
            <w:tcW w:w="567" w:type="dxa"/>
            <w:shd w:val="clear" w:color="auto" w:fill="auto"/>
            <w:vAlign w:val="center"/>
          </w:tcPr>
          <w:p>
            <w:pPr>
              <w:jc w:val="center"/>
              <w:rPr>
                <w:sz w:val="18"/>
                <w:szCs w:val="18"/>
                <w:highlight w:val="none"/>
              </w:rPr>
            </w:pPr>
            <w:r>
              <w:rPr>
                <w:rFonts w:hint="eastAsia"/>
                <w:sz w:val="18"/>
                <w:szCs w:val="18"/>
                <w:highlight w:val="none"/>
              </w:rPr>
              <w:t>款</w:t>
            </w:r>
          </w:p>
        </w:tc>
        <w:tc>
          <w:tcPr>
            <w:tcW w:w="567" w:type="dxa"/>
            <w:shd w:val="clear" w:color="auto" w:fill="auto"/>
            <w:vAlign w:val="center"/>
          </w:tcPr>
          <w:p>
            <w:pPr>
              <w:jc w:val="center"/>
              <w:rPr>
                <w:sz w:val="18"/>
                <w:szCs w:val="18"/>
                <w:highlight w:val="none"/>
              </w:rPr>
            </w:pPr>
            <w:r>
              <w:rPr>
                <w:rFonts w:hint="eastAsia"/>
                <w:sz w:val="18"/>
                <w:szCs w:val="18"/>
                <w:highlight w:val="none"/>
              </w:rPr>
              <w:t>项</w:t>
            </w:r>
          </w:p>
        </w:tc>
        <w:tc>
          <w:tcPr>
            <w:tcW w:w="2551" w:type="dxa"/>
            <w:vMerge w:val="continue"/>
            <w:shd w:val="clear" w:color="auto" w:fill="auto"/>
            <w:vAlign w:val="center"/>
          </w:tcPr>
          <w:p>
            <w:pPr>
              <w:jc w:val="center"/>
              <w:rPr>
                <w:sz w:val="18"/>
                <w:szCs w:val="18"/>
                <w:highlight w:val="none"/>
              </w:rPr>
            </w:pPr>
          </w:p>
        </w:tc>
        <w:tc>
          <w:tcPr>
            <w:tcW w:w="1418" w:type="dxa"/>
            <w:vMerge w:val="continue"/>
            <w:shd w:val="clear" w:color="auto" w:fill="auto"/>
            <w:vAlign w:val="center"/>
          </w:tcPr>
          <w:p>
            <w:pPr>
              <w:jc w:val="center"/>
              <w:rPr>
                <w:sz w:val="18"/>
                <w:szCs w:val="18"/>
                <w:highlight w:val="none"/>
              </w:rPr>
            </w:pPr>
          </w:p>
        </w:tc>
        <w:tc>
          <w:tcPr>
            <w:tcW w:w="1417" w:type="dxa"/>
            <w:shd w:val="clear" w:color="auto" w:fill="auto"/>
            <w:vAlign w:val="center"/>
          </w:tcPr>
          <w:p>
            <w:pPr>
              <w:jc w:val="center"/>
              <w:rPr>
                <w:sz w:val="18"/>
                <w:szCs w:val="18"/>
                <w:highlight w:val="none"/>
              </w:rPr>
            </w:pPr>
            <w:r>
              <w:rPr>
                <w:rFonts w:hint="eastAsia"/>
                <w:sz w:val="18"/>
                <w:szCs w:val="18"/>
                <w:highlight w:val="none"/>
              </w:rPr>
              <w:t>人员经费</w:t>
            </w:r>
          </w:p>
        </w:tc>
        <w:tc>
          <w:tcPr>
            <w:tcW w:w="1418" w:type="dxa"/>
            <w:gridSpan w:val="2"/>
            <w:shd w:val="clear" w:color="auto" w:fill="auto"/>
            <w:vAlign w:val="center"/>
          </w:tcPr>
          <w:p>
            <w:pPr>
              <w:jc w:val="center"/>
              <w:rPr>
                <w:sz w:val="18"/>
                <w:szCs w:val="18"/>
                <w:highlight w:val="none"/>
              </w:rPr>
            </w:pPr>
            <w:r>
              <w:rPr>
                <w:rFonts w:hint="eastAsia"/>
                <w:sz w:val="18"/>
                <w:szCs w:val="18"/>
                <w:highlight w:val="none"/>
              </w:rPr>
              <w:t>公用经费</w:t>
            </w:r>
          </w:p>
        </w:tc>
        <w:tc>
          <w:tcPr>
            <w:tcW w:w="141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567" w:type="dxa"/>
            <w:shd w:val="clear" w:color="auto" w:fill="auto"/>
            <w:vAlign w:val="center"/>
          </w:tcPr>
          <w:p>
            <w:pPr>
              <w:jc w:val="center"/>
              <w:rPr>
                <w:sz w:val="18"/>
                <w:szCs w:val="18"/>
                <w:highlight w:val="none"/>
              </w:rPr>
            </w:pPr>
          </w:p>
        </w:tc>
        <w:tc>
          <w:tcPr>
            <w:tcW w:w="2551" w:type="dxa"/>
            <w:shd w:val="clear" w:color="auto" w:fill="auto"/>
            <w:vAlign w:val="center"/>
          </w:tcPr>
          <w:p>
            <w:pPr>
              <w:jc w:val="left"/>
              <w:rPr>
                <w:sz w:val="18"/>
                <w:szCs w:val="18"/>
                <w:highlight w:val="none"/>
              </w:rPr>
            </w:pPr>
          </w:p>
        </w:tc>
        <w:tc>
          <w:tcPr>
            <w:tcW w:w="1418" w:type="dxa"/>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c>
          <w:tcPr>
            <w:tcW w:w="1418" w:type="dxa"/>
            <w:gridSpan w:val="2"/>
            <w:shd w:val="clear" w:color="auto" w:fill="auto"/>
            <w:vAlign w:val="center"/>
          </w:tcPr>
          <w:p>
            <w:pPr>
              <w:jc w:val="right"/>
              <w:rPr>
                <w:sz w:val="18"/>
                <w:szCs w:val="18"/>
                <w:highlight w:val="none"/>
              </w:rPr>
            </w:pPr>
          </w:p>
        </w:tc>
        <w:tc>
          <w:tcPr>
            <w:tcW w:w="1417" w:type="dxa"/>
            <w:shd w:val="clear" w:color="auto" w:fill="auto"/>
            <w:vAlign w:val="center"/>
          </w:tcPr>
          <w:p>
            <w:pPr>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567" w:type="dxa"/>
            <w:shd w:val="clear" w:color="auto" w:fill="auto"/>
            <w:vAlign w:val="center"/>
          </w:tcPr>
          <w:p>
            <w:pPr>
              <w:jc w:val="center"/>
              <w:rPr>
                <w:b/>
                <w:sz w:val="18"/>
                <w:szCs w:val="18"/>
                <w:highlight w:val="none"/>
              </w:rPr>
            </w:pPr>
          </w:p>
        </w:tc>
        <w:tc>
          <w:tcPr>
            <w:tcW w:w="2551" w:type="dxa"/>
            <w:shd w:val="clear" w:color="auto" w:fill="auto"/>
            <w:vAlign w:val="center"/>
          </w:tcPr>
          <w:p>
            <w:pPr>
              <w:jc w:val="center"/>
              <w:rPr>
                <w:b/>
                <w:sz w:val="18"/>
                <w:szCs w:val="18"/>
                <w:highlight w:val="none"/>
              </w:rPr>
            </w:pPr>
            <w:r>
              <w:rPr>
                <w:rFonts w:hint="default" w:ascii="宋体" w:hAnsi="宋体"/>
                <w:b/>
                <w:kern w:val="0"/>
                <w:sz w:val="18"/>
                <w:szCs w:val="18"/>
                <w:highlight w:val="none"/>
              </w:rPr>
              <w:t>总计</w:t>
            </w:r>
          </w:p>
        </w:tc>
        <w:tc>
          <w:tcPr>
            <w:tcW w:w="1418" w:type="dxa"/>
            <w:shd w:val="clear" w:color="auto" w:fill="auto"/>
            <w:vAlign w:val="center"/>
          </w:tcPr>
          <w:p>
            <w:pPr>
              <w:jc w:val="right"/>
              <w:rPr>
                <w:b/>
                <w:sz w:val="18"/>
                <w:szCs w:val="18"/>
                <w:highlight w:val="none"/>
              </w:rPr>
            </w:pPr>
          </w:p>
        </w:tc>
        <w:tc>
          <w:tcPr>
            <w:tcW w:w="1417" w:type="dxa"/>
            <w:shd w:val="clear" w:color="auto" w:fill="auto"/>
            <w:vAlign w:val="center"/>
          </w:tcPr>
          <w:p>
            <w:pPr>
              <w:jc w:val="right"/>
              <w:rPr>
                <w:b/>
                <w:sz w:val="18"/>
                <w:szCs w:val="18"/>
                <w:highlight w:val="none"/>
              </w:rPr>
            </w:pPr>
          </w:p>
        </w:tc>
        <w:tc>
          <w:tcPr>
            <w:tcW w:w="1418" w:type="dxa"/>
            <w:gridSpan w:val="2"/>
            <w:shd w:val="clear" w:color="auto" w:fill="auto"/>
            <w:vAlign w:val="center"/>
          </w:tcPr>
          <w:p>
            <w:pPr>
              <w:jc w:val="right"/>
              <w:rPr>
                <w:b/>
                <w:sz w:val="18"/>
                <w:szCs w:val="18"/>
                <w:highlight w:val="none"/>
              </w:rPr>
            </w:pPr>
          </w:p>
        </w:tc>
        <w:tc>
          <w:tcPr>
            <w:tcW w:w="1417" w:type="dxa"/>
            <w:shd w:val="clear" w:color="auto" w:fill="auto"/>
            <w:vAlign w:val="center"/>
          </w:tcPr>
          <w:p>
            <w:pPr>
              <w:jc w:val="right"/>
              <w:rPr>
                <w:b/>
                <w:sz w:val="18"/>
                <w:szCs w:val="18"/>
                <w:highlight w:val="none"/>
              </w:rPr>
            </w:pPr>
          </w:p>
        </w:tc>
      </w:tr>
    </w:tbl>
    <w:p>
      <w:pPr>
        <w:widowControl/>
        <w:jc w:val="left"/>
        <w:rPr>
          <w:rFonts w:hint="default" w:ascii="仿宋" w:eastAsia="仿宋"/>
          <w:b/>
          <w:color w:val="000000"/>
          <w:szCs w:val="21"/>
          <w:highlight w:val="none"/>
        </w:rPr>
      </w:pPr>
      <w:r>
        <w:rPr>
          <w:rFonts w:hint="eastAsia" w:ascii="仿宋" w:eastAsia="仿宋"/>
          <w:b/>
          <w:color w:val="000000"/>
          <w:szCs w:val="21"/>
          <w:highlight w:val="none"/>
        </w:rPr>
        <w:t>巴音郭楞蒙古自治州无线电管理中心2026年没有使用国有资本经营预算拨款安排的支出，国有资本经营预算支出情况表为空表。</w:t>
      </w:r>
    </w:p>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表10</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财政拨款“三公”经费支出情况表</w:t>
      </w:r>
    </w:p>
    <w:tbl>
      <w:tblPr>
        <w:tblStyle w:val="8"/>
        <w:tblW w:w="9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4163"/>
        <w:gridCol w:w="1396"/>
        <w:gridCol w:w="1396"/>
        <w:gridCol w:w="136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64" w:hRule="atLeast"/>
          <w:tblHeader/>
          <w:jc w:val="center"/>
        </w:trPr>
        <w:tc>
          <w:tcPr>
            <w:tcW w:w="8318" w:type="dxa"/>
            <w:gridSpan w:val="4"/>
            <w:tcBorders>
              <w:top w:val="nil"/>
              <w:left w:val="nil"/>
              <w:right w:val="nil"/>
            </w:tcBorders>
            <w:shd w:val="clear" w:color="auto" w:fill="auto"/>
            <w:vAlign w:val="center"/>
          </w:tcPr>
          <w:p>
            <w:pPr>
              <w:jc w:val="left"/>
              <w:rPr>
                <w:rFonts w:hint="default" w:ascii="宋体" w:hAnsi="宋体"/>
                <w:sz w:val="18"/>
                <w:szCs w:val="18"/>
                <w:highlight w:val="none"/>
              </w:rPr>
            </w:pPr>
            <w:r>
              <w:rPr>
                <w:rFonts w:hint="eastAsia"/>
                <w:color w:val="000000"/>
                <w:sz w:val="18"/>
                <w:szCs w:val="18"/>
                <w:highlight w:val="none"/>
              </w:rPr>
              <w:t>编制单位：巴音郭楞蒙古自治州无线电管理中心</w:t>
            </w:r>
          </w:p>
        </w:tc>
        <w:tc>
          <w:tcPr>
            <w:tcW w:w="1395" w:type="dxa"/>
            <w:tcBorders>
              <w:top w:val="nil"/>
              <w:left w:val="nil"/>
              <w:right w:val="nil"/>
            </w:tcBorders>
            <w:shd w:val="clear" w:color="auto" w:fill="auto"/>
            <w:vAlign w:val="center"/>
          </w:tcPr>
          <w:p>
            <w:pPr>
              <w:jc w:val="right"/>
              <w:rPr>
                <w:rFonts w:hint="default" w:ascii="宋体" w:hAnsi="宋体"/>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64" w:hRule="atLeast"/>
          <w:tblHeader/>
          <w:jc w:val="center"/>
        </w:trPr>
        <w:tc>
          <w:tcPr>
            <w:tcW w:w="4163" w:type="dxa"/>
            <w:vMerge w:val="restart"/>
            <w:shd w:val="clear" w:color="auto" w:fill="auto"/>
            <w:vAlign w:val="center"/>
          </w:tcPr>
          <w:p>
            <w:pPr>
              <w:jc w:val="center"/>
              <w:rPr>
                <w:rFonts w:hint="default" w:ascii="宋体" w:hAnsi="宋体"/>
                <w:color w:val="000000"/>
                <w:sz w:val="18"/>
                <w:szCs w:val="18"/>
                <w:highlight w:val="none"/>
              </w:rPr>
            </w:pPr>
            <w:r>
              <w:rPr>
                <w:rFonts w:hint="eastAsia" w:ascii="宋体" w:hAnsi="宋体"/>
                <w:color w:val="000000"/>
                <w:sz w:val="18"/>
                <w:szCs w:val="18"/>
                <w:highlight w:val="none"/>
              </w:rPr>
              <w:t>“三公”经费支出内容</w:t>
            </w:r>
          </w:p>
        </w:tc>
        <w:tc>
          <w:tcPr>
            <w:tcW w:w="1396" w:type="dxa"/>
            <w:vMerge w:val="restart"/>
            <w:shd w:val="clear" w:color="auto" w:fill="auto"/>
            <w:vAlign w:val="center"/>
          </w:tcPr>
          <w:p>
            <w:pPr>
              <w:jc w:val="center"/>
              <w:rPr>
                <w:rFonts w:hint="default" w:ascii="宋体" w:hAnsi="宋体"/>
                <w:color w:val="000000"/>
                <w:sz w:val="18"/>
                <w:szCs w:val="18"/>
                <w:highlight w:val="none"/>
              </w:rPr>
            </w:pPr>
            <w:r>
              <w:rPr>
                <w:rFonts w:hint="eastAsia" w:ascii="宋体" w:hAnsi="宋体"/>
                <w:sz w:val="18"/>
                <w:szCs w:val="18"/>
                <w:highlight w:val="none"/>
              </w:rPr>
              <w:t>合计</w:t>
            </w:r>
          </w:p>
        </w:tc>
        <w:tc>
          <w:tcPr>
            <w:tcW w:w="4154" w:type="dxa"/>
            <w:gridSpan w:val="3"/>
            <w:shd w:val="clear" w:color="auto" w:fill="auto"/>
            <w:vAlign w:val="center"/>
          </w:tcPr>
          <w:p>
            <w:pPr>
              <w:jc w:val="center"/>
              <w:rPr>
                <w:rFonts w:hint="default" w:ascii="宋体" w:hAnsi="宋体"/>
                <w:color w:val="000000"/>
                <w:sz w:val="18"/>
                <w:szCs w:val="18"/>
                <w:highlight w:val="none"/>
              </w:rPr>
            </w:pPr>
            <w:r>
              <w:rPr>
                <w:rFonts w:hint="eastAsia"/>
                <w:sz w:val="18"/>
                <w:szCs w:val="18"/>
                <w:highlight w:val="none"/>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421" w:hRule="atLeast"/>
          <w:tblHeader/>
          <w:jc w:val="center"/>
        </w:trPr>
        <w:tc>
          <w:tcPr>
            <w:tcW w:w="4163" w:type="dxa"/>
            <w:vMerge w:val="continue"/>
            <w:shd w:val="clear" w:color="auto" w:fill="auto"/>
            <w:vAlign w:val="center"/>
          </w:tcPr>
          <w:p>
            <w:pPr>
              <w:jc w:val="center"/>
              <w:rPr>
                <w:rFonts w:hint="default" w:ascii="宋体" w:hAnsi="宋体"/>
                <w:color w:val="000000"/>
                <w:sz w:val="18"/>
                <w:szCs w:val="18"/>
                <w:highlight w:val="none"/>
              </w:rPr>
            </w:pPr>
          </w:p>
        </w:tc>
        <w:tc>
          <w:tcPr>
            <w:tcW w:w="1396" w:type="dxa"/>
            <w:vMerge w:val="continue"/>
            <w:shd w:val="clear" w:color="auto" w:fill="auto"/>
            <w:vAlign w:val="center"/>
          </w:tcPr>
          <w:p>
            <w:pPr>
              <w:jc w:val="center"/>
              <w:rPr>
                <w:rFonts w:hint="default" w:ascii="宋体" w:hAnsi="宋体"/>
                <w:color w:val="000000"/>
                <w:sz w:val="18"/>
                <w:szCs w:val="18"/>
                <w:highlight w:val="none"/>
              </w:rPr>
            </w:pPr>
          </w:p>
        </w:tc>
        <w:tc>
          <w:tcPr>
            <w:tcW w:w="1396"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一般公共预算</w:t>
            </w:r>
          </w:p>
        </w:tc>
        <w:tc>
          <w:tcPr>
            <w:tcW w:w="1363"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政府性基金</w:t>
            </w:r>
          </w:p>
        </w:tc>
        <w:tc>
          <w:tcPr>
            <w:tcW w:w="1395"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163" w:type="dxa"/>
            <w:shd w:val="clear" w:color="auto" w:fill="auto"/>
            <w:vAlign w:val="center"/>
          </w:tcPr>
          <w:p>
            <w:pPr>
              <w:jc w:val="center"/>
              <w:rPr>
                <w:rFonts w:hint="default" w:ascii="宋体" w:hAnsi="宋体"/>
                <w:color w:val="000000"/>
                <w:sz w:val="18"/>
                <w:szCs w:val="18"/>
                <w:highlight w:val="none"/>
              </w:rPr>
            </w:pPr>
            <w:r>
              <w:rPr>
                <w:rFonts w:hint="default" w:ascii="宋体" w:hAnsi="宋体"/>
                <w:kern w:val="0"/>
                <w:sz w:val="18"/>
                <w:szCs w:val="18"/>
                <w:highlight w:val="none"/>
              </w:rPr>
              <w:t>因公出国（境）费用</w:t>
            </w:r>
          </w:p>
        </w:tc>
        <w:tc>
          <w:tcPr>
            <w:tcW w:w="1396" w:type="dxa"/>
            <w:shd w:val="clear" w:color="auto" w:fill="auto"/>
            <w:vAlign w:val="center"/>
          </w:tcPr>
          <w:p>
            <w:pPr>
              <w:jc w:val="right"/>
              <w:rPr>
                <w:rFonts w:hint="default" w:ascii="宋体" w:hAnsi="宋体"/>
                <w:color w:val="000000"/>
                <w:sz w:val="18"/>
                <w:szCs w:val="18"/>
                <w:highlight w:val="none"/>
              </w:rPr>
            </w:pPr>
          </w:p>
        </w:tc>
        <w:tc>
          <w:tcPr>
            <w:tcW w:w="1396" w:type="dxa"/>
            <w:shd w:val="clear" w:color="auto" w:fill="auto"/>
            <w:vAlign w:val="center"/>
          </w:tcPr>
          <w:p>
            <w:pPr>
              <w:jc w:val="right"/>
              <w:rPr>
                <w:rFonts w:hint="default" w:ascii="宋体" w:hAnsi="宋体"/>
                <w:color w:val="000000"/>
                <w:sz w:val="18"/>
                <w:szCs w:val="18"/>
                <w:highlight w:val="none"/>
              </w:rPr>
            </w:pPr>
          </w:p>
        </w:tc>
        <w:tc>
          <w:tcPr>
            <w:tcW w:w="1363" w:type="dxa"/>
            <w:shd w:val="clear" w:color="auto" w:fill="auto"/>
            <w:vAlign w:val="center"/>
          </w:tcPr>
          <w:p>
            <w:pPr>
              <w:jc w:val="right"/>
              <w:rPr>
                <w:rFonts w:hint="default" w:ascii="宋体" w:hAnsi="宋体"/>
                <w:color w:val="000000"/>
                <w:sz w:val="18"/>
                <w:szCs w:val="18"/>
                <w:highlight w:val="none"/>
              </w:rPr>
            </w:pPr>
          </w:p>
        </w:tc>
        <w:tc>
          <w:tcPr>
            <w:tcW w:w="1395"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163" w:type="dxa"/>
            <w:shd w:val="clear" w:color="auto" w:fill="auto"/>
            <w:vAlign w:val="center"/>
          </w:tcPr>
          <w:p>
            <w:pPr>
              <w:jc w:val="center"/>
              <w:rPr>
                <w:rFonts w:hint="default" w:ascii="宋体" w:hAnsi="宋体"/>
                <w:color w:val="000000"/>
                <w:sz w:val="18"/>
                <w:szCs w:val="18"/>
                <w:highlight w:val="none"/>
              </w:rPr>
            </w:pPr>
            <w:r>
              <w:rPr>
                <w:rFonts w:hint="default" w:ascii="宋体" w:hAnsi="宋体"/>
                <w:kern w:val="0"/>
                <w:sz w:val="18"/>
                <w:szCs w:val="18"/>
                <w:highlight w:val="none"/>
              </w:rPr>
              <w:t>公务接待费</w:t>
            </w:r>
          </w:p>
        </w:tc>
        <w:tc>
          <w:tcPr>
            <w:tcW w:w="1396" w:type="dxa"/>
            <w:shd w:val="clear" w:color="auto" w:fill="auto"/>
            <w:vAlign w:val="center"/>
          </w:tcPr>
          <w:p>
            <w:pPr>
              <w:jc w:val="right"/>
              <w:rPr>
                <w:rFonts w:hint="default" w:ascii="宋体" w:hAnsi="宋体"/>
                <w:color w:val="000000"/>
                <w:sz w:val="18"/>
                <w:szCs w:val="18"/>
                <w:highlight w:val="none"/>
              </w:rPr>
            </w:pPr>
          </w:p>
        </w:tc>
        <w:tc>
          <w:tcPr>
            <w:tcW w:w="1396" w:type="dxa"/>
            <w:shd w:val="clear" w:color="auto" w:fill="auto"/>
            <w:vAlign w:val="center"/>
          </w:tcPr>
          <w:p>
            <w:pPr>
              <w:jc w:val="right"/>
              <w:rPr>
                <w:rFonts w:hint="default" w:ascii="宋体" w:hAnsi="宋体"/>
                <w:color w:val="000000"/>
                <w:sz w:val="18"/>
                <w:szCs w:val="18"/>
                <w:highlight w:val="none"/>
              </w:rPr>
            </w:pPr>
          </w:p>
        </w:tc>
        <w:tc>
          <w:tcPr>
            <w:tcW w:w="1363" w:type="dxa"/>
            <w:shd w:val="clear" w:color="auto" w:fill="auto"/>
            <w:vAlign w:val="center"/>
          </w:tcPr>
          <w:p>
            <w:pPr>
              <w:jc w:val="right"/>
              <w:rPr>
                <w:rFonts w:hint="default" w:ascii="宋体" w:hAnsi="宋体"/>
                <w:color w:val="000000"/>
                <w:sz w:val="18"/>
                <w:szCs w:val="18"/>
                <w:highlight w:val="none"/>
              </w:rPr>
            </w:pPr>
          </w:p>
        </w:tc>
        <w:tc>
          <w:tcPr>
            <w:tcW w:w="1395"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163" w:type="dxa"/>
            <w:shd w:val="clear" w:color="auto" w:fill="auto"/>
            <w:vAlign w:val="center"/>
          </w:tcPr>
          <w:p>
            <w:pPr>
              <w:jc w:val="center"/>
              <w:rPr>
                <w:rFonts w:hint="default" w:ascii="宋体" w:hAnsi="宋体"/>
                <w:color w:val="000000"/>
                <w:sz w:val="18"/>
                <w:szCs w:val="18"/>
                <w:highlight w:val="none"/>
              </w:rPr>
            </w:pPr>
            <w:r>
              <w:rPr>
                <w:rFonts w:hint="default" w:ascii="宋体" w:hAnsi="宋体"/>
                <w:b/>
                <w:kern w:val="0"/>
                <w:sz w:val="18"/>
                <w:szCs w:val="18"/>
                <w:highlight w:val="none"/>
              </w:rPr>
              <w:t>公务用车购置及运行维护费（小计）</w:t>
            </w:r>
          </w:p>
        </w:tc>
        <w:tc>
          <w:tcPr>
            <w:tcW w:w="1396" w:type="dxa"/>
            <w:shd w:val="clear" w:color="auto" w:fill="auto"/>
            <w:vAlign w:val="center"/>
          </w:tcPr>
          <w:p>
            <w:pPr>
              <w:jc w:val="right"/>
              <w:rPr>
                <w:rFonts w:hint="default" w:ascii="宋体" w:hAnsi="宋体"/>
                <w:color w:val="000000"/>
                <w:sz w:val="18"/>
                <w:szCs w:val="18"/>
                <w:highlight w:val="none"/>
              </w:rPr>
            </w:pPr>
            <w:r>
              <w:rPr>
                <w:rFonts w:hint="default" w:ascii="宋体" w:hAnsi="宋体"/>
                <w:b/>
                <w:kern w:val="0"/>
                <w:sz w:val="18"/>
                <w:szCs w:val="18"/>
                <w:highlight w:val="none"/>
              </w:rPr>
              <w:t>5.88</w:t>
            </w:r>
          </w:p>
        </w:tc>
        <w:tc>
          <w:tcPr>
            <w:tcW w:w="1396" w:type="dxa"/>
            <w:shd w:val="clear" w:color="auto" w:fill="auto"/>
            <w:vAlign w:val="center"/>
          </w:tcPr>
          <w:p>
            <w:pPr>
              <w:jc w:val="right"/>
              <w:rPr>
                <w:rFonts w:hint="default" w:ascii="宋体" w:hAnsi="宋体"/>
                <w:color w:val="000000"/>
                <w:sz w:val="18"/>
                <w:szCs w:val="18"/>
                <w:highlight w:val="none"/>
              </w:rPr>
            </w:pPr>
            <w:r>
              <w:rPr>
                <w:rFonts w:hint="default" w:ascii="宋体" w:hAnsi="宋体"/>
                <w:b/>
                <w:kern w:val="0"/>
                <w:sz w:val="18"/>
                <w:szCs w:val="18"/>
                <w:highlight w:val="none"/>
              </w:rPr>
              <w:t>5.88</w:t>
            </w:r>
          </w:p>
        </w:tc>
        <w:tc>
          <w:tcPr>
            <w:tcW w:w="1363" w:type="dxa"/>
            <w:shd w:val="clear" w:color="auto" w:fill="auto"/>
            <w:vAlign w:val="center"/>
          </w:tcPr>
          <w:p>
            <w:pPr>
              <w:jc w:val="right"/>
              <w:rPr>
                <w:rFonts w:hint="default" w:ascii="宋体" w:hAnsi="宋体"/>
                <w:color w:val="000000"/>
                <w:sz w:val="18"/>
                <w:szCs w:val="18"/>
                <w:highlight w:val="none"/>
              </w:rPr>
            </w:pPr>
          </w:p>
        </w:tc>
        <w:tc>
          <w:tcPr>
            <w:tcW w:w="1395"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163" w:type="dxa"/>
            <w:shd w:val="clear" w:color="auto" w:fill="auto"/>
            <w:vAlign w:val="center"/>
          </w:tcPr>
          <w:p>
            <w:pPr>
              <w:jc w:val="center"/>
              <w:rPr>
                <w:rFonts w:hint="default" w:ascii="宋体" w:hAnsi="宋体"/>
                <w:color w:val="000000"/>
                <w:sz w:val="18"/>
                <w:szCs w:val="18"/>
                <w:highlight w:val="none"/>
              </w:rPr>
            </w:pPr>
            <w:r>
              <w:rPr>
                <w:rFonts w:hint="default" w:ascii="宋体" w:hAnsi="宋体"/>
                <w:kern w:val="0"/>
                <w:sz w:val="18"/>
                <w:szCs w:val="18"/>
                <w:highlight w:val="none"/>
              </w:rPr>
              <w:t>其中：公务用车购置</w:t>
            </w:r>
          </w:p>
        </w:tc>
        <w:tc>
          <w:tcPr>
            <w:tcW w:w="1396" w:type="dxa"/>
            <w:shd w:val="clear" w:color="auto" w:fill="auto"/>
            <w:vAlign w:val="center"/>
          </w:tcPr>
          <w:p>
            <w:pPr>
              <w:jc w:val="right"/>
              <w:rPr>
                <w:rFonts w:hint="default" w:ascii="宋体" w:hAnsi="宋体"/>
                <w:color w:val="000000"/>
                <w:sz w:val="18"/>
                <w:szCs w:val="18"/>
                <w:highlight w:val="none"/>
              </w:rPr>
            </w:pPr>
          </w:p>
        </w:tc>
        <w:tc>
          <w:tcPr>
            <w:tcW w:w="1396" w:type="dxa"/>
            <w:shd w:val="clear" w:color="auto" w:fill="auto"/>
            <w:vAlign w:val="center"/>
          </w:tcPr>
          <w:p>
            <w:pPr>
              <w:jc w:val="right"/>
              <w:rPr>
                <w:rFonts w:hint="default" w:ascii="宋体" w:hAnsi="宋体"/>
                <w:color w:val="000000"/>
                <w:sz w:val="18"/>
                <w:szCs w:val="18"/>
                <w:highlight w:val="none"/>
              </w:rPr>
            </w:pPr>
          </w:p>
        </w:tc>
        <w:tc>
          <w:tcPr>
            <w:tcW w:w="1363" w:type="dxa"/>
            <w:shd w:val="clear" w:color="auto" w:fill="auto"/>
            <w:vAlign w:val="center"/>
          </w:tcPr>
          <w:p>
            <w:pPr>
              <w:jc w:val="right"/>
              <w:rPr>
                <w:rFonts w:hint="default" w:ascii="宋体" w:hAnsi="宋体"/>
                <w:color w:val="000000"/>
                <w:sz w:val="18"/>
                <w:szCs w:val="18"/>
                <w:highlight w:val="none"/>
              </w:rPr>
            </w:pPr>
          </w:p>
        </w:tc>
        <w:tc>
          <w:tcPr>
            <w:tcW w:w="1395"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163" w:type="dxa"/>
            <w:shd w:val="clear" w:color="auto" w:fill="auto"/>
            <w:vAlign w:val="center"/>
          </w:tcPr>
          <w:p>
            <w:pPr>
              <w:jc w:val="center"/>
              <w:rPr>
                <w:rFonts w:hint="default" w:ascii="宋体" w:hAnsi="宋体"/>
                <w:color w:val="000000"/>
                <w:sz w:val="18"/>
                <w:szCs w:val="18"/>
                <w:highlight w:val="none"/>
              </w:rPr>
            </w:pPr>
            <w:r>
              <w:rPr>
                <w:rFonts w:hint="default" w:ascii="宋体" w:hAnsi="宋体"/>
                <w:kern w:val="0"/>
                <w:sz w:val="18"/>
                <w:szCs w:val="18"/>
                <w:highlight w:val="none"/>
              </w:rPr>
              <w:t xml:space="preserve">      公务用车运行维护费</w:t>
            </w:r>
          </w:p>
        </w:tc>
        <w:tc>
          <w:tcPr>
            <w:tcW w:w="1396" w:type="dxa"/>
            <w:shd w:val="clear" w:color="auto" w:fill="auto"/>
            <w:vAlign w:val="center"/>
          </w:tcPr>
          <w:p>
            <w:pPr>
              <w:jc w:val="right"/>
              <w:rPr>
                <w:rFonts w:hint="default" w:ascii="宋体" w:hAnsi="宋体"/>
                <w:color w:val="000000"/>
                <w:sz w:val="18"/>
                <w:szCs w:val="18"/>
                <w:highlight w:val="none"/>
              </w:rPr>
            </w:pPr>
            <w:r>
              <w:rPr>
                <w:rFonts w:hint="default" w:ascii="宋体" w:hAnsi="宋体"/>
                <w:kern w:val="0"/>
                <w:sz w:val="18"/>
                <w:szCs w:val="18"/>
                <w:highlight w:val="none"/>
              </w:rPr>
              <w:t>5.88</w:t>
            </w:r>
          </w:p>
        </w:tc>
        <w:tc>
          <w:tcPr>
            <w:tcW w:w="1396" w:type="dxa"/>
            <w:shd w:val="clear" w:color="auto" w:fill="auto"/>
            <w:vAlign w:val="center"/>
          </w:tcPr>
          <w:p>
            <w:pPr>
              <w:jc w:val="right"/>
              <w:rPr>
                <w:rFonts w:hint="default" w:ascii="宋体" w:hAnsi="宋体"/>
                <w:color w:val="000000"/>
                <w:sz w:val="18"/>
                <w:szCs w:val="18"/>
                <w:highlight w:val="none"/>
              </w:rPr>
            </w:pPr>
            <w:r>
              <w:rPr>
                <w:rFonts w:hint="default" w:ascii="宋体" w:hAnsi="宋体"/>
                <w:kern w:val="0"/>
                <w:sz w:val="18"/>
                <w:szCs w:val="18"/>
                <w:highlight w:val="none"/>
              </w:rPr>
              <w:t>5.88</w:t>
            </w:r>
          </w:p>
        </w:tc>
        <w:tc>
          <w:tcPr>
            <w:tcW w:w="1363" w:type="dxa"/>
            <w:shd w:val="clear" w:color="auto" w:fill="auto"/>
            <w:vAlign w:val="center"/>
          </w:tcPr>
          <w:p>
            <w:pPr>
              <w:jc w:val="right"/>
              <w:rPr>
                <w:rFonts w:hint="default" w:ascii="宋体" w:hAnsi="宋体"/>
                <w:color w:val="000000"/>
                <w:sz w:val="18"/>
                <w:szCs w:val="18"/>
                <w:highlight w:val="none"/>
              </w:rPr>
            </w:pPr>
          </w:p>
        </w:tc>
        <w:tc>
          <w:tcPr>
            <w:tcW w:w="1395"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163" w:type="dxa"/>
            <w:shd w:val="clear" w:color="auto" w:fill="auto"/>
            <w:vAlign w:val="center"/>
          </w:tcPr>
          <w:p>
            <w:pPr>
              <w:jc w:val="center"/>
              <w:rPr>
                <w:rFonts w:hint="default" w:ascii="宋体" w:hAnsi="宋体"/>
                <w:color w:val="000000"/>
                <w:sz w:val="18"/>
                <w:szCs w:val="18"/>
                <w:highlight w:val="none"/>
              </w:rPr>
            </w:pPr>
            <w:r>
              <w:rPr>
                <w:rFonts w:hint="default" w:ascii="宋体" w:hAnsi="宋体"/>
                <w:b/>
                <w:kern w:val="0"/>
                <w:sz w:val="18"/>
                <w:szCs w:val="18"/>
                <w:highlight w:val="none"/>
              </w:rPr>
              <w:t>总计</w:t>
            </w:r>
          </w:p>
        </w:tc>
        <w:tc>
          <w:tcPr>
            <w:tcW w:w="1396" w:type="dxa"/>
            <w:shd w:val="clear" w:color="auto" w:fill="auto"/>
            <w:vAlign w:val="center"/>
          </w:tcPr>
          <w:p>
            <w:pPr>
              <w:jc w:val="right"/>
              <w:rPr>
                <w:rFonts w:hint="default" w:ascii="宋体" w:hAnsi="宋体"/>
                <w:color w:val="000000"/>
                <w:sz w:val="18"/>
                <w:szCs w:val="18"/>
                <w:highlight w:val="none"/>
              </w:rPr>
            </w:pPr>
            <w:r>
              <w:rPr>
                <w:rFonts w:hint="default" w:ascii="宋体" w:hAnsi="宋体"/>
                <w:b/>
                <w:kern w:val="0"/>
                <w:sz w:val="18"/>
                <w:szCs w:val="18"/>
                <w:highlight w:val="none"/>
              </w:rPr>
              <w:t>5.88</w:t>
            </w:r>
          </w:p>
        </w:tc>
        <w:tc>
          <w:tcPr>
            <w:tcW w:w="1396" w:type="dxa"/>
            <w:shd w:val="clear" w:color="auto" w:fill="auto"/>
            <w:vAlign w:val="center"/>
          </w:tcPr>
          <w:p>
            <w:pPr>
              <w:jc w:val="right"/>
              <w:rPr>
                <w:rFonts w:hint="default" w:ascii="宋体" w:hAnsi="宋体"/>
                <w:color w:val="000000"/>
                <w:sz w:val="18"/>
                <w:szCs w:val="18"/>
                <w:highlight w:val="none"/>
              </w:rPr>
            </w:pPr>
            <w:r>
              <w:rPr>
                <w:rFonts w:hint="default" w:ascii="宋体" w:hAnsi="宋体"/>
                <w:b/>
                <w:kern w:val="0"/>
                <w:sz w:val="18"/>
                <w:szCs w:val="18"/>
                <w:highlight w:val="none"/>
              </w:rPr>
              <w:t>5.88</w:t>
            </w:r>
          </w:p>
        </w:tc>
        <w:tc>
          <w:tcPr>
            <w:tcW w:w="1363" w:type="dxa"/>
            <w:shd w:val="clear" w:color="auto" w:fill="auto"/>
            <w:vAlign w:val="center"/>
          </w:tcPr>
          <w:p>
            <w:pPr>
              <w:jc w:val="right"/>
              <w:rPr>
                <w:rFonts w:hint="default" w:ascii="宋体" w:hAnsi="宋体"/>
                <w:color w:val="000000"/>
                <w:sz w:val="18"/>
                <w:szCs w:val="18"/>
                <w:highlight w:val="none"/>
              </w:rPr>
            </w:pPr>
          </w:p>
        </w:tc>
        <w:tc>
          <w:tcPr>
            <w:tcW w:w="1395" w:type="dxa"/>
            <w:shd w:val="clear" w:color="auto" w:fill="auto"/>
            <w:vAlign w:val="center"/>
          </w:tcPr>
          <w:p>
            <w:pPr>
              <w:jc w:val="right"/>
              <w:rPr>
                <w:rFonts w:hint="default" w:ascii="宋体" w:hAnsi="宋体"/>
                <w:color w:val="000000"/>
                <w:sz w:val="18"/>
                <w:szCs w:val="18"/>
                <w:highlight w:val="none"/>
              </w:rPr>
            </w:pPr>
          </w:p>
        </w:tc>
      </w:tr>
    </w:tbl>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表11</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财政拨款委托业务费支出情况表</w:t>
      </w:r>
    </w:p>
    <w:tbl>
      <w:tblPr>
        <w:tblStyle w:val="8"/>
        <w:tblW w:w="9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4882"/>
        <w:gridCol w:w="1200"/>
        <w:gridCol w:w="1200"/>
        <w:gridCol w:w="120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64" w:hRule="atLeast"/>
          <w:tblHeader/>
          <w:jc w:val="center"/>
        </w:trPr>
        <w:tc>
          <w:tcPr>
            <w:tcW w:w="8482" w:type="dxa"/>
            <w:gridSpan w:val="4"/>
            <w:tcBorders>
              <w:top w:val="nil"/>
              <w:left w:val="nil"/>
              <w:right w:val="nil"/>
            </w:tcBorders>
            <w:shd w:val="clear" w:color="auto" w:fill="auto"/>
            <w:vAlign w:val="center"/>
          </w:tcPr>
          <w:p>
            <w:pPr>
              <w:jc w:val="left"/>
              <w:rPr>
                <w:rFonts w:hint="default" w:ascii="宋体" w:hAnsi="宋体"/>
                <w:sz w:val="18"/>
                <w:szCs w:val="18"/>
                <w:highlight w:val="none"/>
              </w:rPr>
            </w:pPr>
            <w:r>
              <w:rPr>
                <w:rFonts w:hint="eastAsia"/>
                <w:color w:val="000000"/>
                <w:sz w:val="18"/>
                <w:szCs w:val="18"/>
                <w:highlight w:val="none"/>
              </w:rPr>
              <w:t>编制单位：巴音郭楞蒙古自治州无线电管理中心</w:t>
            </w:r>
          </w:p>
        </w:tc>
        <w:tc>
          <w:tcPr>
            <w:tcW w:w="1231" w:type="dxa"/>
            <w:tcBorders>
              <w:top w:val="nil"/>
              <w:left w:val="nil"/>
              <w:right w:val="nil"/>
            </w:tcBorders>
            <w:shd w:val="clear" w:color="auto" w:fill="auto"/>
            <w:vAlign w:val="center"/>
          </w:tcPr>
          <w:p>
            <w:pPr>
              <w:jc w:val="right"/>
              <w:rPr>
                <w:rFonts w:hint="default" w:ascii="宋体" w:hAnsi="宋体"/>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64" w:hRule="atLeast"/>
          <w:tblHeader/>
          <w:jc w:val="center"/>
        </w:trPr>
        <w:tc>
          <w:tcPr>
            <w:tcW w:w="4882" w:type="dxa"/>
            <w:vMerge w:val="restart"/>
            <w:shd w:val="clear" w:color="auto" w:fill="auto"/>
            <w:vAlign w:val="center"/>
          </w:tcPr>
          <w:p>
            <w:pPr>
              <w:jc w:val="center"/>
              <w:rPr>
                <w:rFonts w:hint="default" w:ascii="宋体" w:hAnsi="宋体"/>
                <w:color w:val="000000"/>
                <w:sz w:val="18"/>
                <w:szCs w:val="18"/>
                <w:highlight w:val="none"/>
              </w:rPr>
            </w:pPr>
            <w:r>
              <w:rPr>
                <w:rFonts w:hint="eastAsia" w:ascii="宋体" w:hAnsi="宋体"/>
                <w:color w:val="000000"/>
                <w:sz w:val="18"/>
                <w:szCs w:val="18"/>
                <w:highlight w:val="none"/>
              </w:rPr>
              <w:t>项目名称</w:t>
            </w:r>
          </w:p>
        </w:tc>
        <w:tc>
          <w:tcPr>
            <w:tcW w:w="1200" w:type="dxa"/>
            <w:vMerge w:val="restart"/>
            <w:shd w:val="clear" w:color="auto" w:fill="auto"/>
            <w:vAlign w:val="center"/>
          </w:tcPr>
          <w:p>
            <w:pPr>
              <w:jc w:val="center"/>
              <w:rPr>
                <w:rFonts w:hint="default" w:ascii="宋体" w:hAnsi="宋体"/>
                <w:color w:val="000000"/>
                <w:sz w:val="18"/>
                <w:szCs w:val="18"/>
                <w:highlight w:val="none"/>
              </w:rPr>
            </w:pPr>
            <w:r>
              <w:rPr>
                <w:rFonts w:hint="eastAsia" w:ascii="宋体" w:hAnsi="宋体"/>
                <w:sz w:val="18"/>
                <w:szCs w:val="18"/>
                <w:highlight w:val="none"/>
              </w:rPr>
              <w:t>合计</w:t>
            </w:r>
          </w:p>
        </w:tc>
        <w:tc>
          <w:tcPr>
            <w:tcW w:w="3631" w:type="dxa"/>
            <w:gridSpan w:val="3"/>
            <w:shd w:val="clear" w:color="auto" w:fill="auto"/>
            <w:vAlign w:val="center"/>
          </w:tcPr>
          <w:p>
            <w:pPr>
              <w:jc w:val="center"/>
              <w:rPr>
                <w:rFonts w:hint="default" w:ascii="宋体" w:hAnsi="宋体"/>
                <w:color w:val="000000"/>
                <w:sz w:val="18"/>
                <w:szCs w:val="18"/>
                <w:highlight w:val="none"/>
              </w:rPr>
            </w:pPr>
            <w:r>
              <w:rPr>
                <w:rFonts w:hint="eastAsia"/>
                <w:sz w:val="18"/>
                <w:szCs w:val="18"/>
                <w:highlight w:val="none"/>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421" w:hRule="atLeast"/>
          <w:tblHeader/>
          <w:jc w:val="center"/>
        </w:trPr>
        <w:tc>
          <w:tcPr>
            <w:tcW w:w="4882" w:type="dxa"/>
            <w:vMerge w:val="continue"/>
            <w:shd w:val="clear" w:color="auto" w:fill="auto"/>
            <w:vAlign w:val="center"/>
          </w:tcPr>
          <w:p>
            <w:pPr>
              <w:jc w:val="center"/>
              <w:rPr>
                <w:rFonts w:hint="default" w:ascii="宋体" w:hAnsi="宋体"/>
                <w:color w:val="000000"/>
                <w:sz w:val="18"/>
                <w:szCs w:val="18"/>
                <w:highlight w:val="none"/>
              </w:rPr>
            </w:pPr>
          </w:p>
        </w:tc>
        <w:tc>
          <w:tcPr>
            <w:tcW w:w="1200" w:type="dxa"/>
            <w:vMerge w:val="continue"/>
            <w:shd w:val="clear" w:color="auto" w:fill="auto"/>
            <w:vAlign w:val="center"/>
          </w:tcPr>
          <w:p>
            <w:pPr>
              <w:jc w:val="center"/>
              <w:rPr>
                <w:rFonts w:hint="default" w:ascii="宋体" w:hAnsi="宋体"/>
                <w:color w:val="000000"/>
                <w:sz w:val="18"/>
                <w:szCs w:val="18"/>
                <w:highlight w:val="none"/>
              </w:rPr>
            </w:pPr>
          </w:p>
        </w:tc>
        <w:tc>
          <w:tcPr>
            <w:tcW w:w="12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一般公共预算</w:t>
            </w:r>
          </w:p>
        </w:tc>
        <w:tc>
          <w:tcPr>
            <w:tcW w:w="1200"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政府性基金</w:t>
            </w:r>
          </w:p>
        </w:tc>
        <w:tc>
          <w:tcPr>
            <w:tcW w:w="1231" w:type="dxa"/>
            <w:shd w:val="clear" w:color="auto" w:fill="auto"/>
            <w:vAlign w:val="center"/>
          </w:tcPr>
          <w:p>
            <w:pPr>
              <w:jc w:val="center"/>
              <w:rPr>
                <w:rFonts w:hint="default" w:ascii="宋体" w:hAnsi="宋体"/>
                <w:sz w:val="18"/>
                <w:szCs w:val="18"/>
                <w:highlight w:val="none"/>
              </w:rPr>
            </w:pPr>
            <w:r>
              <w:rPr>
                <w:rFonts w:hint="eastAsia" w:ascii="宋体" w:hAnsi="宋体"/>
                <w:sz w:val="18"/>
                <w:szCs w:val="18"/>
                <w:highlight w:val="none"/>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882" w:type="dxa"/>
            <w:shd w:val="clear" w:color="auto" w:fill="auto"/>
            <w:vAlign w:val="center"/>
          </w:tcPr>
          <w:p>
            <w:pPr>
              <w:jc w:val="lef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3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882" w:type="dxa"/>
            <w:shd w:val="clear" w:color="auto" w:fill="auto"/>
            <w:vAlign w:val="center"/>
          </w:tcPr>
          <w:p>
            <w:pPr>
              <w:jc w:val="lef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3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882" w:type="dxa"/>
            <w:shd w:val="clear" w:color="auto" w:fill="auto"/>
            <w:vAlign w:val="center"/>
          </w:tcPr>
          <w:p>
            <w:pPr>
              <w:jc w:val="lef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3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882" w:type="dxa"/>
            <w:shd w:val="clear" w:color="auto" w:fill="auto"/>
            <w:vAlign w:val="center"/>
          </w:tcPr>
          <w:p>
            <w:pPr>
              <w:jc w:val="lef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00" w:type="dxa"/>
            <w:shd w:val="clear" w:color="auto" w:fill="auto"/>
            <w:vAlign w:val="center"/>
          </w:tcPr>
          <w:p>
            <w:pPr>
              <w:jc w:val="right"/>
              <w:rPr>
                <w:rFonts w:hint="default" w:ascii="宋体" w:hAnsi="宋体"/>
                <w:color w:val="000000"/>
                <w:sz w:val="18"/>
                <w:szCs w:val="18"/>
                <w:highlight w:val="none"/>
              </w:rPr>
            </w:pPr>
          </w:p>
        </w:tc>
        <w:tc>
          <w:tcPr>
            <w:tcW w:w="1231" w:type="dxa"/>
            <w:shd w:val="clear" w:color="auto" w:fill="auto"/>
            <w:vAlign w:val="center"/>
          </w:tcPr>
          <w:p>
            <w:pPr>
              <w:jc w:val="right"/>
              <w:rPr>
                <w:rFonts w:hint="default"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189" w:hRule="atLeast"/>
          <w:jc w:val="center"/>
        </w:trPr>
        <w:tc>
          <w:tcPr>
            <w:tcW w:w="4882" w:type="dxa"/>
            <w:shd w:val="clear" w:color="auto" w:fill="auto"/>
            <w:vAlign w:val="center"/>
          </w:tcPr>
          <w:p>
            <w:pPr>
              <w:jc w:val="center"/>
              <w:rPr>
                <w:rFonts w:hint="default" w:ascii="宋体" w:hAnsi="宋体"/>
                <w:b/>
                <w:color w:val="000000"/>
                <w:sz w:val="18"/>
                <w:szCs w:val="18"/>
                <w:highlight w:val="none"/>
              </w:rPr>
            </w:pPr>
            <w:r>
              <w:rPr>
                <w:rFonts w:hint="default" w:ascii="宋体" w:hAnsi="宋体"/>
                <w:b/>
                <w:kern w:val="0"/>
                <w:sz w:val="18"/>
                <w:szCs w:val="18"/>
                <w:highlight w:val="none"/>
              </w:rPr>
              <w:t>总计</w:t>
            </w:r>
          </w:p>
        </w:tc>
        <w:tc>
          <w:tcPr>
            <w:tcW w:w="1200" w:type="dxa"/>
            <w:shd w:val="clear" w:color="auto" w:fill="auto"/>
            <w:vAlign w:val="center"/>
          </w:tcPr>
          <w:p>
            <w:pPr>
              <w:jc w:val="right"/>
              <w:rPr>
                <w:rFonts w:hint="default" w:ascii="宋体" w:hAnsi="宋体"/>
                <w:b/>
                <w:color w:val="000000"/>
                <w:sz w:val="18"/>
                <w:szCs w:val="18"/>
                <w:highlight w:val="none"/>
              </w:rPr>
            </w:pPr>
          </w:p>
        </w:tc>
        <w:tc>
          <w:tcPr>
            <w:tcW w:w="1200" w:type="dxa"/>
            <w:shd w:val="clear" w:color="auto" w:fill="auto"/>
            <w:vAlign w:val="center"/>
          </w:tcPr>
          <w:p>
            <w:pPr>
              <w:jc w:val="right"/>
              <w:rPr>
                <w:rFonts w:hint="default" w:ascii="宋体" w:hAnsi="宋体"/>
                <w:b/>
                <w:color w:val="000000"/>
                <w:sz w:val="18"/>
                <w:szCs w:val="18"/>
                <w:highlight w:val="none"/>
              </w:rPr>
            </w:pPr>
          </w:p>
        </w:tc>
        <w:tc>
          <w:tcPr>
            <w:tcW w:w="1200" w:type="dxa"/>
            <w:shd w:val="clear" w:color="auto" w:fill="auto"/>
            <w:vAlign w:val="center"/>
          </w:tcPr>
          <w:p>
            <w:pPr>
              <w:jc w:val="right"/>
              <w:rPr>
                <w:rFonts w:hint="default" w:ascii="宋体" w:hAnsi="宋体"/>
                <w:b/>
                <w:color w:val="000000"/>
                <w:sz w:val="18"/>
                <w:szCs w:val="18"/>
                <w:highlight w:val="none"/>
              </w:rPr>
            </w:pPr>
          </w:p>
        </w:tc>
        <w:tc>
          <w:tcPr>
            <w:tcW w:w="1231" w:type="dxa"/>
            <w:shd w:val="clear" w:color="auto" w:fill="auto"/>
            <w:vAlign w:val="center"/>
          </w:tcPr>
          <w:p>
            <w:pPr>
              <w:jc w:val="right"/>
              <w:rPr>
                <w:rFonts w:hint="default" w:ascii="宋体" w:hAnsi="宋体"/>
                <w:b/>
                <w:color w:val="000000"/>
                <w:sz w:val="18"/>
                <w:szCs w:val="18"/>
                <w:highlight w:val="none"/>
              </w:rPr>
            </w:pPr>
          </w:p>
        </w:tc>
      </w:tr>
    </w:tbl>
    <w:p>
      <w:pPr>
        <w:widowControl/>
        <w:jc w:val="left"/>
        <w:rPr>
          <w:rFonts w:hint="default" w:ascii="仿宋" w:eastAsia="仿宋"/>
          <w:b/>
          <w:color w:val="000000"/>
          <w:szCs w:val="21"/>
          <w:highlight w:val="none"/>
        </w:rPr>
      </w:pPr>
      <w:r>
        <w:rPr>
          <w:rFonts w:hint="eastAsia" w:ascii="仿宋" w:eastAsia="仿宋"/>
          <w:b/>
          <w:color w:val="000000"/>
          <w:szCs w:val="21"/>
          <w:highlight w:val="none"/>
        </w:rPr>
        <w:t>巴音郭楞蒙古自治州无线电管理中心2026年没有委托业务费预算的支出，财政拨款委托业务费支出情况表为空表。</w:t>
      </w:r>
    </w:p>
    <w:p>
      <w:pPr>
        <w:widowControl/>
        <w:jc w:val="left"/>
        <w:rPr>
          <w:rFonts w:hint="default" w:ascii="仿宋" w:eastAsia="仿宋"/>
          <w:b/>
          <w:color w:val="000000"/>
          <w:szCs w:val="21"/>
          <w:highlight w:val="none"/>
        </w:rPr>
        <w:sectPr>
          <w:pgSz w:w="11906" w:h="16838"/>
          <w:pgMar w:top="1134" w:right="1134" w:bottom="1134" w:left="1134" w:header="851" w:footer="992" w:gutter="0"/>
          <w:cols w:space="425" w:num="1"/>
          <w:docGrid w:type="lines" w:linePitch="312" w:charSpace="0"/>
        </w:sectPr>
      </w:pPr>
    </w:p>
    <w:p>
      <w:pPr>
        <w:rPr>
          <w:highlight w:val="none"/>
        </w:rPr>
      </w:pPr>
      <w:r>
        <w:rPr>
          <w:rFonts w:hint="eastAsia" w:ascii="宋体" w:hAnsi="宋体"/>
          <w:color w:val="000000"/>
          <w:sz w:val="18"/>
          <w:szCs w:val="18"/>
          <w:highlight w:val="none"/>
        </w:rPr>
        <w:t>表12</w:t>
      </w:r>
    </w:p>
    <w:p>
      <w:pPr>
        <w:jc w:val="center"/>
        <w:rPr>
          <w:rFonts w:hint="default" w:ascii="仿宋" w:hAnsi="宋体" w:eastAsia="仿宋"/>
          <w:b/>
          <w:color w:val="000000"/>
          <w:sz w:val="28"/>
          <w:szCs w:val="28"/>
          <w:highlight w:val="none"/>
        </w:rPr>
      </w:pPr>
      <w:r>
        <w:rPr>
          <w:rFonts w:hint="eastAsia" w:ascii="仿宋" w:hAnsi="宋体" w:eastAsia="仿宋"/>
          <w:b/>
          <w:color w:val="000000"/>
          <w:sz w:val="28"/>
          <w:szCs w:val="28"/>
          <w:highlight w:val="none"/>
        </w:rPr>
        <w:t>上年结转结余情况表</w:t>
      </w:r>
    </w:p>
    <w:tbl>
      <w:tblPr>
        <w:tblStyle w:val="8"/>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highlight w:val="none"/>
              </w:rPr>
            </w:pPr>
            <w:r>
              <w:rPr>
                <w:rFonts w:hint="eastAsia"/>
                <w:color w:val="000000"/>
                <w:sz w:val="18"/>
                <w:szCs w:val="18"/>
                <w:highlight w:val="none"/>
              </w:rPr>
              <w:t>编制单位：巴音郭楞蒙古自治州无线电管理中心</w:t>
            </w:r>
          </w:p>
        </w:tc>
        <w:tc>
          <w:tcPr>
            <w:tcW w:w="4254" w:type="dxa"/>
            <w:gridSpan w:val="5"/>
            <w:tcBorders>
              <w:top w:val="nil"/>
              <w:left w:val="nil"/>
              <w:right w:val="nil"/>
            </w:tcBorders>
            <w:shd w:val="clear" w:color="auto" w:fill="auto"/>
          </w:tcPr>
          <w:p>
            <w:pPr>
              <w:jc w:val="right"/>
              <w:rPr>
                <w:rFonts w:hint="eastAsia"/>
                <w:color w:val="000000"/>
                <w:sz w:val="18"/>
                <w:szCs w:val="18"/>
                <w:highlight w:val="none"/>
              </w:rPr>
            </w:pPr>
            <w:r>
              <w:rPr>
                <w:rFonts w:hint="eastAsia"/>
                <w:color w:val="000000"/>
                <w:sz w:val="18"/>
                <w:szCs w:val="18"/>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highlight w:val="none"/>
              </w:rPr>
            </w:pPr>
            <w:r>
              <w:rPr>
                <w:rFonts w:hint="eastAsia"/>
                <w:sz w:val="18"/>
                <w:szCs w:val="18"/>
                <w:highlight w:val="none"/>
              </w:rPr>
              <w:t>项目</w:t>
            </w:r>
          </w:p>
        </w:tc>
        <w:tc>
          <w:tcPr>
            <w:tcW w:w="1247" w:type="dxa"/>
            <w:vMerge w:val="restart"/>
            <w:shd w:val="clear" w:color="auto" w:fill="auto"/>
            <w:vAlign w:val="center"/>
          </w:tcPr>
          <w:p>
            <w:pPr>
              <w:jc w:val="center"/>
              <w:rPr>
                <w:sz w:val="18"/>
                <w:szCs w:val="18"/>
                <w:highlight w:val="none"/>
              </w:rPr>
            </w:pPr>
            <w:r>
              <w:rPr>
                <w:rFonts w:hint="eastAsia"/>
                <w:sz w:val="18"/>
                <w:szCs w:val="18"/>
                <w:highlight w:val="none"/>
              </w:rPr>
              <w:t>合计</w:t>
            </w:r>
          </w:p>
        </w:tc>
        <w:tc>
          <w:tcPr>
            <w:tcW w:w="4988" w:type="dxa"/>
            <w:gridSpan w:val="4"/>
            <w:shd w:val="clear" w:color="auto" w:fill="auto"/>
            <w:vAlign w:val="center"/>
          </w:tcPr>
          <w:p>
            <w:pPr>
              <w:jc w:val="center"/>
              <w:rPr>
                <w:rFonts w:hint="eastAsia"/>
                <w:sz w:val="18"/>
                <w:szCs w:val="18"/>
                <w:highlight w:val="none"/>
              </w:rPr>
            </w:pPr>
            <w:r>
              <w:rPr>
                <w:rFonts w:hint="eastAsia"/>
                <w:sz w:val="18"/>
                <w:szCs w:val="18"/>
                <w:highlight w:val="none"/>
              </w:rPr>
              <w:t>财政拨款</w:t>
            </w:r>
          </w:p>
        </w:tc>
        <w:tc>
          <w:tcPr>
            <w:tcW w:w="4988" w:type="dxa"/>
            <w:gridSpan w:val="5"/>
            <w:shd w:val="clear" w:color="auto" w:fill="auto"/>
            <w:vAlign w:val="center"/>
          </w:tcPr>
          <w:p>
            <w:pPr>
              <w:jc w:val="center"/>
              <w:rPr>
                <w:rFonts w:hint="eastAsia"/>
                <w:sz w:val="18"/>
                <w:szCs w:val="18"/>
                <w:highlight w:val="none"/>
              </w:rPr>
            </w:pPr>
            <w:r>
              <w:rPr>
                <w:rFonts w:hint="eastAsia"/>
                <w:sz w:val="18"/>
                <w:szCs w:val="18"/>
                <w:highlight w:val="none"/>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highlight w:val="none"/>
              </w:rPr>
            </w:pPr>
          </w:p>
        </w:tc>
        <w:tc>
          <w:tcPr>
            <w:tcW w:w="1247" w:type="dxa"/>
            <w:vMerge w:val="continue"/>
            <w:shd w:val="clear" w:color="auto" w:fill="auto"/>
            <w:vAlign w:val="center"/>
          </w:tcPr>
          <w:p>
            <w:pPr>
              <w:jc w:val="center"/>
              <w:rPr>
                <w:sz w:val="18"/>
                <w:szCs w:val="18"/>
                <w:highlight w:val="none"/>
              </w:rPr>
            </w:pPr>
          </w:p>
        </w:tc>
        <w:tc>
          <w:tcPr>
            <w:tcW w:w="1247" w:type="dxa"/>
            <w:vMerge w:val="restart"/>
            <w:shd w:val="clear" w:color="auto" w:fill="auto"/>
            <w:vAlign w:val="center"/>
          </w:tcPr>
          <w:p>
            <w:pPr>
              <w:jc w:val="center"/>
              <w:rPr>
                <w:sz w:val="18"/>
                <w:szCs w:val="18"/>
                <w:highlight w:val="none"/>
              </w:rPr>
            </w:pPr>
            <w:r>
              <w:rPr>
                <w:rFonts w:hint="eastAsia"/>
                <w:sz w:val="18"/>
                <w:szCs w:val="18"/>
                <w:highlight w:val="none"/>
              </w:rPr>
              <w:t>小计</w:t>
            </w:r>
          </w:p>
        </w:tc>
        <w:tc>
          <w:tcPr>
            <w:tcW w:w="2494" w:type="dxa"/>
            <w:gridSpan w:val="2"/>
            <w:shd w:val="clear" w:color="auto" w:fill="auto"/>
            <w:vAlign w:val="center"/>
          </w:tcPr>
          <w:p>
            <w:pPr>
              <w:jc w:val="center"/>
              <w:rPr>
                <w:sz w:val="18"/>
                <w:szCs w:val="18"/>
                <w:highlight w:val="none"/>
              </w:rPr>
            </w:pPr>
            <w:r>
              <w:rPr>
                <w:rFonts w:hint="eastAsia"/>
                <w:sz w:val="18"/>
                <w:szCs w:val="18"/>
                <w:highlight w:val="none"/>
              </w:rPr>
              <w:t>基本支出</w:t>
            </w:r>
          </w:p>
        </w:tc>
        <w:tc>
          <w:tcPr>
            <w:tcW w:w="124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c>
          <w:tcPr>
            <w:tcW w:w="1247" w:type="dxa"/>
            <w:gridSpan w:val="2"/>
            <w:vMerge w:val="restart"/>
            <w:shd w:val="clear" w:color="auto" w:fill="auto"/>
            <w:vAlign w:val="center"/>
          </w:tcPr>
          <w:p>
            <w:pPr>
              <w:jc w:val="center"/>
              <w:rPr>
                <w:sz w:val="18"/>
                <w:szCs w:val="18"/>
                <w:highlight w:val="none"/>
              </w:rPr>
            </w:pPr>
            <w:r>
              <w:rPr>
                <w:rFonts w:hint="eastAsia"/>
                <w:sz w:val="18"/>
                <w:szCs w:val="18"/>
                <w:highlight w:val="none"/>
              </w:rPr>
              <w:t>小计</w:t>
            </w:r>
          </w:p>
        </w:tc>
        <w:tc>
          <w:tcPr>
            <w:tcW w:w="2494" w:type="dxa"/>
            <w:gridSpan w:val="2"/>
            <w:shd w:val="clear" w:color="auto" w:fill="auto"/>
            <w:vAlign w:val="center"/>
          </w:tcPr>
          <w:p>
            <w:pPr>
              <w:jc w:val="center"/>
              <w:rPr>
                <w:sz w:val="18"/>
                <w:szCs w:val="18"/>
                <w:highlight w:val="none"/>
              </w:rPr>
            </w:pPr>
            <w:r>
              <w:rPr>
                <w:rFonts w:hint="eastAsia"/>
                <w:sz w:val="18"/>
                <w:szCs w:val="18"/>
                <w:highlight w:val="none"/>
              </w:rPr>
              <w:t>基本支出</w:t>
            </w:r>
          </w:p>
        </w:tc>
        <w:tc>
          <w:tcPr>
            <w:tcW w:w="1247" w:type="dxa"/>
            <w:vMerge w:val="restart"/>
            <w:shd w:val="clear" w:color="auto" w:fill="auto"/>
            <w:vAlign w:val="center"/>
          </w:tcPr>
          <w:p>
            <w:pPr>
              <w:jc w:val="center"/>
              <w:rPr>
                <w:sz w:val="18"/>
                <w:szCs w:val="18"/>
                <w:highlight w:val="none"/>
              </w:rPr>
            </w:pPr>
            <w:r>
              <w:rPr>
                <w:rFonts w:hint="eastAsia"/>
                <w:sz w:val="18"/>
                <w:szCs w:val="18"/>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highlight w:val="none"/>
              </w:rPr>
            </w:pPr>
          </w:p>
        </w:tc>
        <w:tc>
          <w:tcPr>
            <w:tcW w:w="1247" w:type="dxa"/>
            <w:vMerge w:val="continue"/>
            <w:shd w:val="clear" w:color="auto" w:fill="auto"/>
            <w:vAlign w:val="center"/>
          </w:tcPr>
          <w:p>
            <w:pPr>
              <w:jc w:val="center"/>
              <w:rPr>
                <w:sz w:val="18"/>
                <w:szCs w:val="18"/>
                <w:highlight w:val="none"/>
              </w:rPr>
            </w:pPr>
          </w:p>
        </w:tc>
        <w:tc>
          <w:tcPr>
            <w:tcW w:w="1247" w:type="dxa"/>
            <w:vMerge w:val="continue"/>
            <w:shd w:val="clear" w:color="auto" w:fill="auto"/>
            <w:vAlign w:val="center"/>
          </w:tcPr>
          <w:p>
            <w:pPr>
              <w:jc w:val="center"/>
              <w:rPr>
                <w:sz w:val="18"/>
                <w:szCs w:val="18"/>
                <w:highlight w:val="none"/>
              </w:rPr>
            </w:pPr>
          </w:p>
        </w:tc>
        <w:tc>
          <w:tcPr>
            <w:tcW w:w="1247" w:type="dxa"/>
            <w:shd w:val="clear" w:color="auto" w:fill="auto"/>
            <w:vAlign w:val="center"/>
          </w:tcPr>
          <w:p>
            <w:pPr>
              <w:jc w:val="center"/>
              <w:rPr>
                <w:sz w:val="18"/>
                <w:szCs w:val="18"/>
                <w:highlight w:val="none"/>
              </w:rPr>
            </w:pPr>
            <w:r>
              <w:rPr>
                <w:rFonts w:hint="eastAsia"/>
                <w:sz w:val="18"/>
                <w:szCs w:val="18"/>
                <w:highlight w:val="none"/>
              </w:rPr>
              <w:t>人员经费</w:t>
            </w:r>
          </w:p>
        </w:tc>
        <w:tc>
          <w:tcPr>
            <w:tcW w:w="1247" w:type="dxa"/>
            <w:shd w:val="clear" w:color="auto" w:fill="auto"/>
            <w:vAlign w:val="center"/>
          </w:tcPr>
          <w:p>
            <w:pPr>
              <w:jc w:val="center"/>
              <w:rPr>
                <w:sz w:val="18"/>
                <w:szCs w:val="18"/>
                <w:highlight w:val="none"/>
              </w:rPr>
            </w:pPr>
            <w:r>
              <w:rPr>
                <w:rFonts w:hint="eastAsia"/>
                <w:sz w:val="18"/>
                <w:szCs w:val="18"/>
                <w:highlight w:val="none"/>
              </w:rPr>
              <w:t>公用经费</w:t>
            </w:r>
          </w:p>
        </w:tc>
        <w:tc>
          <w:tcPr>
            <w:tcW w:w="1247" w:type="dxa"/>
            <w:vMerge w:val="continue"/>
            <w:shd w:val="clear" w:color="auto" w:fill="auto"/>
            <w:vAlign w:val="center"/>
          </w:tcPr>
          <w:p>
            <w:pPr>
              <w:jc w:val="center"/>
              <w:rPr>
                <w:sz w:val="18"/>
                <w:szCs w:val="18"/>
                <w:highlight w:val="none"/>
              </w:rPr>
            </w:pPr>
          </w:p>
        </w:tc>
        <w:tc>
          <w:tcPr>
            <w:tcW w:w="1247" w:type="dxa"/>
            <w:gridSpan w:val="2"/>
            <w:vMerge w:val="continue"/>
            <w:shd w:val="clear" w:color="auto" w:fill="auto"/>
            <w:vAlign w:val="center"/>
          </w:tcPr>
          <w:p>
            <w:pPr>
              <w:jc w:val="center"/>
              <w:rPr>
                <w:sz w:val="18"/>
                <w:szCs w:val="18"/>
                <w:highlight w:val="none"/>
              </w:rPr>
            </w:pPr>
          </w:p>
        </w:tc>
        <w:tc>
          <w:tcPr>
            <w:tcW w:w="1247" w:type="dxa"/>
            <w:shd w:val="clear" w:color="auto" w:fill="auto"/>
            <w:vAlign w:val="center"/>
          </w:tcPr>
          <w:p>
            <w:pPr>
              <w:jc w:val="center"/>
              <w:rPr>
                <w:sz w:val="18"/>
                <w:szCs w:val="18"/>
                <w:highlight w:val="none"/>
              </w:rPr>
            </w:pPr>
            <w:r>
              <w:rPr>
                <w:rFonts w:hint="eastAsia"/>
                <w:sz w:val="18"/>
                <w:szCs w:val="18"/>
                <w:highlight w:val="none"/>
              </w:rPr>
              <w:t>人员经费</w:t>
            </w:r>
          </w:p>
        </w:tc>
        <w:tc>
          <w:tcPr>
            <w:tcW w:w="1247" w:type="dxa"/>
            <w:shd w:val="clear" w:color="auto" w:fill="auto"/>
            <w:vAlign w:val="center"/>
          </w:tcPr>
          <w:p>
            <w:pPr>
              <w:jc w:val="center"/>
              <w:rPr>
                <w:sz w:val="18"/>
                <w:szCs w:val="18"/>
                <w:highlight w:val="none"/>
              </w:rPr>
            </w:pPr>
            <w:r>
              <w:rPr>
                <w:rFonts w:hint="eastAsia"/>
                <w:sz w:val="18"/>
                <w:szCs w:val="18"/>
                <w:highlight w:val="none"/>
              </w:rPr>
              <w:t>公用经费</w:t>
            </w:r>
          </w:p>
        </w:tc>
        <w:tc>
          <w:tcPr>
            <w:tcW w:w="1247" w:type="dxa"/>
            <w:vMerge w:val="continue"/>
            <w:shd w:val="clear" w:color="auto" w:fill="auto"/>
            <w:vAlign w:val="center"/>
          </w:tcPr>
          <w:p>
            <w:pPr>
              <w:jc w:val="center"/>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highlight w:val="none"/>
              </w:rPr>
            </w:pPr>
            <w:r>
              <w:rPr>
                <w:rFonts w:hint="default" w:ascii="宋体" w:hAnsi="宋体"/>
                <w:b/>
                <w:kern w:val="0"/>
                <w:sz w:val="13"/>
                <w:szCs w:val="13"/>
                <w:highlight w:val="none"/>
              </w:rPr>
              <w:t>巴音郭楞蒙古自治州无线电管理中心</w:t>
            </w: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4.28</w:t>
            </w: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4.28</w:t>
            </w: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4.28</w:t>
            </w:r>
          </w:p>
        </w:tc>
        <w:tc>
          <w:tcPr>
            <w:tcW w:w="1247" w:type="dxa"/>
            <w:gridSpan w:val="2"/>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highlight w:val="none"/>
              </w:rPr>
            </w:pPr>
            <w:r>
              <w:rPr>
                <w:rFonts w:hint="default" w:ascii="宋体" w:hAnsi="宋体"/>
                <w:kern w:val="0"/>
                <w:sz w:val="13"/>
                <w:szCs w:val="13"/>
                <w:highlight w:val="none"/>
              </w:rPr>
              <w:t xml:space="preserve">  2025年无线电管理经费</w:t>
            </w: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2.57</w:t>
            </w: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2.57</w:t>
            </w: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2.57</w:t>
            </w:r>
          </w:p>
        </w:tc>
        <w:tc>
          <w:tcPr>
            <w:tcW w:w="1247" w:type="dxa"/>
            <w:gridSpan w:val="2"/>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highlight w:val="none"/>
              </w:rPr>
            </w:pPr>
            <w:r>
              <w:rPr>
                <w:rFonts w:hint="default" w:ascii="宋体" w:hAnsi="宋体"/>
                <w:kern w:val="0"/>
                <w:sz w:val="13"/>
                <w:szCs w:val="13"/>
                <w:highlight w:val="none"/>
              </w:rPr>
              <w:t xml:space="preserve">  2025年中央无线电管理经费</w:t>
            </w: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1.71</w:t>
            </w: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1.71</w:t>
            </w: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r>
              <w:rPr>
                <w:rFonts w:hint="default" w:ascii="宋体" w:hAnsi="宋体"/>
                <w:kern w:val="0"/>
                <w:sz w:val="13"/>
                <w:szCs w:val="13"/>
                <w:highlight w:val="none"/>
              </w:rPr>
              <w:t>1.71</w:t>
            </w:r>
          </w:p>
        </w:tc>
        <w:tc>
          <w:tcPr>
            <w:tcW w:w="1247" w:type="dxa"/>
            <w:gridSpan w:val="2"/>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c>
          <w:tcPr>
            <w:tcW w:w="1247" w:type="dxa"/>
            <w:shd w:val="clear" w:color="auto" w:fill="auto"/>
            <w:vAlign w:val="center"/>
          </w:tcPr>
          <w:p>
            <w:pPr>
              <w:ind w:right="-29" w:rightChars="-14"/>
              <w:jc w:val="right"/>
              <w:rPr>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highlight w:val="none"/>
              </w:rPr>
            </w:pPr>
            <w:r>
              <w:rPr>
                <w:rFonts w:hint="default" w:ascii="宋体" w:hAnsi="宋体"/>
                <w:b/>
                <w:kern w:val="0"/>
                <w:sz w:val="13"/>
                <w:szCs w:val="13"/>
                <w:highlight w:val="none"/>
              </w:rPr>
              <w:t>总计</w:t>
            </w: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4.28</w:t>
            </w: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4.28</w:t>
            </w: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r>
              <w:rPr>
                <w:rFonts w:hint="default" w:ascii="宋体" w:hAnsi="宋体"/>
                <w:b/>
                <w:kern w:val="0"/>
                <w:sz w:val="13"/>
                <w:szCs w:val="13"/>
                <w:highlight w:val="none"/>
              </w:rPr>
              <w:t>4.28</w:t>
            </w:r>
          </w:p>
        </w:tc>
        <w:tc>
          <w:tcPr>
            <w:tcW w:w="1247" w:type="dxa"/>
            <w:gridSpan w:val="2"/>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c>
          <w:tcPr>
            <w:tcW w:w="1247" w:type="dxa"/>
            <w:shd w:val="clear" w:color="auto" w:fill="auto"/>
            <w:vAlign w:val="center"/>
          </w:tcPr>
          <w:p>
            <w:pPr>
              <w:ind w:right="-29" w:rightChars="-14"/>
              <w:jc w:val="right"/>
              <w:rPr>
                <w:b/>
                <w:sz w:val="18"/>
                <w:szCs w:val="18"/>
                <w:highlight w:val="none"/>
              </w:rPr>
            </w:pPr>
          </w:p>
        </w:tc>
      </w:tr>
    </w:tbl>
    <w:p>
      <w:pPr>
        <w:widowControl/>
        <w:jc w:val="left"/>
        <w:rPr>
          <w:rFonts w:hint="default" w:ascii="仿宋" w:eastAsia="仿宋"/>
          <w:b/>
          <w:color w:val="000000"/>
          <w:szCs w:val="21"/>
          <w:highlight w:val="none"/>
        </w:rPr>
        <w:sectPr>
          <w:pgSz w:w="16838" w:h="11906" w:orient="landscape"/>
          <w:pgMar w:top="1134" w:right="1134" w:bottom="1134" w:left="1134" w:header="851" w:footer="992" w:gutter="0"/>
          <w:cols w:space="425" w:num="1"/>
          <w:docGrid w:type="lines" w:linePitch="312" w:charSpace="0"/>
        </w:sectPr>
      </w:pPr>
    </w:p>
    <w:p>
      <w:pPr>
        <w:pStyle w:val="2"/>
        <w:spacing w:before="156" w:beforeLines="50" w:after="156" w:afterLines="50" w:line="240" w:lineRule="atLeast"/>
        <w:jc w:val="center"/>
        <w:rPr>
          <w:rFonts w:hint="default" w:ascii="黑体" w:eastAsia="黑体"/>
          <w:sz w:val="30"/>
          <w:szCs w:val="30"/>
          <w:highlight w:val="none"/>
        </w:rPr>
      </w:pPr>
      <w:r>
        <w:rPr>
          <w:rFonts w:hint="eastAsia" w:ascii="黑体" w:eastAsia="黑体"/>
          <w:sz w:val="30"/>
          <w:szCs w:val="30"/>
          <w:highlight w:val="none"/>
        </w:rPr>
        <w:t>第三部分 2026年单位预算情况说明</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关于巴音郭楞蒙古自治州无线电管理中心2026年收支预算情况总体说明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按照全口径预算的原则，巴音郭楞蒙古自治州无线电管理中心2026年所有收入和支出均纳入单位预算管理。收支总预算286.13万元。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收入预算包括：一般公共预算、财政拨款结转结余。</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支出预算包括：社会保障和就业支出、卫生健康支出、资源勘探工业信息等支出、住房保障支出。</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关于巴音郭楞蒙古自治州无线电管理中心2026年收入预算情况说明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巴音郭楞蒙古自治州无线电管理中心单位收入预算286.13万元，其中：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般公共预算225.25万元，占78.72%，比上年预算增加36.19万元，增长19.14%，主要原因是①工资福利支出预算增加35.03万元，主要是单位通过事业单位招录新入职1人，且基本工资普调，相应工资福利支出增加；②商品和服务支出预算增加1.1万元，主要是单位通过事业单位招录新入职1人，相应公用经费预算增加；③对个人和家庭的补助支出预算增加0.06万元，主要是其他对个人家庭补助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一般公共预算安排的转移支付资金56.60万元，占19.78%，比上年预算减少9.60万元，下降14.50%，主要原因是单位无线电监测设备日常维护保养较好，设备故障维修需求下降，结合无线电技术设施运行维护实际情况相应减少</w:t>
      </w:r>
      <w:r>
        <w:rPr>
          <w:rFonts w:hint="eastAsia" w:ascii="仿宋" w:hAnsi="微软雅黑" w:eastAsia="仿宋"/>
          <w:sz w:val="28"/>
          <w:szCs w:val="28"/>
          <w:highlight w:val="none"/>
          <w:lang w:val="en-US" w:eastAsia="zh-CN"/>
        </w:rPr>
        <w:t>2026年</w:t>
      </w:r>
      <w:r>
        <w:rPr>
          <w:rFonts w:hint="eastAsia" w:ascii="仿宋" w:hAnsi="微软雅黑" w:eastAsia="仿宋"/>
          <w:sz w:val="28"/>
          <w:szCs w:val="28"/>
          <w:highlight w:val="none"/>
        </w:rPr>
        <w:t>无线电管理经费预算。</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政府性基金预算未安排。</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上级政府性基金安排的转移支付资金未安排。</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国有资本经营预算未安排。</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上级国有资本经营预算安排的转移支付资金未安排。</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财政拨款结转4.28万元，占1.50%，比上年预算增加1.87万元，增长77.59%，主要原因</w:t>
      </w:r>
      <w:r>
        <w:rPr>
          <w:rFonts w:hint="eastAsia" w:ascii="仿宋" w:hAnsi="微软雅黑" w:eastAsia="仿宋"/>
          <w:sz w:val="28"/>
          <w:szCs w:val="28"/>
          <w:highlight w:val="none"/>
          <w:lang w:val="en-US" w:eastAsia="zh-CN"/>
        </w:rPr>
        <w:t>2025年无线电管理经费支出结转增加</w:t>
      </w:r>
      <w:r>
        <w:rPr>
          <w:rFonts w:hint="eastAsia" w:ascii="仿宋" w:hAnsi="微软雅黑" w:eastAsia="仿宋"/>
          <w:sz w:val="28"/>
          <w:szCs w:val="28"/>
          <w:highlight w:val="none"/>
        </w:rPr>
        <w:t>。</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关于巴音郭楞蒙古自治州无线电管理中心2026年支出预算情况说明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巴音郭楞蒙古自治州无线电管理中心2026年支出预算286.13万元，其中：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基本支出225.25万元，占78.72%，比上年预算增加36.19万元，增长19.14%，主要原因是①工资福利支出预算增加35.03万元，主要是单位通过事业单位招录新入职1人，且基本工资普调，相应工资福利支出增加；②商品和服务支出预算增加1.1万元，主要是单位通过事业单位招录新入职1人，相应公用经费预算增加；③对个人和家庭的补助支出预算增加0.06万元，主要是其他对个人家庭补助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项目支出60.88万元，占21.28%，比上年预算减少7.73万元，下降11.27%，主要原因是①</w:t>
      </w:r>
      <w:r>
        <w:rPr>
          <w:rFonts w:hint="eastAsia" w:ascii="仿宋" w:hAnsi="微软雅黑" w:eastAsia="仿宋"/>
          <w:sz w:val="28"/>
          <w:szCs w:val="28"/>
          <w:highlight w:val="none"/>
          <w:lang w:val="en-US" w:eastAsia="zh-CN"/>
        </w:rPr>
        <w:t>2026年</w:t>
      </w:r>
      <w:r>
        <w:rPr>
          <w:rFonts w:hint="eastAsia" w:ascii="仿宋" w:hAnsi="微软雅黑" w:eastAsia="仿宋"/>
          <w:sz w:val="28"/>
          <w:szCs w:val="28"/>
          <w:highlight w:val="none"/>
        </w:rPr>
        <w:t>无线电管理经费预算减少9.6</w:t>
      </w:r>
      <w:r>
        <w:rPr>
          <w:rFonts w:hint="eastAsia" w:ascii="仿宋" w:hAnsi="微软雅黑" w:eastAsia="仿宋"/>
          <w:sz w:val="28"/>
          <w:szCs w:val="28"/>
          <w:highlight w:val="none"/>
          <w:lang w:val="en-US" w:eastAsia="zh-CN"/>
        </w:rPr>
        <w:t>万元</w:t>
      </w:r>
      <w:r>
        <w:rPr>
          <w:rFonts w:hint="eastAsia" w:ascii="仿宋" w:hAnsi="微软雅黑" w:eastAsia="仿宋"/>
          <w:sz w:val="28"/>
          <w:szCs w:val="28"/>
          <w:highlight w:val="none"/>
        </w:rPr>
        <w:t>，主要是单位无线电监测设备日常维护保养较好，设备故障维修需求下降；②</w:t>
      </w:r>
      <w:r>
        <w:rPr>
          <w:rFonts w:hint="eastAsia" w:ascii="仿宋" w:hAnsi="微软雅黑" w:eastAsia="仿宋"/>
          <w:sz w:val="28"/>
          <w:szCs w:val="28"/>
          <w:highlight w:val="none"/>
          <w:lang w:val="en-US" w:eastAsia="zh-CN"/>
        </w:rPr>
        <w:t>2025年无线电管理经费</w:t>
      </w:r>
      <w:r>
        <w:rPr>
          <w:rFonts w:hint="eastAsia" w:ascii="仿宋" w:hAnsi="微软雅黑" w:eastAsia="仿宋"/>
          <w:sz w:val="28"/>
          <w:szCs w:val="28"/>
          <w:highlight w:val="none"/>
        </w:rPr>
        <w:t>结转增加1.87万元，主要是随着无线电干扰查处、考试保障、频率协调等任务的加大，投入的人力物力相应增加，2026年加大了对财政拨款结转资金的安排支出，主要用于无线电专项差旅费。</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关于巴音郭楞蒙古自治州无线电管理中心2026年财政拨款收支预算情况的总体说明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2026年财政拨款收支总预算281.85万元。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收入全部为一般公共预算拨款，无政府性基金预算拨款和国有资本经营预算。</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收入预算包括：一般公共预算拨款281.85万元。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般公共预算支出包括：社会保障和就业支出33.09万元，主要用于机关事业单位基本养老保险缴费支出；卫生健康支出14.63万元，主要用于事业单位医疗及公务员医疗补助；资源勘探工业信息等支出218.13万元，主要用于无线电及信息通信监管；住房保障支出16.00万元，主要用于缴纳职工住房公积金。</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关于巴音郭楞蒙古自治州无线电管理中心2026年一般公共预算当年拨款情况说明</w:t>
      </w:r>
    </w:p>
    <w:p>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（一）一般公共预算当年拨款规模变化情况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巴音郭楞蒙古自治州无线电管理中心2026年一般公共预算拨款合计281.85万元，其中：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基本支出225.25万元，比上年预算增加36.19万元，增长19.14%，主要原因是①工资福利支出预算增加35.03万元，主要是单位通过事业单位招录新入职1人，且基本工资普调，相应工资福利支出增加；②商品和服务支出预算增加1.1万元，主要是单位通过事业单位招录新入职1人，相应公用经费预算增加；③对个人和家庭的补助支出预算增加0.06万元，主要是其他对个人家庭补助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项目支出56.60万元，比上年预算减少9.60万元，下降14.50%，主要原因是单位无线电监测设备日常维护保养较好，设备故障维修需求下降，结合无线电技术设施运行维护实际情况相应减少</w:t>
      </w:r>
      <w:r>
        <w:rPr>
          <w:rFonts w:hint="eastAsia" w:ascii="仿宋" w:hAnsi="微软雅黑" w:eastAsia="仿宋"/>
          <w:sz w:val="28"/>
          <w:szCs w:val="28"/>
          <w:highlight w:val="none"/>
          <w:lang w:val="en-US" w:eastAsia="zh-CN"/>
        </w:rPr>
        <w:t>2026年</w:t>
      </w:r>
      <w:r>
        <w:rPr>
          <w:rFonts w:hint="eastAsia" w:ascii="仿宋" w:hAnsi="微软雅黑" w:eastAsia="仿宋"/>
          <w:sz w:val="28"/>
          <w:szCs w:val="28"/>
          <w:highlight w:val="none"/>
        </w:rPr>
        <w:t>无线电管理经费预算。</w:t>
      </w:r>
    </w:p>
    <w:p>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（二）一般公共预算当年拨款结构情况，其中：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1.社会保障和就业支出（类）33.09万元，占11.74%。</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2.卫生健康支出（类）14.63万元，占5.19%。</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3.资源勘探工业信息等支出（类）218.13万元，占77.39%。</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4.住房保障支出（类）16.00万元，占5.68%。</w:t>
      </w:r>
    </w:p>
    <w:p>
      <w:pPr>
        <w:widowControl/>
        <w:spacing w:line="560" w:lineRule="exact"/>
        <w:ind w:firstLine="560" w:firstLineChars="200"/>
        <w:rPr>
          <w:rFonts w:hint="default" w:ascii="仿宋" w:hAnsi="微软雅黑" w:eastAsia="仿宋"/>
          <w:b/>
          <w:sz w:val="28"/>
          <w:szCs w:val="28"/>
          <w:highlight w:val="none"/>
        </w:rPr>
      </w:pPr>
      <w:r>
        <w:rPr>
          <w:rFonts w:hint="eastAsia" w:ascii="仿宋" w:hAnsi="微软雅黑" w:eastAsia="仿宋"/>
          <w:b/>
          <w:sz w:val="28"/>
          <w:szCs w:val="28"/>
          <w:highlight w:val="none"/>
        </w:rPr>
        <w:t>（三）一般公共预算当年拨款具体使用情况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社会保障和就业支出（类）行政事业单位养老支出（款）事业单位离退休（项）：2026年预算数为2.47万元，比上年预算减少0.00万元，下降0.00%，主要原因是离退休人员1人与上年无变化，相应事业单位离退休支出拨款也无变化。</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社会保障和就业支出（类）行政事业单位养老支出（款）机关事业单位基本养老保险缴费支出（项）：2026年预算数为20.82万元，比上年预算增加3.72万元，增长21.75%，主要原因是单位通过事业单位招录新入职1人，且基本工资</w:t>
      </w:r>
      <w:r>
        <w:rPr>
          <w:rFonts w:hint="eastAsia" w:ascii="仿宋" w:hAnsi="微软雅黑" w:eastAsia="仿宋"/>
          <w:sz w:val="28"/>
          <w:szCs w:val="28"/>
          <w:highlight w:val="none"/>
          <w:lang w:val="en-US" w:eastAsia="zh-CN"/>
        </w:rPr>
        <w:t>增加</w:t>
      </w:r>
      <w:r>
        <w:rPr>
          <w:rFonts w:hint="eastAsia" w:ascii="仿宋" w:hAnsi="微软雅黑" w:eastAsia="仿宋"/>
          <w:sz w:val="28"/>
          <w:szCs w:val="28"/>
          <w:highlight w:val="none"/>
        </w:rPr>
        <w:t>，相应的机关事业单位基本养老保险缴费支出拨款增加。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社会保障和就业支出（类）行政事业单位养老支出（款）机关事业单位职业年金缴费支出（项）：2026年预算数为9.81万元，比上年预算增加9.81万元，增长100.00%，主要原因是根据《新疆维吾尔自治区职业年金单位缴费实账管理实施方案》，自2026年起自治区本级财政全额供款单位的职业年金列入单位基本支出预算足额保障，2026年机关事业单位职业年金缴费支出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4.卫生健康支出（类）行政事业单位医疗（款）事业单位医疗（项）：2026年预算数为9.95万元，比上年预算增加2.15万元，增长27.56%，主要原因是单位通过事业单位招录新入职1人，且基本工资</w:t>
      </w:r>
      <w:r>
        <w:rPr>
          <w:rFonts w:hint="eastAsia" w:ascii="仿宋" w:hAnsi="微软雅黑" w:eastAsia="仿宋" w:cs="Times New Roman"/>
          <w:sz w:val="28"/>
          <w:szCs w:val="28"/>
          <w:highlight w:val="none"/>
          <w:lang w:val="en-US" w:eastAsia="zh-CN"/>
        </w:rPr>
        <w:t>增加</w:t>
      </w:r>
      <w:r>
        <w:rPr>
          <w:rFonts w:hint="eastAsia" w:ascii="仿宋" w:hAnsi="微软雅黑" w:eastAsia="仿宋"/>
          <w:sz w:val="28"/>
          <w:szCs w:val="28"/>
          <w:highlight w:val="none"/>
        </w:rPr>
        <w:t>，相应的医疗缴费支出拨款增加。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5.卫生健康支出（类）行政事业单位医疗（款）公务员医疗补助（项）：2026年预算数为4.68万元，比上年预算增加1.42万元，增长43.56%，主要原因是单位通过事业单位招录新入职1人，且基本工资</w:t>
      </w:r>
      <w:r>
        <w:rPr>
          <w:rFonts w:hint="eastAsia" w:ascii="仿宋" w:hAnsi="微软雅黑" w:eastAsia="仿宋"/>
          <w:sz w:val="28"/>
          <w:szCs w:val="28"/>
          <w:highlight w:val="none"/>
          <w:lang w:val="en-US" w:eastAsia="zh-CN"/>
        </w:rPr>
        <w:t>增加</w:t>
      </w:r>
      <w:r>
        <w:rPr>
          <w:rFonts w:hint="eastAsia" w:ascii="仿宋" w:hAnsi="微软雅黑" w:eastAsia="仿宋"/>
          <w:sz w:val="28"/>
          <w:szCs w:val="28"/>
          <w:highlight w:val="none"/>
        </w:rPr>
        <w:t>，相应的公务员医疗补助缴费拨款增加。</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6.资源勘探工业信息等支出（类）工业和信息产业（款）无线电及信息通信监管（项）：2026年预算数为218.13万元，比上年预算增加6.32万元，增长2.98%，主要原因是增加了基本支出预算15.92万元，①工资福利支出预算增加14.76万元，主要是通过事业单位招录新入职1人，且基本工资普调，相应工资福利支出增加；②商品和服务支出预算增加1.16万元，主要是通过事业单位招录新入职1人，且退休人员老干部活动费的功能分类科目由“事业单位离退休”</w:t>
      </w:r>
      <w:r>
        <w:rPr>
          <w:rFonts w:hint="eastAsia" w:ascii="仿宋" w:hAnsi="微软雅黑" w:eastAsia="仿宋"/>
          <w:sz w:val="28"/>
          <w:szCs w:val="28"/>
          <w:highlight w:val="none"/>
          <w:lang w:val="en-US" w:eastAsia="zh-CN"/>
        </w:rPr>
        <w:t>调整</w:t>
      </w:r>
      <w:r>
        <w:rPr>
          <w:rFonts w:hint="eastAsia" w:ascii="仿宋" w:hAnsi="微软雅黑" w:eastAsia="仿宋"/>
          <w:sz w:val="28"/>
          <w:szCs w:val="28"/>
          <w:highlight w:val="none"/>
        </w:rPr>
        <w:t>为“无线电及信息通信监管”，相应公用经费预算增加；项目支出预算减少9.6万元，主要是单位无线电监测设备日常维护保养较好，设备故障维修需求下降，结合无线电技术设施运行维护实际情况相应减少</w:t>
      </w:r>
      <w:r>
        <w:rPr>
          <w:rFonts w:hint="eastAsia" w:ascii="仿宋" w:hAnsi="微软雅黑" w:eastAsia="仿宋"/>
          <w:sz w:val="28"/>
          <w:szCs w:val="28"/>
          <w:highlight w:val="none"/>
          <w:lang w:val="en-US" w:eastAsia="zh-CN"/>
        </w:rPr>
        <w:t>2026年</w:t>
      </w:r>
      <w:r>
        <w:rPr>
          <w:rFonts w:hint="eastAsia" w:ascii="仿宋" w:hAnsi="微软雅黑" w:eastAsia="仿宋"/>
          <w:sz w:val="28"/>
          <w:szCs w:val="28"/>
          <w:highlight w:val="none"/>
        </w:rPr>
        <w:t>无线电管理经费预算。</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7.住房保障支出（类）住房改革支出（款）住房公积金（项）：2026年预算数为16.00万元，比上年预算增加3.18万元，增长24.80%，主要原因是单位通过事业单位招录新入职1人，且基本工资</w:t>
      </w:r>
      <w:r>
        <w:rPr>
          <w:rFonts w:hint="eastAsia" w:ascii="仿宋" w:hAnsi="微软雅黑" w:eastAsia="仿宋"/>
          <w:sz w:val="28"/>
          <w:szCs w:val="28"/>
          <w:highlight w:val="none"/>
          <w:lang w:val="en-US" w:eastAsia="zh-CN"/>
        </w:rPr>
        <w:t>增加</w:t>
      </w:r>
      <w:r>
        <w:rPr>
          <w:rFonts w:hint="eastAsia" w:ascii="仿宋" w:hAnsi="微软雅黑" w:eastAsia="仿宋"/>
          <w:sz w:val="28"/>
          <w:szCs w:val="28"/>
          <w:highlight w:val="none"/>
        </w:rPr>
        <w:t>，相应的</w:t>
      </w:r>
      <w:bookmarkStart w:id="0" w:name="_GoBack"/>
      <w:bookmarkEnd w:id="0"/>
      <w:r>
        <w:rPr>
          <w:rFonts w:hint="eastAsia" w:ascii="仿宋" w:hAnsi="微软雅黑" w:eastAsia="仿宋"/>
          <w:sz w:val="28"/>
          <w:szCs w:val="28"/>
          <w:highlight w:val="none"/>
        </w:rPr>
        <w:t>住房公积金缴费拨款增加。</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关于巴音郭楞蒙古自治州无线电管理中心2026年一般公共预算基本支出情况说明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巴音郭楞蒙古自治州无线电管理中心2026年一般公共预算基本支出225.25万元，其中：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人员经费196.98万元，主要包括：基本工资、津贴补贴、奖金、绩效工资、机关事业单位基本养老保险缴费、职业年金缴费、职工基本医疗保险缴费、公务员医疗补助缴费、其他社会保障缴费、住房公积金、其他工资福利支出、退休费、其他对个人和家庭的补助。</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公用经费28.27万元，主要包括：办公费、水费、电费、邮电费、取暖费、差旅费、工会经费、公务用车运行维护费、其他商品和服务支出。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关于巴音郭楞蒙古自治州无线电管理中心2026年一般公共预算项目支出情况说明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（一）项目名称：2026年无线电管理经费</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设立的政策依据：</w:t>
      </w:r>
      <w:r>
        <w:rPr>
          <w:rFonts w:hint="eastAsia" w:ascii="仿宋" w:hAnsi="微软雅黑" w:eastAsia="仿宋"/>
          <w:sz w:val="28"/>
          <w:szCs w:val="28"/>
        </w:rPr>
        <w:t>《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等。</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预算安排规模：56.60万元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项目承担单位：巴音郭楞蒙古自治州无线电管理中心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资金分配情况：商品和服务支出56.6万元，其中：无线电管理基础设施和技术设施运行维护支出49.1万元、无线电专项监管和其他相关支出7.5万元。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资金执行时间：2026年1月1日至2026年12月31日</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关于巴音郭楞蒙古自治州无线电管理中心2026年政府性基金预算拨款情况说明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关于巴音郭楞蒙古自治州无线电管理中心2026年国有资本经营预算拨款情况说明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关于巴音郭楞蒙古自治州无线电管理中心2026年财政拨款“三公”经费预算情况说明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巴音郭楞蒙古自治州无线电管理中心2026年财政拨款“三公”经费数为5.88万元，其中：因公出国（境）费用0.00万元，公务用车购置0.00万元，公务用车运行维护费5.88万元，公务接待费0.00万元。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财政拨款“三公”经费预算比上年预算增加0.98万元，增长20.00%，其中：因公出国（境）费用增加0.00万元，增长0.00%，主要原因是2025年与2026年均未安排因公出国（境）费用；公务用车购置增加0.00万元，增长0.00%，主要原因是2025年与2026年均未安排公务用车购置；公务用车运行维护费增加0.98万元，增长20.00%，主要原因是在保证工信厅部门“三公”经费预算逐年只减不增的前提下，调增了巴音郭楞蒙古自治州无线电管理中心公务用车运行维护费；公务接待费增加0.00万元，增长0.00%，主要原因是2025年与2026年均未安排公务接待费。</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关于巴音郭楞蒙古自治州无线电管理中心2026年财政拨款委托业务费支出情况说明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巴音郭楞蒙古自治州无线电管理中心2026年没有委托业务费预算的支出，财政拨款委托业务费支出情况表为空表。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关于巴音郭楞蒙古自治州无线电管理中心2026年上年结转结余预算情况说明</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巴音郭楞蒙古自治州无线电管理中心2026年上年结转结余4.28万元，包括：财政拨款4.28万元，非财政拨款0.00万元，其中：</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1.2025年无线电管理经费结转2.57万元，主要用于：无线电特种专业车辆的运行维护支出。</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2.2025年中央无线电管理经费结转1.71万元，主要用于：无线电专项监管支出。</w:t>
      </w:r>
    </w:p>
    <w:p>
      <w:pPr>
        <w:pStyle w:val="3"/>
        <w:numPr>
          <w:ilvl w:val="0"/>
          <w:numId w:val="2"/>
        </w:numPr>
        <w:spacing w:before="0" w:after="0" w:line="560" w:lineRule="exact"/>
        <w:ind w:left="0" w:firstLine="562" w:firstLineChars="201"/>
        <w:rPr>
          <w:rFonts w:hint="default" w:ascii="仿宋" w:hAnsi="华文楷体" w:eastAsia="仿宋"/>
          <w:sz w:val="28"/>
          <w:szCs w:val="28"/>
          <w:highlight w:val="none"/>
        </w:rPr>
      </w:pPr>
      <w:r>
        <w:rPr>
          <w:rFonts w:hint="eastAsia" w:ascii="仿宋" w:hAnsi="华文楷体" w:eastAsia="仿宋"/>
          <w:sz w:val="28"/>
          <w:szCs w:val="28"/>
          <w:highlight w:val="none"/>
        </w:rPr>
        <w:t>其他重要事项的情况说明</w:t>
      </w: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eastAsia" w:ascii="楷体" w:eastAsia="楷体"/>
          <w:sz w:val="28"/>
          <w:szCs w:val="28"/>
          <w:highlight w:val="none"/>
        </w:rPr>
        <w:t>单位运行经费情况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巴音郭楞蒙古自治州无线电管理中心2026年的事业单位运行经费财政拨款预算28.27万元，比上年预算增加1.10万元，增长4.05%，主要原因是单位通过事业单位招录新入职1人，相应事业单位运行经费预算增加。</w:t>
      </w: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eastAsia" w:ascii="楷体" w:eastAsia="楷体"/>
          <w:sz w:val="28"/>
          <w:szCs w:val="28"/>
          <w:highlight w:val="none"/>
        </w:rPr>
        <w:t>政府采购情况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2026年，巴音郭楞蒙古自治州无线电管理中心政府采购预算53.54万元，其中：政府采购货物预算2.76万元，政府采购工程预算0.00万元，政府采购服务预算50.78万元。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2026年，巴音郭楞蒙古自治州无线电管理中心面向中小企业预留政府采购项目预算金额17.75万元，其中：小微企业预留政府采购项目预算金额17.75万元。</w:t>
      </w: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国有资产占用使用情况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截至2025年底，巴音郭楞蒙古自治州无线电管理中心占用使用国有资产总体情况为：</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1.房屋2,314.60平方米，价值689.83万元。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2.车辆4辆，价值186.30万元；其中：一般公务用车0辆，价值0.00万元；执法执勤用车1辆，价值44.80万元；其他车辆3辆，价值141.50万元。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3.办公家具价值14.10万元。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4.其他资产价值4,579.34万元。</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单位价值单价50万元以上大型设备20台，单位价值单价100万元以上大型设备15台。</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2026年单位预算未安排购置车辆经费，安排购置单价50万元以上大型设备0台，单位单价100万元以上大型设备0台。</w:t>
      </w: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预算绩效情况</w:t>
      </w:r>
    </w:p>
    <w:p>
      <w:pPr>
        <w:widowControl/>
        <w:spacing w:line="560" w:lineRule="exact"/>
        <w:ind w:firstLine="560" w:firstLineChars="200"/>
        <w:rPr>
          <w:rFonts w:hint="default" w:ascii="仿宋" w:hAnsi="微软雅黑" w:eastAsia="仿宋"/>
          <w:sz w:val="28"/>
          <w:szCs w:val="28"/>
          <w:highlight w:val="none"/>
        </w:rPr>
      </w:pPr>
      <w:r>
        <w:rPr>
          <w:rFonts w:hint="eastAsia" w:ascii="仿宋" w:hAnsi="微软雅黑" w:eastAsia="仿宋"/>
          <w:sz w:val="28"/>
          <w:szCs w:val="28"/>
          <w:highlight w:val="none"/>
        </w:rPr>
        <w:t>当年预算安排项目共1个，其中：财政拨款项目涉及预算金额56.60万元；非财政拨款项目涉及预算金额0.00万元。</w:t>
      </w:r>
    </w:p>
    <w:p>
      <w:pPr>
        <w:pStyle w:val="4"/>
        <w:numPr>
          <w:ilvl w:val="0"/>
          <w:numId w:val="3"/>
        </w:numPr>
        <w:spacing w:before="0" w:after="0" w:line="560" w:lineRule="exact"/>
        <w:ind w:left="0" w:firstLine="562" w:firstLineChars="201"/>
        <w:rPr>
          <w:rFonts w:hint="default" w:ascii="楷体" w:eastAsia="楷体"/>
          <w:sz w:val="28"/>
          <w:szCs w:val="28"/>
          <w:highlight w:val="none"/>
        </w:rPr>
      </w:pPr>
      <w:r>
        <w:rPr>
          <w:rFonts w:hint="default" w:ascii="楷体" w:eastAsia="楷体"/>
          <w:sz w:val="28"/>
          <w:szCs w:val="28"/>
          <w:highlight w:val="none"/>
        </w:rPr>
        <w:t>其他需说明的事项</w:t>
      </w:r>
    </w:p>
    <w:p>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highlight w:val="none"/>
        </w:rPr>
        <w:t>巴音郭楞蒙古自治州无线电管理中心</w:t>
      </w:r>
      <w:r>
        <w:rPr>
          <w:rFonts w:hint="eastAsia" w:ascii="仿宋" w:hAnsi="微软雅黑" w:eastAsia="仿宋"/>
          <w:color w:val="auto"/>
          <w:sz w:val="28"/>
          <w:szCs w:val="28"/>
        </w:rPr>
        <w:t>2026年财政拨款项目</w:t>
      </w:r>
      <w:r>
        <w:rPr>
          <w:rFonts w:hint="eastAsia" w:ascii="仿宋" w:hAnsi="微软雅黑" w:eastAsia="仿宋"/>
          <w:color w:val="auto"/>
          <w:sz w:val="28"/>
          <w:szCs w:val="28"/>
          <w:lang w:val="en-US" w:eastAsia="zh-CN"/>
        </w:rPr>
        <w:t>1个</w:t>
      </w:r>
      <w:r>
        <w:rPr>
          <w:rFonts w:hint="eastAsia" w:ascii="仿宋" w:hAnsi="微软雅黑" w:eastAsia="仿宋"/>
          <w:color w:val="auto"/>
          <w:sz w:val="28"/>
          <w:szCs w:val="28"/>
          <w:highlight w:val="none"/>
        </w:rPr>
        <w:t>，为2026年无线电管理经费，涉及预算金额56.6万元（项目绩效目标表由自治区工信厅部门统一汇总公开）</w:t>
      </w:r>
    </w:p>
    <w:p>
      <w:pPr>
        <w:pStyle w:val="2"/>
        <w:spacing w:before="156" w:beforeLines="50" w:after="156" w:afterLines="50" w:line="560" w:lineRule="exact"/>
        <w:jc w:val="center"/>
        <w:rPr>
          <w:rFonts w:hint="default" w:ascii="黑体" w:eastAsia="黑体"/>
          <w:sz w:val="30"/>
          <w:szCs w:val="30"/>
          <w:highlight w:val="none"/>
        </w:rPr>
      </w:pPr>
      <w:r>
        <w:rPr>
          <w:rFonts w:hint="default" w:ascii="黑体" w:eastAsia="黑体"/>
          <w:sz w:val="30"/>
          <w:szCs w:val="30"/>
          <w:highlight w:val="none"/>
        </w:rPr>
        <w:br w:type="page"/>
      </w:r>
      <w:r>
        <w:rPr>
          <w:rFonts w:hint="eastAsia" w:ascii="黑体" w:eastAsia="黑体"/>
          <w:sz w:val="30"/>
          <w:szCs w:val="30"/>
          <w:highlight w:val="none"/>
        </w:rPr>
        <w:t>第四部分 名词解释</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一、财政拨款:</w:t>
      </w:r>
      <w:r>
        <w:rPr>
          <w:rFonts w:hint="eastAsia" w:ascii="仿宋" w:hAnsi="CIDFont+F6" w:eastAsia="仿宋"/>
          <w:color w:val="000000"/>
          <w:sz w:val="28"/>
          <w:szCs w:val="28"/>
          <w:highlight w:val="none"/>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二、一般公共预算:</w:t>
      </w:r>
      <w:r>
        <w:rPr>
          <w:rFonts w:hint="eastAsia" w:ascii="仿宋" w:hAnsi="CIDFont+F6" w:eastAsia="仿宋"/>
          <w:color w:val="000000"/>
          <w:sz w:val="28"/>
          <w:szCs w:val="28"/>
          <w:highlight w:val="none"/>
        </w:rPr>
        <w:t>包括公共财政拨款（补助）资金、专项收入。</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三、财政专户管理资金:</w:t>
      </w:r>
      <w:r>
        <w:rPr>
          <w:rFonts w:hint="eastAsia" w:ascii="仿宋" w:hAnsi="CIDFont+F6" w:eastAsia="仿宋"/>
          <w:color w:val="000000"/>
          <w:sz w:val="28"/>
          <w:szCs w:val="28"/>
          <w:highlight w:val="none"/>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四、其他资金:</w:t>
      </w:r>
      <w:r>
        <w:rPr>
          <w:rFonts w:hint="eastAsia" w:ascii="仿宋" w:hAnsi="CIDFont+F6" w:eastAsia="仿宋"/>
          <w:color w:val="000000"/>
          <w:sz w:val="28"/>
          <w:szCs w:val="28"/>
          <w:highlight w:val="none"/>
        </w:rPr>
        <w:t>包括事业收入、事业经营收入、其他收入等。</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五、基本支出:</w:t>
      </w:r>
      <w:r>
        <w:rPr>
          <w:rFonts w:hint="eastAsia" w:ascii="仿宋" w:hAnsi="CIDFont+F6" w:eastAsia="仿宋"/>
          <w:color w:val="000000"/>
          <w:sz w:val="28"/>
          <w:szCs w:val="28"/>
          <w:highlight w:val="none"/>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六、项目支出:</w:t>
      </w:r>
      <w:r>
        <w:rPr>
          <w:rFonts w:hint="eastAsia" w:ascii="仿宋" w:hAnsi="CIDFont+F6" w:eastAsia="仿宋"/>
          <w:color w:val="000000"/>
          <w:sz w:val="28"/>
          <w:szCs w:val="28"/>
          <w:highlight w:val="none"/>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七、“三公”经费:</w:t>
      </w:r>
      <w:r>
        <w:rPr>
          <w:rFonts w:hint="eastAsia" w:ascii="仿宋" w:hAnsi="CIDFont+F6" w:eastAsia="仿宋"/>
          <w:color w:val="000000"/>
          <w:sz w:val="28"/>
          <w:szCs w:val="28"/>
          <w:highlight w:val="none"/>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八、机关运行经费:</w:t>
      </w:r>
      <w:r>
        <w:rPr>
          <w:rFonts w:hint="eastAsia" w:ascii="仿宋" w:hAnsi="CIDFont+F6" w:eastAsia="仿宋"/>
          <w:color w:val="000000"/>
          <w:sz w:val="28"/>
          <w:szCs w:val="28"/>
          <w:highlight w:val="none"/>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highlight w:val="none"/>
        </w:rPr>
      </w:pPr>
      <w:r>
        <w:rPr>
          <w:rFonts w:hint="eastAsia" w:ascii="仿宋" w:hAnsi="CIDFont+F4" w:eastAsia="仿宋"/>
          <w:b/>
          <w:color w:val="000000"/>
          <w:sz w:val="28"/>
          <w:szCs w:val="28"/>
          <w:highlight w:val="none"/>
        </w:rPr>
        <w:t>九、委托业务费:</w:t>
      </w:r>
      <w:r>
        <w:rPr>
          <w:rFonts w:hint="eastAsia" w:ascii="仿宋" w:hAnsi="CIDFont+F6" w:eastAsia="仿宋"/>
          <w:color w:val="000000"/>
          <w:sz w:val="28"/>
          <w:szCs w:val="28"/>
          <w:highlight w:val="none"/>
        </w:rPr>
        <w:t>反映因委托外单位办理业务而支付的委托业务费。</w:t>
      </w:r>
    </w:p>
    <w:p>
      <w:pPr>
        <w:spacing w:line="560" w:lineRule="exact"/>
        <w:jc w:val="right"/>
        <w:rPr>
          <w:rFonts w:hint="eastAsia" w:ascii="仿宋" w:hAnsi="CIDFont+F6" w:eastAsia="仿宋"/>
          <w:color w:val="000000"/>
          <w:sz w:val="28"/>
          <w:szCs w:val="28"/>
          <w:highlight w:val="none"/>
        </w:rPr>
      </w:pPr>
      <w:r>
        <w:rPr>
          <w:rFonts w:hint="eastAsia" w:ascii="仿宋" w:hAnsi="CIDFont+F6" w:eastAsia="仿宋"/>
          <w:color w:val="000000"/>
          <w:sz w:val="28"/>
          <w:szCs w:val="28"/>
          <w:highlight w:val="none"/>
        </w:rPr>
        <w:t>巴音郭楞蒙古自治州无线电管理中心</w:t>
      </w:r>
    </w:p>
    <w:p>
      <w:pPr>
        <w:spacing w:line="560" w:lineRule="exact"/>
        <w:jc w:val="right"/>
        <w:rPr>
          <w:rFonts w:hint="default" w:ascii="仿宋" w:eastAsia="仿宋"/>
          <w:sz w:val="28"/>
          <w:szCs w:val="28"/>
          <w:highlight w:val="none"/>
        </w:rPr>
      </w:pPr>
      <w:r>
        <w:rPr>
          <w:rFonts w:hint="eastAsia" w:ascii="仿宋" w:hAnsi="CIDFont+F6" w:eastAsia="仿宋"/>
          <w:color w:val="000000"/>
          <w:sz w:val="28"/>
          <w:szCs w:val="28"/>
          <w:highlight w:val="none"/>
        </w:rPr>
        <w:t>2026年02月03日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A00002EF" w:usb1="4000004B" w:usb2="00000000" w:usb3="00000000" w:csb0="2000019F" w:csb1="00000000"/>
  </w:font>
  <w:font w:name="ArialUnicodeMS">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0000000000000000000"/>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6"/>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E8EB1"/>
    <w:multiLevelType w:val="multilevel"/>
    <w:tmpl w:val="BFFE8EB1"/>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F9AFD32B"/>
    <w:multiLevelType w:val="multilevel"/>
    <w:tmpl w:val="F9AFD32B"/>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BDBD0C3"/>
    <w:multiLevelType w:val="multilevel"/>
    <w:tmpl w:val="FBDBD0C3"/>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86E21"/>
    <w:rsid w:val="2D8F6E52"/>
    <w:rsid w:val="73FB4892"/>
    <w:rsid w:val="7676DBD2"/>
    <w:rsid w:val="BF3FF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3"/>
    <w:qFormat/>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4"/>
    <w:qFormat/>
    <w:uiPriority w:val="0"/>
    <w:pPr>
      <w:keepNext/>
      <w:keepLines/>
      <w:spacing w:before="260" w:after="260" w:line="416" w:lineRule="auto"/>
      <w:outlineLvl w:val="2"/>
    </w:pPr>
    <w:rPr>
      <w:rFonts w:hint="default" w:ascii="Times New Roman" w:hAnsi="Times New Roman"/>
      <w:b/>
      <w:sz w:val="32"/>
      <w:szCs w:val="32"/>
    </w:rPr>
  </w:style>
  <w:style w:type="character" w:default="1" w:styleId="10">
    <w:name w:val="Default Paragraph Font"/>
    <w:qFormat/>
    <w:uiPriority w:val="0"/>
  </w:style>
  <w:style w:type="table" w:default="1" w:styleId="8">
    <w:name w:val="Normal Table"/>
    <w:qFormat/>
    <w:uiPriority w:val="0"/>
    <w:rPr>
      <w:lang w:val="en-US" w:eastAsia="zh-CN" w:bidi="ar-SA"/>
    </w:rPr>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6"/>
    <w:qFormat/>
    <w:uiPriority w:val="0"/>
    <w:pPr>
      <w:snapToGrid w:val="0"/>
      <w:jc w:val="left"/>
    </w:pPr>
    <w:rPr>
      <w:sz w:val="18"/>
      <w:szCs w:val="18"/>
    </w:rPr>
  </w:style>
  <w:style w:type="paragraph" w:styleId="7">
    <w:name w:val="header"/>
    <w:basedOn w:val="1"/>
    <w:link w:val="15"/>
    <w:qFormat/>
    <w:uiPriority w:val="0"/>
    <w:pPr>
      <w:pBdr>
        <w:bottom w:val="single" w:color="auto" w:sz="6" w:space="1"/>
      </w:pBdr>
      <w:snapToGrid w:val="0"/>
      <w:jc w:val="center"/>
    </w:pPr>
    <w:rPr>
      <w:sz w:val="18"/>
      <w:szCs w:val="18"/>
    </w:rPr>
  </w:style>
  <w:style w:type="table" w:styleId="9">
    <w:name w:val="Table Grid"/>
    <w:basedOn w:val="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List Paragraph"/>
    <w:basedOn w:val="1"/>
    <w:qFormat/>
    <w:uiPriority w:val="0"/>
    <w:pPr>
      <w:ind w:firstLine="420" w:firstLineChars="200"/>
    </w:pPr>
  </w:style>
  <w:style w:type="character" w:customStyle="1" w:styleId="12">
    <w:name w:val="标题 1 Char"/>
    <w:link w:val="2"/>
    <w:qFormat/>
    <w:uiPriority w:val="0"/>
    <w:rPr>
      <w:rFonts w:hint="default" w:ascii="Times New Roman" w:hAnsi="Times New Roman"/>
      <w:b/>
      <w:kern w:val="44"/>
      <w:sz w:val="44"/>
      <w:szCs w:val="44"/>
    </w:rPr>
  </w:style>
  <w:style w:type="character" w:customStyle="1" w:styleId="13">
    <w:name w:val="标题 2 Char"/>
    <w:link w:val="3"/>
    <w:qFormat/>
    <w:uiPriority w:val="0"/>
    <w:rPr>
      <w:rFonts w:hint="default" w:ascii="Cambria" w:hAnsi="Cambria"/>
      <w:b/>
      <w:kern w:val="2"/>
      <w:sz w:val="32"/>
      <w:szCs w:val="32"/>
    </w:rPr>
  </w:style>
  <w:style w:type="character" w:customStyle="1" w:styleId="14">
    <w:name w:val="标题 3 Char"/>
    <w:link w:val="4"/>
    <w:qFormat/>
    <w:uiPriority w:val="0"/>
    <w:rPr>
      <w:rFonts w:hint="default" w:ascii="Times New Roman" w:hAnsi="Times New Roman"/>
      <w:b/>
      <w:kern w:val="2"/>
      <w:sz w:val="32"/>
      <w:szCs w:val="32"/>
    </w:rPr>
  </w:style>
  <w:style w:type="character" w:customStyle="1" w:styleId="15">
    <w:name w:val="页眉 Char"/>
    <w:link w:val="7"/>
    <w:qFormat/>
    <w:uiPriority w:val="0"/>
    <w:rPr>
      <w:kern w:val="2"/>
      <w:sz w:val="18"/>
      <w:szCs w:val="18"/>
    </w:rPr>
  </w:style>
  <w:style w:type="character" w:customStyle="1" w:styleId="16">
    <w:name w:val="页脚 Char"/>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25</Pages>
  <Words>1314</Words>
  <Characters>1490</Characters>
  <Lines>40</Lines>
  <Paragraphs>11</Paragraphs>
  <TotalTime>0</TotalTime>
  <ScaleCrop>false</ScaleCrop>
  <LinksUpToDate>false</LinksUpToDate>
  <CharactersWithSpaces>1620</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Administrator</cp:lastModifiedBy>
  <dcterms:modified xsi:type="dcterms:W3CDTF">2026-02-09T10:46:01Z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2052-11.8.2.8506</vt:lpwstr>
  </property>
  <property fmtid="{D5CDD505-2E9C-101B-9397-08002B2CF9AE}" pid="4" name="ICV">
    <vt:lpwstr>73E079D03602492BBA58D7957B50F1F2_12</vt:lpwstr>
  </property>
</Properties>
</file>