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2026年博尔塔拉蒙古自治州无线电管理中心</w:t>
      </w: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单位预算公开</w:t>
      </w:r>
    </w:p>
    <w:p>
      <w:pPr>
        <w:jc w:val="center"/>
        <w:rPr>
          <w:rFonts w:hint="default"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pPr>
        <w:spacing w:line="560" w:lineRule="exact"/>
        <w:jc w:val="center"/>
        <w:rPr>
          <w:rFonts w:hint="default" w:ascii="黑体" w:eastAsia="黑体"/>
          <w:color w:val="000000"/>
          <w:sz w:val="36"/>
          <w:szCs w:val="36"/>
        </w:rPr>
      </w:pP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第一部分  2026年单位概况</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主要职能</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机构设置</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第二部分 2026年单位预算公开表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单位收支总体情况表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单位收入总体情况表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单位支出总体情况表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财政拨款收支预算总体情况表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一般公共预算支出情况表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一般公共预算基本支出情况表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一般公共预算项目支出情况表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政府性基金预算支出情况表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国有资本经营预算支出情况表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财政拨款“三公”经费支出情况表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十一、财政拨款委托业务费支出情况表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十二、上年结转结余情况表</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第三部分 2026年单位预算情况说明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关于博尔塔拉蒙古自治州无线电管理中心2026年收支预算情况的总体说明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关于博尔塔拉蒙古自治州无线电管理中心2026年收入预算情况说明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关于博尔塔拉蒙古自治州无线电管理中心2026年支出预算情况说明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关于博尔塔拉蒙古自治州无线电管理中心2026年财政拨款收支预算情况的总体说明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关于博尔塔拉蒙古自治州无线电管理中心2026年一般公共预算当年拨款情况说明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关于博尔塔拉蒙古自治州无线电管理中心2026年一般公共预算基本支出情况说明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关于博尔塔拉蒙古自治州无线电管理中心2026年一般公共预算项目支出情况说明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关于博尔塔拉蒙古自治州无线电管理中心2026年政府性基金预算拨款情况说明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关于博尔塔拉蒙古自治州无线电管理中心2026年国有资本经营预算拨款情况说明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关于博尔塔拉蒙古自治州无线电管理中心2026年财政拨款“三公”经费预算情况说明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 关于博尔塔拉蒙古自治州无线电管理中心2026年财政拨款委托业务费支出情况说明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 关于博尔塔拉蒙古自治州无线电管理中心2026年上年结转结余预算情况说明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十三、 其他重要事项的情况说明</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第四部分 名词解释</w:t>
      </w:r>
    </w:p>
    <w:p>
      <w:pPr>
        <w:jc w:val="left"/>
        <w:rPr>
          <w:rFonts w:hint="default" w:ascii="宋体" w:hAnsi="宋体"/>
          <w:color w:val="000000"/>
          <w:sz w:val="18"/>
          <w:szCs w:val="18"/>
        </w:rPr>
      </w:pP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第一部分  2026年单位概况</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主要职能</w:t>
      </w:r>
    </w:p>
    <w:p>
      <w:pPr>
        <w:pStyle w:val="10"/>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根据自治区工业和信息化厅授权，协调处理辖区内无线电管理相关事宜。</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机构设置</w:t>
      </w:r>
    </w:p>
    <w:p>
      <w:pPr>
        <w:pStyle w:val="10"/>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博尔塔拉蒙古自治州无线电管理中心无下属预算单位。</w:t>
      </w:r>
    </w:p>
    <w:p>
      <w:pPr>
        <w:pStyle w:val="2"/>
        <w:spacing w:before="156" w:beforeLines="50" w:after="156" w:afterLines="50" w:line="400" w:lineRule="exact"/>
        <w:jc w:val="center"/>
        <w:rPr>
          <w:rFonts w:hint="default" w:ascii="黑体" w:eastAsia="黑体"/>
          <w:sz w:val="30"/>
          <w:szCs w:val="30"/>
        </w:rPr>
      </w:pPr>
      <w:r>
        <w:rPr>
          <w:rFonts w:hint="eastAsia" w:ascii="仿宋" w:hAnsi="仿宋" w:eastAsia="仿宋"/>
          <w:color w:val="000000"/>
          <w:sz w:val="28"/>
          <w:szCs w:val="28"/>
        </w:rPr>
        <w:br w:type="page"/>
      </w:r>
      <w:r>
        <w:rPr>
          <w:rFonts w:hint="eastAsia" w:ascii="黑体" w:eastAsia="黑体"/>
          <w:sz w:val="30"/>
          <w:szCs w:val="30"/>
        </w:rPr>
        <w:t>第二部分 2026年单位预算公开表</w:t>
      </w:r>
    </w:p>
    <w:p>
      <w:pPr>
        <w:jc w:val="left"/>
        <w:rPr>
          <w:rFonts w:hint="default" w:ascii="宋体" w:hAnsi="宋体"/>
          <w:color w:val="000000"/>
          <w:sz w:val="18"/>
          <w:szCs w:val="18"/>
        </w:rPr>
      </w:pPr>
      <w:r>
        <w:rPr>
          <w:rFonts w:hint="eastAsia" w:ascii="宋体" w:hAnsi="宋体"/>
          <w:color w:val="000000"/>
          <w:sz w:val="18"/>
          <w:szCs w:val="18"/>
        </w:rPr>
        <w:t>表1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单位收支总体情况表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pPr>
              <w:jc w:val="left"/>
              <w:rPr>
                <w:rFonts w:hint="default" w:ascii="宋体" w:hAnsi="宋体"/>
                <w:color w:val="000000"/>
                <w:sz w:val="18"/>
                <w:szCs w:val="18"/>
              </w:rPr>
            </w:pPr>
            <w:r>
              <w:rPr>
                <w:rFonts w:hint="eastAsia"/>
                <w:color w:val="000000"/>
                <w:sz w:val="18"/>
                <w:szCs w:val="18"/>
              </w:rPr>
              <w:t>编制单位：博尔塔拉蒙古自治州无线电管理中心</w:t>
            </w:r>
          </w:p>
        </w:tc>
        <w:tc>
          <w:tcPr>
            <w:tcW w:w="1150" w:type="dxa"/>
            <w:tcBorders>
              <w:top w:val="nil"/>
              <w:left w:val="nil"/>
              <w:bottom w:val="single" w:color="auto" w:sz="4" w:space="0"/>
              <w:right w:val="nil"/>
            </w:tcBorders>
            <w:shd w:val="clear" w:color="auto" w:fill="auto"/>
          </w:tcPr>
          <w:p>
            <w:pPr>
              <w:jc w:val="right"/>
              <w:rPr>
                <w:rFonts w:hint="default" w:ascii="宋体" w:hAnsi="宋体"/>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241.57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241.57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190.37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51.20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4.财政专户核拨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35.96</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35.96</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35.96</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234 抗疫特别国债安排的支出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jc w:val="center"/>
              <w:rPr>
                <w:rFonts w:hint="default"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277.52</w:t>
            </w:r>
          </w:p>
        </w:tc>
        <w:tc>
          <w:tcPr>
            <w:tcW w:w="3600" w:type="dxa"/>
            <w:shd w:val="clear" w:color="auto" w:fill="auto"/>
          </w:tcPr>
          <w:p>
            <w:pPr>
              <w:jc w:val="center"/>
              <w:rPr>
                <w:rFonts w:hint="default"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277.52</w:t>
            </w:r>
          </w:p>
        </w:tc>
      </w:tr>
    </w:tbl>
    <w:p>
      <w:pPr>
        <w:widowControl/>
        <w:jc w:val="left"/>
        <w:rPr>
          <w:rFonts w:hint="default" w:ascii="仿宋" w:eastAsia="仿宋"/>
          <w:b/>
          <w:color w:val="000000"/>
          <w:szCs w:val="21"/>
        </w:rPr>
        <w:sectPr>
          <w:footerReference r:id="rId3" w:type="default"/>
          <w:pgSz w:w="11906" w:h="16838"/>
          <w:pgMar w:top="1134" w:right="1134" w:bottom="993"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单位收入总体情况表</w:t>
      </w:r>
    </w:p>
    <w:tbl>
      <w:tblPr>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pPr>
              <w:jc w:val="left"/>
              <w:rPr>
                <w:rFonts w:hint="default" w:ascii="宋体" w:hAnsi="宋体"/>
                <w:sz w:val="18"/>
                <w:szCs w:val="18"/>
              </w:rPr>
            </w:pPr>
            <w:r>
              <w:rPr>
                <w:rFonts w:hint="eastAsia"/>
                <w:color w:val="000000"/>
                <w:sz w:val="18"/>
                <w:szCs w:val="18"/>
              </w:rPr>
              <w:t>编制单位：博尔塔拉蒙古自治州无线电管理中心</w:t>
            </w:r>
          </w:p>
        </w:tc>
        <w:tc>
          <w:tcPr>
            <w:tcW w:w="1800"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科目代码</w:t>
            </w:r>
          </w:p>
        </w:tc>
        <w:tc>
          <w:tcPr>
            <w:tcW w:w="25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科目名称</w:t>
            </w:r>
          </w:p>
        </w:tc>
        <w:tc>
          <w:tcPr>
            <w:tcW w:w="11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总计</w:t>
            </w:r>
          </w:p>
        </w:tc>
        <w:tc>
          <w:tcPr>
            <w:tcW w:w="6340" w:type="dxa"/>
            <w:gridSpan w:val="7"/>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财政拨款（补助）</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财政专户（教育收费）</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单位资金</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财政拨款结转</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pPr>
              <w:jc w:val="center"/>
              <w:rPr>
                <w:rFonts w:hint="default" w:ascii="宋体" w:hAnsi="宋体"/>
                <w:sz w:val="18"/>
                <w:szCs w:val="18"/>
              </w:rPr>
            </w:pPr>
            <w:r>
              <w:rPr>
                <w:rFonts w:hint="eastAsia" w:ascii="宋体" w:hAnsi="宋体"/>
                <w:sz w:val="18"/>
                <w:szCs w:val="18"/>
              </w:rPr>
              <w:t>类</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款</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项</w:t>
            </w:r>
          </w:p>
        </w:tc>
        <w:tc>
          <w:tcPr>
            <w:tcW w:w="2500" w:type="dxa"/>
            <w:vMerge w:val="continue"/>
            <w:shd w:val="clear" w:color="auto" w:fill="auto"/>
            <w:vAlign w:val="center"/>
          </w:tcPr>
          <w:p>
            <w:pPr>
              <w:jc w:val="center"/>
              <w:rPr>
                <w:rFonts w:hint="default" w:ascii="宋体" w:hAnsi="宋体"/>
                <w:sz w:val="18"/>
                <w:szCs w:val="18"/>
              </w:rPr>
            </w:pPr>
          </w:p>
        </w:tc>
        <w:tc>
          <w:tcPr>
            <w:tcW w:w="1140" w:type="dxa"/>
            <w:vMerge w:val="continue"/>
            <w:shd w:val="clear" w:color="auto" w:fill="auto"/>
            <w:vAlign w:val="center"/>
          </w:tcPr>
          <w:p>
            <w:pPr>
              <w:jc w:val="center"/>
              <w:rPr>
                <w:rFonts w:hint="default" w:ascii="宋体" w:hAnsi="宋体"/>
                <w:sz w:val="18"/>
                <w:szCs w:val="18"/>
              </w:rPr>
            </w:pP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财政拨款(补助)小计</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一般公共预算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上级一般公共预算安排的转移支付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政府性基金预算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上级政府性基金安排的转移支付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国有资本经营预算</w:t>
            </w:r>
          </w:p>
        </w:tc>
        <w:tc>
          <w:tcPr>
            <w:tcW w:w="900" w:type="dxa"/>
            <w:shd w:val="clear" w:color="auto" w:fill="auto"/>
            <w:vAlign w:val="center"/>
          </w:tcPr>
          <w:p>
            <w:pPr>
              <w:jc w:val="center"/>
              <w:rPr>
                <w:rFonts w:hint="default" w:ascii="宋体" w:hAnsi="宋体"/>
                <w:sz w:val="18"/>
                <w:szCs w:val="18"/>
              </w:rPr>
            </w:pPr>
            <w:r>
              <w:rPr>
                <w:rFonts w:hint="eastAsia" w:ascii="宋体" w:hAnsi="宋体"/>
                <w:sz w:val="18"/>
                <w:szCs w:val="18"/>
              </w:rPr>
              <w:t>上级国有资本经营预算安排的转移支付</w:t>
            </w: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社会保障和就业支出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25.32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25.32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25.32</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行政事业单位养老支出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25.32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25.32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25.32</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机关事业单位基本养老保险缴费支出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16.88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16.88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16.88</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06</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机关事业单位职业年金缴费支出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8.44</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8.44</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8.44</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卫生健康支出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13.29</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13.29</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13.29</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11</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行政事业单位医疗</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13.29</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13.29</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13.29</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事业单位医疗</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10.12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10.12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10.12</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03</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公务员医疗补助</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3.17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3.17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3.17</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资源勘探工业信息等支出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226.25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190.29</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139.09</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51.20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35.96</w:t>
            </w: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工业和信息产业</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226.25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190.29</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139.09</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51.20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35.96</w:t>
            </w: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无线电及信息通信监管</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226.25</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190.29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139.09</w:t>
            </w:r>
          </w:p>
        </w:tc>
        <w:tc>
          <w:tcPr>
            <w:tcW w:w="900" w:type="dxa"/>
            <w:shd w:val="clear" w:color="auto" w:fill="auto"/>
            <w:vAlign w:val="center"/>
          </w:tcPr>
          <w:p>
            <w:pPr>
              <w:jc w:val="right"/>
              <w:rPr>
                <w:rFonts w:hint="default" w:ascii="宋体" w:hAnsi="宋体"/>
                <w:sz w:val="15"/>
                <w:szCs w:val="15"/>
              </w:rPr>
            </w:pPr>
            <w:r>
              <w:rPr>
                <w:rFonts w:hint="eastAsia" w:ascii="宋体" w:hAnsi="宋体"/>
                <w:color w:val="000000"/>
                <w:sz w:val="15"/>
                <w:szCs w:val="15"/>
              </w:rPr>
              <w:t>51.20</w:t>
            </w: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35.96</w:t>
            </w: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住房保障支出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12.66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12.66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12.66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住房改革支出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12.66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12.66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12.66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221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住房公积金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12.66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12.66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12.66</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总计</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277.52</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241.57</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190.37</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51.20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35.96</w:t>
            </w:r>
          </w:p>
        </w:tc>
        <w:tc>
          <w:tcPr>
            <w:tcW w:w="900" w:type="dxa"/>
            <w:shd w:val="clear" w:color="auto" w:fill="auto"/>
            <w:vAlign w:val="center"/>
          </w:tcPr>
          <w:p>
            <w:pPr>
              <w:jc w:val="right"/>
              <w:rPr>
                <w:rFonts w:hint="eastAsia" w:ascii="宋体" w:hAnsi="宋体"/>
                <w:b/>
                <w:color w:val="000000"/>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表3</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单位支出总体情况表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编制单位：博尔塔拉蒙古自治州无线电管理中心</w:t>
            </w:r>
          </w:p>
        </w:tc>
        <w:tc>
          <w:tcPr>
            <w:tcW w:w="1679"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sz w:val="18"/>
                <w:szCs w:val="18"/>
              </w:rPr>
            </w:pPr>
            <w:r>
              <w:rPr>
                <w:rFonts w:hint="eastAsia"/>
                <w:sz w:val="18"/>
                <w:szCs w:val="18"/>
              </w:rPr>
              <w:t>科目</w:t>
            </w:r>
          </w:p>
        </w:tc>
        <w:tc>
          <w:tcPr>
            <w:tcW w:w="4017" w:type="dxa"/>
            <w:gridSpan w:val="4"/>
            <w:shd w:val="clear" w:color="auto" w:fill="auto"/>
            <w:vAlign w:val="center"/>
          </w:tcPr>
          <w:p>
            <w:pPr>
              <w:jc w:val="center"/>
              <w:rPr>
                <w:sz w:val="18"/>
                <w:szCs w:val="18"/>
              </w:rPr>
            </w:pPr>
            <w:r>
              <w:rPr>
                <w:rFonts w:hint="eastAsia"/>
                <w:sz w:val="18"/>
                <w:szCs w:val="18"/>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169" w:type="dxa"/>
            <w:vMerge w:val="restart"/>
            <w:shd w:val="clear" w:color="auto" w:fill="auto"/>
            <w:vAlign w:val="center"/>
          </w:tcPr>
          <w:p>
            <w:pPr>
              <w:jc w:val="center"/>
              <w:rPr>
                <w:sz w:val="18"/>
                <w:szCs w:val="18"/>
              </w:rPr>
            </w:pPr>
            <w:r>
              <w:rPr>
                <w:rFonts w:hint="eastAsia"/>
                <w:sz w:val="18"/>
                <w:szCs w:val="18"/>
              </w:rPr>
              <w:t>科目名称</w:t>
            </w:r>
          </w:p>
        </w:tc>
        <w:tc>
          <w:tcPr>
            <w:tcW w:w="1306" w:type="dxa"/>
            <w:vMerge w:val="restart"/>
            <w:shd w:val="clear" w:color="auto" w:fill="auto"/>
            <w:vAlign w:val="center"/>
          </w:tcPr>
          <w:p>
            <w:pPr>
              <w:jc w:val="center"/>
              <w:rPr>
                <w:sz w:val="18"/>
                <w:szCs w:val="18"/>
              </w:rPr>
            </w:pPr>
            <w:r>
              <w:rPr>
                <w:rFonts w:hint="eastAsia"/>
                <w:sz w:val="18"/>
                <w:szCs w:val="18"/>
              </w:rPr>
              <w:t>合计</w:t>
            </w:r>
          </w:p>
        </w:tc>
        <w:tc>
          <w:tcPr>
            <w:tcW w:w="1306" w:type="dxa"/>
            <w:gridSpan w:val="2"/>
            <w:vMerge w:val="restart"/>
            <w:shd w:val="clear" w:color="auto" w:fill="auto"/>
            <w:vAlign w:val="center"/>
          </w:tcPr>
          <w:p>
            <w:pPr>
              <w:jc w:val="center"/>
              <w:rPr>
                <w:sz w:val="18"/>
                <w:szCs w:val="18"/>
              </w:rPr>
            </w:pPr>
            <w:r>
              <w:rPr>
                <w:rFonts w:hint="eastAsia"/>
                <w:sz w:val="18"/>
                <w:szCs w:val="18"/>
              </w:rPr>
              <w:t>基本支出</w:t>
            </w:r>
          </w:p>
        </w:tc>
        <w:tc>
          <w:tcPr>
            <w:tcW w:w="1405"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169" w:type="dxa"/>
            <w:vMerge w:val="continue"/>
            <w:shd w:val="clear" w:color="auto" w:fill="auto"/>
            <w:vAlign w:val="center"/>
          </w:tcPr>
          <w:p>
            <w:pPr>
              <w:jc w:val="center"/>
              <w:rPr>
                <w:sz w:val="18"/>
                <w:szCs w:val="18"/>
              </w:rPr>
            </w:pPr>
          </w:p>
        </w:tc>
        <w:tc>
          <w:tcPr>
            <w:tcW w:w="1306" w:type="dxa"/>
            <w:vMerge w:val="continue"/>
            <w:shd w:val="clear" w:color="auto" w:fill="auto"/>
            <w:vAlign w:val="center"/>
          </w:tcPr>
          <w:p>
            <w:pPr>
              <w:jc w:val="center"/>
              <w:rPr>
                <w:sz w:val="18"/>
                <w:szCs w:val="18"/>
              </w:rPr>
            </w:pPr>
          </w:p>
        </w:tc>
        <w:tc>
          <w:tcPr>
            <w:tcW w:w="1306" w:type="dxa"/>
            <w:gridSpan w:val="2"/>
            <w:vMerge w:val="continue"/>
            <w:shd w:val="clear" w:color="auto" w:fill="auto"/>
            <w:vAlign w:val="center"/>
          </w:tcPr>
          <w:p>
            <w:pPr>
              <w:jc w:val="center"/>
              <w:rPr>
                <w:sz w:val="18"/>
                <w:szCs w:val="18"/>
              </w:rPr>
            </w:pPr>
          </w:p>
        </w:tc>
        <w:tc>
          <w:tcPr>
            <w:tcW w:w="1405"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社会保障和就业支出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25.32</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25.32</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行政事业单位养老支出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25.32</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25.32</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机关事业单位基本养老保险缴费支出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16.88</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16.88</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06</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机关事业单位职业年金缴费支出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8.44</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8.44</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卫生健康支出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13.29</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13.29</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行政事业单位医疗</w:t>
            </w:r>
          </w:p>
        </w:tc>
        <w:tc>
          <w:tcPr>
            <w:tcW w:w="340" w:type="dxa"/>
            <w:shd w:val="clear" w:color="auto" w:fill="auto"/>
            <w:vAlign w:val="center"/>
          </w:tcPr>
          <w:p>
            <w:pPr>
              <w:jc w:val="right"/>
              <w:rPr>
                <w:b/>
                <w:sz w:val="18"/>
                <w:szCs w:val="18"/>
              </w:rPr>
            </w:pPr>
            <w:r>
              <w:rPr>
                <w:rFonts w:hint="eastAsia" w:ascii="宋体" w:hAnsi="宋体"/>
                <w:b/>
                <w:color w:val="000000"/>
                <w:sz w:val="18"/>
                <w:szCs w:val="18"/>
              </w:rPr>
              <w:t>13.29</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13.29</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事业单位医疗</w:t>
            </w:r>
          </w:p>
        </w:tc>
        <w:tc>
          <w:tcPr>
            <w:tcW w:w="340" w:type="dxa"/>
            <w:shd w:val="clear" w:color="auto" w:fill="auto"/>
            <w:vAlign w:val="center"/>
          </w:tcPr>
          <w:p>
            <w:pPr>
              <w:jc w:val="right"/>
              <w:rPr>
                <w:sz w:val="18"/>
                <w:szCs w:val="18"/>
              </w:rPr>
            </w:pPr>
            <w:r>
              <w:rPr>
                <w:rFonts w:hint="eastAsia" w:ascii="宋体" w:hAnsi="宋体"/>
                <w:color w:val="000000"/>
                <w:sz w:val="18"/>
                <w:szCs w:val="18"/>
              </w:rPr>
              <w:t>10.12</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10.12</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03</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公务员医疗补助</w:t>
            </w:r>
          </w:p>
        </w:tc>
        <w:tc>
          <w:tcPr>
            <w:tcW w:w="340" w:type="dxa"/>
            <w:shd w:val="clear" w:color="auto" w:fill="auto"/>
            <w:vAlign w:val="center"/>
          </w:tcPr>
          <w:p>
            <w:pPr>
              <w:jc w:val="right"/>
              <w:rPr>
                <w:sz w:val="18"/>
                <w:szCs w:val="18"/>
              </w:rPr>
            </w:pPr>
            <w:r>
              <w:rPr>
                <w:rFonts w:hint="eastAsia" w:ascii="宋体" w:hAnsi="宋体"/>
                <w:color w:val="000000"/>
                <w:sz w:val="18"/>
                <w:szCs w:val="18"/>
              </w:rPr>
              <w:t>3.17</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3.17</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资源勘探工业信息等支出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226.25</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139.09</w:t>
            </w:r>
          </w:p>
        </w:tc>
        <w:tc>
          <w:tcPr>
            <w:tcW w:w="340" w:type="dxa"/>
            <w:shd w:val="clear" w:color="auto" w:fill="auto"/>
            <w:vAlign w:val="center"/>
          </w:tcPr>
          <w:p>
            <w:pPr>
              <w:jc w:val="right"/>
              <w:rPr>
                <w:b/>
                <w:sz w:val="18"/>
                <w:szCs w:val="18"/>
              </w:rPr>
            </w:pPr>
            <w:r>
              <w:rPr>
                <w:rFonts w:hint="eastAsia" w:ascii="宋体" w:hAnsi="宋体"/>
                <w:b/>
                <w:color w:val="000000"/>
                <w:sz w:val="18"/>
                <w:szCs w:val="18"/>
              </w:rPr>
              <w:t>87.16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工业和信息产业</w:t>
            </w:r>
          </w:p>
        </w:tc>
        <w:tc>
          <w:tcPr>
            <w:tcW w:w="340" w:type="dxa"/>
            <w:shd w:val="clear" w:color="auto" w:fill="auto"/>
            <w:vAlign w:val="center"/>
          </w:tcPr>
          <w:p>
            <w:pPr>
              <w:jc w:val="right"/>
              <w:rPr>
                <w:b/>
                <w:sz w:val="18"/>
                <w:szCs w:val="18"/>
              </w:rPr>
            </w:pPr>
            <w:r>
              <w:rPr>
                <w:rFonts w:hint="eastAsia" w:ascii="宋体" w:hAnsi="宋体"/>
                <w:b/>
                <w:color w:val="000000"/>
                <w:sz w:val="18"/>
                <w:szCs w:val="18"/>
              </w:rPr>
              <w:t>226.25</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139.09</w:t>
            </w:r>
          </w:p>
        </w:tc>
        <w:tc>
          <w:tcPr>
            <w:tcW w:w="340" w:type="dxa"/>
            <w:shd w:val="clear" w:color="auto" w:fill="auto"/>
            <w:vAlign w:val="center"/>
          </w:tcPr>
          <w:p>
            <w:pPr>
              <w:jc w:val="right"/>
              <w:rPr>
                <w:b/>
                <w:sz w:val="18"/>
                <w:szCs w:val="18"/>
              </w:rPr>
            </w:pPr>
            <w:r>
              <w:rPr>
                <w:rFonts w:hint="eastAsia" w:ascii="宋体" w:hAnsi="宋体"/>
                <w:b/>
                <w:color w:val="000000"/>
                <w:sz w:val="18"/>
                <w:szCs w:val="18"/>
              </w:rPr>
              <w:t>87.16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无线电及信息通信监管</w:t>
            </w:r>
          </w:p>
        </w:tc>
        <w:tc>
          <w:tcPr>
            <w:tcW w:w="340" w:type="dxa"/>
            <w:shd w:val="clear" w:color="auto" w:fill="auto"/>
            <w:vAlign w:val="center"/>
          </w:tcPr>
          <w:p>
            <w:pPr>
              <w:jc w:val="right"/>
              <w:rPr>
                <w:sz w:val="18"/>
                <w:szCs w:val="18"/>
              </w:rPr>
            </w:pPr>
            <w:r>
              <w:rPr>
                <w:rFonts w:hint="eastAsia" w:ascii="宋体" w:hAnsi="宋体"/>
                <w:color w:val="000000"/>
                <w:sz w:val="18"/>
                <w:szCs w:val="18"/>
              </w:rPr>
              <w:t>226.25</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139.09</w:t>
            </w:r>
          </w:p>
        </w:tc>
        <w:tc>
          <w:tcPr>
            <w:tcW w:w="340" w:type="dxa"/>
            <w:shd w:val="clear" w:color="auto" w:fill="auto"/>
            <w:vAlign w:val="center"/>
          </w:tcPr>
          <w:p>
            <w:pPr>
              <w:jc w:val="right"/>
              <w:rPr>
                <w:sz w:val="18"/>
                <w:szCs w:val="18"/>
              </w:rPr>
            </w:pPr>
            <w:r>
              <w:rPr>
                <w:rFonts w:hint="eastAsia" w:ascii="宋体" w:hAnsi="宋体"/>
                <w:color w:val="000000"/>
                <w:sz w:val="18"/>
                <w:szCs w:val="18"/>
              </w:rPr>
              <w:t>87.16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住房保障支出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12.66</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12.66</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住房改革支出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12.66</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12.66</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221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住房公积金</w:t>
            </w:r>
          </w:p>
        </w:tc>
        <w:tc>
          <w:tcPr>
            <w:tcW w:w="340" w:type="dxa"/>
            <w:shd w:val="clear" w:color="auto" w:fill="auto"/>
            <w:vAlign w:val="center"/>
          </w:tcPr>
          <w:p>
            <w:pPr>
              <w:jc w:val="right"/>
              <w:rPr>
                <w:sz w:val="18"/>
                <w:szCs w:val="18"/>
              </w:rPr>
            </w:pPr>
            <w:r>
              <w:rPr>
                <w:rFonts w:hint="eastAsia" w:ascii="宋体" w:hAnsi="宋体"/>
                <w:color w:val="000000"/>
                <w:sz w:val="18"/>
                <w:szCs w:val="18"/>
              </w:rPr>
              <w:t>12.66</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12.66</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总计</w:t>
            </w:r>
          </w:p>
        </w:tc>
        <w:tc>
          <w:tcPr>
            <w:tcW w:w="340" w:type="dxa"/>
            <w:shd w:val="clear" w:color="auto" w:fill="auto"/>
            <w:vAlign w:val="center"/>
          </w:tcPr>
          <w:p>
            <w:pPr>
              <w:jc w:val="right"/>
              <w:rPr>
                <w:b/>
                <w:sz w:val="18"/>
                <w:szCs w:val="18"/>
              </w:rPr>
            </w:pPr>
            <w:r>
              <w:rPr>
                <w:rFonts w:hint="eastAsia" w:ascii="宋体" w:hAnsi="宋体"/>
                <w:b/>
                <w:color w:val="000000"/>
                <w:sz w:val="18"/>
                <w:szCs w:val="18"/>
              </w:rPr>
              <w:t>277.52</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190.37</w:t>
            </w:r>
          </w:p>
        </w:tc>
        <w:tc>
          <w:tcPr>
            <w:tcW w:w="340" w:type="dxa"/>
            <w:shd w:val="clear" w:color="auto" w:fill="auto"/>
            <w:vAlign w:val="center"/>
          </w:tcPr>
          <w:p>
            <w:pPr>
              <w:jc w:val="right"/>
              <w:rPr>
                <w:b/>
                <w:sz w:val="18"/>
                <w:szCs w:val="18"/>
              </w:rPr>
            </w:pPr>
            <w:r>
              <w:rPr>
                <w:rFonts w:hint="eastAsia" w:ascii="宋体" w:hAnsi="宋体"/>
                <w:b/>
                <w:color w:val="000000"/>
                <w:sz w:val="18"/>
                <w:szCs w:val="18"/>
              </w:rPr>
              <w:t>87.16</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表4</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财政拨款收支预算总体情况表</w:t>
      </w:r>
    </w:p>
    <w:tbl>
      <w:tblP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color w:val="000000"/>
                <w:sz w:val="18"/>
                <w:szCs w:val="18"/>
              </w:rPr>
            </w:pPr>
            <w:r>
              <w:rPr>
                <w:rFonts w:hint="eastAsia"/>
                <w:color w:val="000000"/>
                <w:sz w:val="18"/>
                <w:szCs w:val="18"/>
              </w:rPr>
              <w:t>编制单位：博尔塔拉蒙古自治州无线电管理中心</w:t>
            </w:r>
          </w:p>
        </w:tc>
        <w:tc>
          <w:tcPr>
            <w:tcW w:w="1119" w:type="dxa"/>
            <w:gridSpan w:val="2"/>
            <w:tcBorders>
              <w:top w:val="nil"/>
              <w:left w:val="nil"/>
              <w:right w:val="nil"/>
            </w:tcBorders>
            <w:shd w:val="clear" w:color="auto" w:fill="auto"/>
          </w:tcPr>
          <w:p>
            <w:pPr>
              <w:jc w:val="right"/>
              <w:rPr>
                <w:color w:val="000000"/>
                <w:sz w:val="18"/>
                <w:szCs w:val="18"/>
              </w:rPr>
            </w:pPr>
          </w:p>
        </w:tc>
        <w:tc>
          <w:tcPr>
            <w:tcW w:w="2006" w:type="dxa"/>
            <w:gridSpan w:val="2"/>
            <w:tcBorders>
              <w:top w:val="nil"/>
              <w:left w:val="nil"/>
              <w:right w:val="nil"/>
            </w:tcBorders>
            <w:shd w:val="clear" w:color="auto" w:fill="auto"/>
            <w:vAlign w:val="center"/>
          </w:tcPr>
          <w:p>
            <w:pPr>
              <w:jc w:val="right"/>
              <w:rPr>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pPr>
              <w:jc w:val="center"/>
              <w:rPr>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pPr>
              <w:jc w:val="center"/>
              <w:rPr>
                <w:b/>
                <w:color w:val="000000"/>
                <w:sz w:val="18"/>
                <w:szCs w:val="18"/>
              </w:rPr>
            </w:pPr>
            <w:r>
              <w:rPr>
                <w:rFonts w:hint="eastAsia"/>
                <w:b/>
                <w:color w:val="000000"/>
                <w:sz w:val="18"/>
                <w:szCs w:val="18"/>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pPr>
              <w:jc w:val="center"/>
              <w:rPr>
                <w:color w:val="000000"/>
                <w:sz w:val="18"/>
                <w:szCs w:val="18"/>
              </w:rPr>
            </w:pPr>
            <w:r>
              <w:rPr>
                <w:rFonts w:hint="eastAsia"/>
                <w:b/>
                <w:color w:val="000000"/>
                <w:sz w:val="18"/>
                <w:szCs w:val="18"/>
              </w:rPr>
              <w:t>项目</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2434" w:type="dxa"/>
            <w:shd w:val="clear" w:color="auto" w:fill="auto"/>
            <w:vAlign w:val="center"/>
          </w:tcPr>
          <w:p>
            <w:pPr>
              <w:jc w:val="center"/>
              <w:rPr>
                <w:color w:val="000000"/>
                <w:sz w:val="18"/>
                <w:szCs w:val="18"/>
              </w:rPr>
            </w:pPr>
            <w:r>
              <w:rPr>
                <w:rFonts w:hint="eastAsia"/>
                <w:b/>
                <w:color w:val="000000"/>
                <w:sz w:val="18"/>
                <w:szCs w:val="18"/>
              </w:rPr>
              <w:t>科目名称</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一般公共预算</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政府性基金预算</w:t>
            </w:r>
          </w:p>
        </w:tc>
        <w:tc>
          <w:tcPr>
            <w:tcW w:w="1051" w:type="dxa"/>
            <w:shd w:val="clear" w:color="auto" w:fill="auto"/>
            <w:vAlign w:val="center"/>
          </w:tcPr>
          <w:p>
            <w:pPr>
              <w:jc w:val="center"/>
              <w:rPr>
                <w:color w:val="000000"/>
                <w:sz w:val="18"/>
                <w:szCs w:val="18"/>
              </w:rPr>
            </w:pPr>
            <w:r>
              <w:rPr>
                <w:rFonts w:hint="eastAsia"/>
                <w:b/>
                <w:color w:val="00000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241.57</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一般公共预算</w:t>
            </w:r>
          </w:p>
        </w:tc>
        <w:tc>
          <w:tcPr>
            <w:tcW w:w="1117"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241.57</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政府性基金预算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25.32</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25.32</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13.29</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13.29</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190.29</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190.29</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12.66</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12.66</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234 抗疫特别国债安排的支出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jc w:val="center"/>
              <w:rPr>
                <w:color w:val="000000"/>
                <w:sz w:val="18"/>
                <w:szCs w:val="18"/>
              </w:rPr>
            </w:pPr>
            <w:r>
              <w:rPr>
                <w:rFonts w:hint="eastAsia"/>
                <w:b/>
                <w:color w:val="000000"/>
                <w:sz w:val="18"/>
                <w:szCs w:val="18"/>
              </w:rPr>
              <w:t>收入总计</w:t>
            </w:r>
          </w:p>
        </w:tc>
        <w:tc>
          <w:tcPr>
            <w:tcW w:w="1117" w:type="dxa"/>
            <w:shd w:val="clear" w:color="auto" w:fill="auto"/>
          </w:tcPr>
          <w:p>
            <w:pPr>
              <w:jc w:val="right"/>
              <w:rPr>
                <w:sz w:val="18"/>
                <w:szCs w:val="18"/>
              </w:rPr>
            </w:pPr>
            <w:r>
              <w:rPr>
                <w:rFonts w:hint="eastAsia" w:ascii="宋体" w:hAnsi="宋体"/>
                <w:b/>
                <w:color w:val="000000"/>
                <w:sz w:val="18"/>
                <w:szCs w:val="18"/>
              </w:rPr>
              <w:t>241.57</w:t>
            </w:r>
          </w:p>
        </w:tc>
        <w:tc>
          <w:tcPr>
            <w:tcW w:w="2434" w:type="dxa"/>
            <w:shd w:val="clear" w:color="auto" w:fill="auto"/>
          </w:tcPr>
          <w:p>
            <w:pPr>
              <w:jc w:val="center"/>
              <w:rPr>
                <w:rFonts w:hint="default" w:ascii="宋体" w:hAnsi="宋体" w:cs="宋体"/>
                <w:color w:val="000000"/>
                <w:sz w:val="18"/>
                <w:szCs w:val="18"/>
              </w:rPr>
            </w:pPr>
            <w:r>
              <w:rPr>
                <w:rFonts w:hint="eastAsia"/>
                <w:b/>
                <w:color w:val="000000"/>
                <w:sz w:val="18"/>
                <w:szCs w:val="18"/>
              </w:rPr>
              <w:t>支出总计</w:t>
            </w:r>
          </w:p>
        </w:tc>
        <w:tc>
          <w:tcPr>
            <w:tcW w:w="1117" w:type="dxa"/>
            <w:shd w:val="clear" w:color="auto" w:fill="auto"/>
          </w:tcPr>
          <w:p>
            <w:pPr>
              <w:jc w:val="right"/>
              <w:rPr>
                <w:sz w:val="18"/>
                <w:szCs w:val="18"/>
              </w:rPr>
            </w:pPr>
            <w:r>
              <w:rPr>
                <w:rFonts w:hint="eastAsia" w:ascii="宋体" w:hAnsi="宋体"/>
                <w:b/>
                <w:color w:val="000000"/>
                <w:sz w:val="18"/>
                <w:szCs w:val="18"/>
              </w:rPr>
              <w:t>241.57</w:t>
            </w:r>
          </w:p>
        </w:tc>
        <w:tc>
          <w:tcPr>
            <w:tcW w:w="1063" w:type="dxa"/>
            <w:gridSpan w:val="2"/>
            <w:shd w:val="clear" w:color="auto" w:fill="auto"/>
          </w:tcPr>
          <w:p>
            <w:pPr>
              <w:jc w:val="right"/>
              <w:rPr>
                <w:sz w:val="18"/>
                <w:szCs w:val="18"/>
              </w:rPr>
            </w:pPr>
            <w:r>
              <w:rPr>
                <w:rFonts w:hint="eastAsia" w:ascii="宋体" w:hAnsi="宋体"/>
                <w:b/>
                <w:color w:val="000000"/>
                <w:sz w:val="18"/>
                <w:szCs w:val="18"/>
              </w:rPr>
              <w:t>241.57</w:t>
            </w:r>
          </w:p>
        </w:tc>
        <w:tc>
          <w:tcPr>
            <w:tcW w:w="1063" w:type="dxa"/>
            <w:gridSpan w:val="2"/>
            <w:shd w:val="clear" w:color="auto" w:fill="auto"/>
          </w:tcPr>
          <w:p>
            <w:pPr>
              <w:jc w:val="right"/>
              <w:rPr>
                <w:sz w:val="18"/>
                <w:szCs w:val="18"/>
              </w:rPr>
            </w:pPr>
          </w:p>
        </w:tc>
        <w:tc>
          <w:tcPr>
            <w:tcW w:w="1051" w:type="dxa"/>
            <w:shd w:val="clear" w:color="auto" w:fill="auto"/>
          </w:tcPr>
          <w:p>
            <w:pPr>
              <w:jc w:val="right"/>
              <w:rPr>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表5</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编制单位：博尔塔拉蒙古自治州无线电管理中心</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026"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基本支出</w:t>
            </w:r>
          </w:p>
        </w:tc>
        <w:tc>
          <w:tcPr>
            <w:tcW w:w="142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026"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25.32</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25.32</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25.32</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25.32</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16.88</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16.88</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06</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8.44</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8.44</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卫生健康支出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13.29</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13.29</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r>
              <w:rPr>
                <w:rFonts w:hint="eastAsia" w:ascii="宋体" w:hAnsi="宋体"/>
                <w:b/>
                <w:color w:val="000000"/>
                <w:sz w:val="18"/>
                <w:szCs w:val="18"/>
              </w:rPr>
              <w:t>11</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行政事业单位医疗</w:t>
            </w:r>
          </w:p>
        </w:tc>
        <w:tc>
          <w:tcPr>
            <w:tcW w:w="1367" w:type="dxa"/>
            <w:shd w:val="clear" w:color="auto" w:fill="auto"/>
            <w:vAlign w:val="center"/>
          </w:tcPr>
          <w:p>
            <w:pPr>
              <w:jc w:val="right"/>
              <w:rPr>
                <w:b/>
                <w:sz w:val="18"/>
                <w:szCs w:val="18"/>
              </w:rPr>
            </w:pPr>
            <w:r>
              <w:rPr>
                <w:rFonts w:hint="eastAsia" w:ascii="宋体" w:hAnsi="宋体"/>
                <w:b/>
                <w:color w:val="000000"/>
                <w:sz w:val="18"/>
                <w:szCs w:val="18"/>
              </w:rPr>
              <w:t>13.29</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13.29</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事业单位医疗</w:t>
            </w:r>
          </w:p>
        </w:tc>
        <w:tc>
          <w:tcPr>
            <w:tcW w:w="1367" w:type="dxa"/>
            <w:shd w:val="clear" w:color="auto" w:fill="auto"/>
            <w:vAlign w:val="center"/>
          </w:tcPr>
          <w:p>
            <w:pPr>
              <w:jc w:val="right"/>
              <w:rPr>
                <w:sz w:val="18"/>
                <w:szCs w:val="18"/>
              </w:rPr>
            </w:pPr>
            <w:r>
              <w:rPr>
                <w:rFonts w:hint="eastAsia" w:ascii="宋体" w:hAnsi="宋体"/>
                <w:color w:val="000000"/>
                <w:sz w:val="18"/>
                <w:szCs w:val="18"/>
              </w:rPr>
              <w:t>10.12</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10.12</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03</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公务员医疗补助</w:t>
            </w:r>
          </w:p>
        </w:tc>
        <w:tc>
          <w:tcPr>
            <w:tcW w:w="1367" w:type="dxa"/>
            <w:shd w:val="clear" w:color="auto" w:fill="auto"/>
            <w:vAlign w:val="center"/>
          </w:tcPr>
          <w:p>
            <w:pPr>
              <w:jc w:val="right"/>
              <w:rPr>
                <w:sz w:val="18"/>
                <w:szCs w:val="18"/>
              </w:rPr>
            </w:pPr>
            <w:r>
              <w:rPr>
                <w:rFonts w:hint="eastAsia" w:ascii="宋体" w:hAnsi="宋体"/>
                <w:color w:val="000000"/>
                <w:sz w:val="18"/>
                <w:szCs w:val="18"/>
              </w:rPr>
              <w:t>3.17</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3.17</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资源勘探工业信息等支出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190.29</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139.09</w:t>
            </w:r>
          </w:p>
        </w:tc>
        <w:tc>
          <w:tcPr>
            <w:tcW w:w="1427" w:type="dxa"/>
            <w:shd w:val="clear" w:color="auto" w:fill="auto"/>
            <w:vAlign w:val="center"/>
          </w:tcPr>
          <w:p>
            <w:pPr>
              <w:jc w:val="right"/>
              <w:rPr>
                <w:b/>
                <w:sz w:val="18"/>
                <w:szCs w:val="18"/>
              </w:rPr>
            </w:pPr>
            <w:r>
              <w:rPr>
                <w:rFonts w:hint="eastAsia" w:ascii="宋体" w:hAnsi="宋体"/>
                <w:b/>
                <w:color w:val="000000"/>
                <w:sz w:val="18"/>
                <w:szCs w:val="18"/>
              </w:rPr>
              <w:t>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工业和信息产业</w:t>
            </w:r>
          </w:p>
        </w:tc>
        <w:tc>
          <w:tcPr>
            <w:tcW w:w="1367" w:type="dxa"/>
            <w:shd w:val="clear" w:color="auto" w:fill="auto"/>
            <w:vAlign w:val="center"/>
          </w:tcPr>
          <w:p>
            <w:pPr>
              <w:jc w:val="right"/>
              <w:rPr>
                <w:b/>
                <w:sz w:val="18"/>
                <w:szCs w:val="18"/>
              </w:rPr>
            </w:pPr>
            <w:r>
              <w:rPr>
                <w:rFonts w:hint="eastAsia" w:ascii="宋体" w:hAnsi="宋体"/>
                <w:b/>
                <w:color w:val="000000"/>
                <w:sz w:val="18"/>
                <w:szCs w:val="18"/>
              </w:rPr>
              <w:t>190.29</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139.09</w:t>
            </w:r>
          </w:p>
        </w:tc>
        <w:tc>
          <w:tcPr>
            <w:tcW w:w="1427" w:type="dxa"/>
            <w:shd w:val="clear" w:color="auto" w:fill="auto"/>
            <w:vAlign w:val="center"/>
          </w:tcPr>
          <w:p>
            <w:pPr>
              <w:jc w:val="right"/>
              <w:rPr>
                <w:b/>
                <w:sz w:val="18"/>
                <w:szCs w:val="18"/>
              </w:rPr>
            </w:pPr>
            <w:r>
              <w:rPr>
                <w:rFonts w:hint="eastAsia" w:ascii="宋体" w:hAnsi="宋体"/>
                <w:b/>
                <w:color w:val="000000"/>
                <w:sz w:val="18"/>
                <w:szCs w:val="18"/>
              </w:rPr>
              <w:t>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08</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无线电及信息通信监管</w:t>
            </w:r>
          </w:p>
        </w:tc>
        <w:tc>
          <w:tcPr>
            <w:tcW w:w="1367" w:type="dxa"/>
            <w:shd w:val="clear" w:color="auto" w:fill="auto"/>
            <w:vAlign w:val="center"/>
          </w:tcPr>
          <w:p>
            <w:pPr>
              <w:jc w:val="right"/>
              <w:rPr>
                <w:sz w:val="18"/>
                <w:szCs w:val="18"/>
              </w:rPr>
            </w:pPr>
            <w:r>
              <w:rPr>
                <w:rFonts w:hint="eastAsia" w:ascii="宋体" w:hAnsi="宋体"/>
                <w:color w:val="000000"/>
                <w:sz w:val="18"/>
                <w:szCs w:val="18"/>
              </w:rPr>
              <w:t>190.29</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139.09</w:t>
            </w:r>
          </w:p>
        </w:tc>
        <w:tc>
          <w:tcPr>
            <w:tcW w:w="1427" w:type="dxa"/>
            <w:shd w:val="clear" w:color="auto" w:fill="auto"/>
            <w:vAlign w:val="center"/>
          </w:tcPr>
          <w:p>
            <w:pPr>
              <w:jc w:val="right"/>
              <w:rPr>
                <w:sz w:val="18"/>
                <w:szCs w:val="18"/>
              </w:rPr>
            </w:pPr>
            <w:r>
              <w:rPr>
                <w:rFonts w:hint="eastAsia" w:ascii="宋体" w:hAnsi="宋体"/>
                <w:color w:val="000000"/>
                <w:sz w:val="18"/>
                <w:szCs w:val="18"/>
              </w:rPr>
              <w:t>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住房保障支出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12.66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12.66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12.66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12.66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221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pPr>
              <w:jc w:val="right"/>
              <w:rPr>
                <w:sz w:val="18"/>
                <w:szCs w:val="18"/>
              </w:rPr>
            </w:pPr>
            <w:r>
              <w:rPr>
                <w:rFonts w:hint="eastAsia" w:ascii="宋体" w:hAnsi="宋体"/>
                <w:color w:val="000000"/>
                <w:sz w:val="18"/>
                <w:szCs w:val="18"/>
              </w:rPr>
              <w:t>12.66</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12.66</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center"/>
              <w:rPr>
                <w:b/>
                <w:sz w:val="18"/>
                <w:szCs w:val="18"/>
              </w:rPr>
            </w:pPr>
            <w:r>
              <w:rPr>
                <w:rFonts w:hint="eastAsia" w:ascii="宋体" w:hAnsi="宋体"/>
                <w:b/>
                <w:color w:val="000000"/>
                <w:sz w:val="18"/>
                <w:szCs w:val="18"/>
              </w:rPr>
              <w:t>总计</w:t>
            </w:r>
          </w:p>
        </w:tc>
        <w:tc>
          <w:tcPr>
            <w:tcW w:w="1367" w:type="dxa"/>
            <w:shd w:val="clear" w:color="auto" w:fill="auto"/>
            <w:vAlign w:val="center"/>
          </w:tcPr>
          <w:p>
            <w:pPr>
              <w:jc w:val="right"/>
              <w:rPr>
                <w:b/>
                <w:sz w:val="18"/>
                <w:szCs w:val="18"/>
              </w:rPr>
            </w:pPr>
            <w:r>
              <w:rPr>
                <w:rFonts w:hint="eastAsia" w:ascii="宋体" w:hAnsi="宋体"/>
                <w:b/>
                <w:color w:val="000000"/>
                <w:sz w:val="18"/>
                <w:szCs w:val="18"/>
              </w:rPr>
              <w:t>241.57</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190.37</w:t>
            </w:r>
          </w:p>
        </w:tc>
        <w:tc>
          <w:tcPr>
            <w:tcW w:w="1427" w:type="dxa"/>
            <w:shd w:val="clear" w:color="auto" w:fill="auto"/>
            <w:vAlign w:val="center"/>
          </w:tcPr>
          <w:p>
            <w:pPr>
              <w:jc w:val="right"/>
              <w:rPr>
                <w:b/>
                <w:sz w:val="18"/>
                <w:szCs w:val="18"/>
              </w:rPr>
            </w:pPr>
            <w:r>
              <w:rPr>
                <w:rFonts w:hint="eastAsia" w:ascii="宋体" w:hAnsi="宋体"/>
                <w:b/>
                <w:color w:val="000000"/>
                <w:sz w:val="18"/>
                <w:szCs w:val="18"/>
              </w:rPr>
              <w:t>51.20</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表6</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一般公共预算基本支出情况表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sz w:val="18"/>
                <w:szCs w:val="18"/>
              </w:rPr>
            </w:pPr>
            <w:r>
              <w:rPr>
                <w:rFonts w:hint="eastAsia"/>
                <w:color w:val="000000"/>
                <w:sz w:val="18"/>
                <w:szCs w:val="18"/>
              </w:rPr>
              <w:t>编制单位：博尔塔拉蒙古自治州无线电管理中心</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sz w:val="18"/>
                <w:szCs w:val="18"/>
              </w:rPr>
            </w:pPr>
            <w:r>
              <w:rPr>
                <w:rFonts w:hint="eastAsia"/>
                <w:sz w:val="18"/>
                <w:szCs w:val="18"/>
              </w:rPr>
              <w:t>科目代码</w:t>
            </w:r>
          </w:p>
        </w:tc>
        <w:tc>
          <w:tcPr>
            <w:tcW w:w="4593"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人员经费</w:t>
            </w:r>
          </w:p>
        </w:tc>
        <w:tc>
          <w:tcPr>
            <w:tcW w:w="1427" w:type="dxa"/>
            <w:vMerge w:val="restart"/>
            <w:shd w:val="clear" w:color="auto" w:fill="auto"/>
            <w:vAlign w:val="center"/>
          </w:tcPr>
          <w:p>
            <w:pPr>
              <w:jc w:val="center"/>
              <w:rPr>
                <w:sz w:val="18"/>
                <w:szCs w:val="18"/>
              </w:rPr>
            </w:pPr>
            <w:r>
              <w:rPr>
                <w:rFonts w:hint="eastAsia"/>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4593"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301</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工资福利支出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162.83</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162.83</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基本工资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46.62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46.62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津贴补贴</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11.37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11.37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奖金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22.44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22.44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绩效工资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27.35</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27.35</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机关事业单位基本养老保险缴费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16.88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16.88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职业年金缴费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8.44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8.44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10</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职工基本医疗保险缴费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10.12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10.12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公务员医疗补助缴费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3.17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3.17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其他社会保障缴费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0.86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0.86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住房公积金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12.66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12.66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其他工资福利支出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2.91</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2.91</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302</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商品和服务支出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27.53</w:t>
            </w:r>
          </w:p>
        </w:tc>
        <w:tc>
          <w:tcPr>
            <w:tcW w:w="1366" w:type="dxa"/>
            <w:gridSpan w:val="2"/>
            <w:shd w:val="clear" w:color="auto" w:fill="auto"/>
            <w:vAlign w:val="center"/>
          </w:tcPr>
          <w:p>
            <w:pPr>
              <w:jc w:val="right"/>
              <w:rPr>
                <w:rFonts w:hint="default" w:ascii="宋体" w:hAnsi="宋体"/>
                <w:b/>
                <w:sz w:val="18"/>
                <w:szCs w:val="18"/>
              </w:rPr>
            </w:pP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办公费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7.20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邮电费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1.50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取暖费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5.28</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差旅费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3.50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28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工会经费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2.05</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31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公务用车运行维护费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4.00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其他商品和服务支出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4.00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center"/>
              <w:rPr>
                <w:rFonts w:hint="default" w:ascii="宋体" w:hAnsi="宋体"/>
                <w:b/>
                <w:sz w:val="18"/>
                <w:szCs w:val="18"/>
              </w:rPr>
            </w:pPr>
            <w:r>
              <w:rPr>
                <w:rFonts w:hint="default" w:ascii="宋体" w:hAnsi="宋体"/>
                <w:b/>
                <w:sz w:val="18"/>
                <w:szCs w:val="18"/>
              </w:rPr>
              <w:t>总计</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190.37</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162.83</w:t>
            </w: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27.53</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表7</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一般公共预算项目支出情况表</w:t>
      </w:r>
    </w:p>
    <w:tbl>
      <w:tblPr>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pPr>
              <w:jc w:val="left"/>
              <w:rPr>
                <w:sz w:val="18"/>
                <w:szCs w:val="18"/>
              </w:rPr>
            </w:pPr>
            <w:r>
              <w:rPr>
                <w:rFonts w:hint="eastAsia"/>
                <w:color w:val="000000"/>
                <w:sz w:val="18"/>
                <w:szCs w:val="18"/>
              </w:rPr>
              <w:t>编制单位：博尔塔拉蒙古自治州无线电管理中心</w:t>
            </w:r>
          </w:p>
        </w:tc>
        <w:tc>
          <w:tcPr>
            <w:tcW w:w="1700"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pPr>
              <w:jc w:val="center"/>
              <w:rPr>
                <w:sz w:val="18"/>
                <w:szCs w:val="18"/>
              </w:rPr>
            </w:pPr>
            <w:r>
              <w:rPr>
                <w:rFonts w:hint="eastAsia"/>
                <w:sz w:val="18"/>
                <w:szCs w:val="18"/>
              </w:rPr>
              <w:t>科目代码</w:t>
            </w:r>
          </w:p>
        </w:tc>
        <w:tc>
          <w:tcPr>
            <w:tcW w:w="2000" w:type="dxa"/>
            <w:vMerge w:val="restart"/>
            <w:shd w:val="clear" w:color="auto" w:fill="auto"/>
            <w:vAlign w:val="center"/>
          </w:tcPr>
          <w:p>
            <w:pPr>
              <w:jc w:val="center"/>
              <w:rPr>
                <w:sz w:val="18"/>
                <w:szCs w:val="18"/>
              </w:rPr>
            </w:pPr>
            <w:r>
              <w:rPr>
                <w:rFonts w:hint="eastAsia"/>
                <w:sz w:val="18"/>
                <w:szCs w:val="18"/>
              </w:rPr>
              <w:t>科目名称</w:t>
            </w:r>
          </w:p>
        </w:tc>
        <w:tc>
          <w:tcPr>
            <w:tcW w:w="2000" w:type="dxa"/>
            <w:vMerge w:val="restart"/>
            <w:shd w:val="clear" w:color="auto" w:fill="auto"/>
            <w:vAlign w:val="center"/>
          </w:tcPr>
          <w:p>
            <w:pPr>
              <w:jc w:val="center"/>
              <w:rPr>
                <w:sz w:val="18"/>
                <w:szCs w:val="18"/>
              </w:rPr>
            </w:pPr>
            <w:r>
              <w:rPr>
                <w:rFonts w:hint="eastAsia"/>
                <w:sz w:val="18"/>
                <w:szCs w:val="18"/>
              </w:rPr>
              <w:t>项目名称</w:t>
            </w:r>
          </w:p>
        </w:tc>
        <w:tc>
          <w:tcPr>
            <w:tcW w:w="850" w:type="dxa"/>
            <w:vMerge w:val="restart"/>
            <w:shd w:val="clear" w:color="auto" w:fill="auto"/>
            <w:vAlign w:val="center"/>
          </w:tcPr>
          <w:p>
            <w:pPr>
              <w:jc w:val="center"/>
              <w:rPr>
                <w:sz w:val="18"/>
                <w:szCs w:val="18"/>
              </w:rPr>
            </w:pPr>
            <w:r>
              <w:rPr>
                <w:rFonts w:hint="eastAsia"/>
                <w:sz w:val="18"/>
                <w:szCs w:val="18"/>
              </w:rPr>
              <w:t>项目支出合计</w:t>
            </w:r>
          </w:p>
        </w:tc>
        <w:tc>
          <w:tcPr>
            <w:tcW w:w="850" w:type="dxa"/>
            <w:vMerge w:val="restart"/>
            <w:shd w:val="clear" w:color="auto" w:fill="auto"/>
            <w:vAlign w:val="center"/>
          </w:tcPr>
          <w:p>
            <w:pPr>
              <w:jc w:val="center"/>
              <w:rPr>
                <w:sz w:val="18"/>
                <w:szCs w:val="18"/>
              </w:rPr>
            </w:pPr>
            <w:r>
              <w:rPr>
                <w:rFonts w:hint="eastAsia"/>
                <w:sz w:val="18"/>
                <w:szCs w:val="18"/>
              </w:rPr>
              <w:t>工资福利支出</w:t>
            </w:r>
          </w:p>
        </w:tc>
        <w:tc>
          <w:tcPr>
            <w:tcW w:w="850" w:type="dxa"/>
            <w:vMerge w:val="restart"/>
            <w:shd w:val="clear" w:color="auto" w:fill="auto"/>
            <w:vAlign w:val="center"/>
          </w:tcPr>
          <w:p>
            <w:pPr>
              <w:jc w:val="center"/>
              <w:rPr>
                <w:sz w:val="18"/>
                <w:szCs w:val="18"/>
              </w:rPr>
            </w:pPr>
            <w:r>
              <w:rPr>
                <w:rFonts w:hint="eastAsia"/>
                <w:sz w:val="18"/>
                <w:szCs w:val="18"/>
              </w:rPr>
              <w:t>商品和服务支出</w:t>
            </w:r>
          </w:p>
        </w:tc>
        <w:tc>
          <w:tcPr>
            <w:tcW w:w="850" w:type="dxa"/>
            <w:vMerge w:val="restart"/>
            <w:shd w:val="clear" w:color="auto" w:fill="auto"/>
            <w:vAlign w:val="center"/>
          </w:tcPr>
          <w:p>
            <w:pPr>
              <w:jc w:val="center"/>
              <w:rPr>
                <w:sz w:val="18"/>
                <w:szCs w:val="18"/>
              </w:rPr>
            </w:pPr>
            <w:r>
              <w:rPr>
                <w:rFonts w:hint="eastAsia"/>
                <w:sz w:val="18"/>
                <w:szCs w:val="18"/>
              </w:rPr>
              <w:t>对个人和家庭的补助</w:t>
            </w:r>
          </w:p>
        </w:tc>
        <w:tc>
          <w:tcPr>
            <w:tcW w:w="850" w:type="dxa"/>
            <w:vMerge w:val="restart"/>
            <w:shd w:val="clear" w:color="auto" w:fill="auto"/>
            <w:vAlign w:val="center"/>
          </w:tcPr>
          <w:p>
            <w:pPr>
              <w:jc w:val="center"/>
              <w:rPr>
                <w:sz w:val="18"/>
                <w:szCs w:val="18"/>
              </w:rPr>
            </w:pPr>
            <w:r>
              <w:rPr>
                <w:rFonts w:hint="eastAsia"/>
                <w:sz w:val="18"/>
                <w:szCs w:val="18"/>
              </w:rPr>
              <w:t>债务利息及费用支出</w:t>
            </w:r>
          </w:p>
        </w:tc>
        <w:tc>
          <w:tcPr>
            <w:tcW w:w="850" w:type="dxa"/>
            <w:vMerge w:val="restart"/>
            <w:shd w:val="clear" w:color="auto" w:fill="auto"/>
            <w:vAlign w:val="center"/>
          </w:tcPr>
          <w:p>
            <w:pPr>
              <w:jc w:val="center"/>
              <w:rPr>
                <w:sz w:val="18"/>
                <w:szCs w:val="18"/>
              </w:rPr>
            </w:pPr>
            <w:r>
              <w:rPr>
                <w:rFonts w:hint="eastAsia"/>
                <w:sz w:val="18"/>
                <w:szCs w:val="18"/>
              </w:rPr>
              <w:t>资本性支出（基本建设）</w:t>
            </w:r>
          </w:p>
        </w:tc>
        <w:tc>
          <w:tcPr>
            <w:tcW w:w="850" w:type="dxa"/>
            <w:vMerge w:val="restart"/>
            <w:shd w:val="clear" w:color="auto" w:fill="auto"/>
            <w:vAlign w:val="center"/>
          </w:tcPr>
          <w:p>
            <w:pPr>
              <w:jc w:val="center"/>
              <w:rPr>
                <w:sz w:val="18"/>
                <w:szCs w:val="18"/>
              </w:rPr>
            </w:pPr>
            <w:r>
              <w:rPr>
                <w:rFonts w:hint="eastAsia"/>
                <w:sz w:val="18"/>
                <w:szCs w:val="18"/>
              </w:rPr>
              <w:t>资本性支出</w:t>
            </w:r>
          </w:p>
        </w:tc>
        <w:tc>
          <w:tcPr>
            <w:tcW w:w="850" w:type="dxa"/>
            <w:vMerge w:val="restart"/>
            <w:shd w:val="clear" w:color="auto" w:fill="auto"/>
            <w:vAlign w:val="center"/>
          </w:tcPr>
          <w:p>
            <w:pPr>
              <w:jc w:val="center"/>
              <w:rPr>
                <w:sz w:val="18"/>
                <w:szCs w:val="18"/>
              </w:rPr>
            </w:pPr>
            <w:r>
              <w:rPr>
                <w:rFonts w:hint="eastAsia"/>
                <w:sz w:val="18"/>
                <w:szCs w:val="18"/>
              </w:rPr>
              <w:t>对企业补助（基本建设）</w:t>
            </w:r>
          </w:p>
        </w:tc>
        <w:tc>
          <w:tcPr>
            <w:tcW w:w="850" w:type="dxa"/>
            <w:vMerge w:val="restart"/>
            <w:shd w:val="clear" w:color="auto" w:fill="auto"/>
            <w:vAlign w:val="center"/>
          </w:tcPr>
          <w:p>
            <w:pPr>
              <w:jc w:val="center"/>
              <w:rPr>
                <w:sz w:val="18"/>
                <w:szCs w:val="18"/>
              </w:rPr>
            </w:pPr>
            <w:r>
              <w:rPr>
                <w:rFonts w:hint="eastAsia"/>
                <w:sz w:val="18"/>
                <w:szCs w:val="18"/>
              </w:rPr>
              <w:t>对企业补助</w:t>
            </w:r>
          </w:p>
        </w:tc>
        <w:tc>
          <w:tcPr>
            <w:tcW w:w="850" w:type="dxa"/>
            <w:vMerge w:val="restart"/>
            <w:shd w:val="clear" w:color="auto" w:fill="auto"/>
            <w:vAlign w:val="center"/>
          </w:tcPr>
          <w:p>
            <w:pPr>
              <w:jc w:val="center"/>
              <w:rPr>
                <w:sz w:val="18"/>
                <w:szCs w:val="18"/>
              </w:rPr>
            </w:pPr>
            <w:r>
              <w:rPr>
                <w:rFonts w:hint="eastAsia"/>
                <w:sz w:val="18"/>
                <w:szCs w:val="18"/>
              </w:rPr>
              <w:t>对社会保障基金补助</w:t>
            </w:r>
          </w:p>
        </w:tc>
        <w:tc>
          <w:tcPr>
            <w:tcW w:w="850" w:type="dxa"/>
            <w:vMerge w:val="restart"/>
            <w:shd w:val="clear" w:color="auto" w:fill="auto"/>
            <w:vAlign w:val="center"/>
          </w:tcPr>
          <w:p>
            <w:pPr>
              <w:jc w:val="center"/>
              <w:rPr>
                <w:sz w:val="18"/>
                <w:szCs w:val="18"/>
              </w:rPr>
            </w:pPr>
            <w:r>
              <w:rPr>
                <w:rFonts w:hint="eastAsia"/>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pPr>
              <w:jc w:val="center"/>
              <w:rPr>
                <w:sz w:val="18"/>
                <w:szCs w:val="18"/>
              </w:rPr>
            </w:pPr>
            <w:r>
              <w:rPr>
                <w:rFonts w:hint="eastAsia"/>
                <w:sz w:val="18"/>
                <w:szCs w:val="18"/>
              </w:rPr>
              <w:t>类</w:t>
            </w:r>
          </w:p>
        </w:tc>
        <w:tc>
          <w:tcPr>
            <w:tcW w:w="260" w:type="dxa"/>
            <w:shd w:val="clear" w:color="auto" w:fill="auto"/>
            <w:vAlign w:val="center"/>
          </w:tcPr>
          <w:p>
            <w:pPr>
              <w:jc w:val="center"/>
              <w:rPr>
                <w:sz w:val="18"/>
                <w:szCs w:val="18"/>
              </w:rPr>
            </w:pPr>
            <w:r>
              <w:rPr>
                <w:rFonts w:hint="eastAsia"/>
                <w:sz w:val="18"/>
                <w:szCs w:val="18"/>
              </w:rPr>
              <w:t>款</w:t>
            </w:r>
          </w:p>
        </w:tc>
        <w:tc>
          <w:tcPr>
            <w:tcW w:w="260" w:type="dxa"/>
            <w:shd w:val="clear" w:color="auto" w:fill="auto"/>
            <w:vAlign w:val="center"/>
          </w:tcPr>
          <w:p>
            <w:pPr>
              <w:jc w:val="center"/>
              <w:rPr>
                <w:sz w:val="18"/>
                <w:szCs w:val="18"/>
              </w:rPr>
            </w:pPr>
            <w:r>
              <w:rPr>
                <w:rFonts w:hint="eastAsia"/>
                <w:sz w:val="18"/>
                <w:szCs w:val="18"/>
              </w:rPr>
              <w:t>项</w:t>
            </w:r>
          </w:p>
        </w:tc>
        <w:tc>
          <w:tcPr>
            <w:tcW w:w="2500" w:type="dxa"/>
            <w:vMerge w:val="continue"/>
            <w:shd w:val="clear" w:color="auto" w:fill="auto"/>
            <w:vAlign w:val="center"/>
          </w:tcPr>
          <w:p>
            <w:pPr>
              <w:jc w:val="center"/>
              <w:rPr>
                <w:sz w:val="18"/>
                <w:szCs w:val="18"/>
              </w:rPr>
            </w:pPr>
          </w:p>
        </w:tc>
        <w:tc>
          <w:tcPr>
            <w:tcW w:w="250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51.20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51.20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center"/>
              <w:rPr>
                <w:b/>
                <w:sz w:val="18"/>
                <w:szCs w:val="18"/>
              </w:rPr>
            </w:pPr>
            <w:r>
              <w:rPr>
                <w:rFonts w:hint="default" w:ascii="宋体" w:hAnsi="宋体"/>
                <w:b/>
                <w:kern w:val="0"/>
                <w:sz w:val="13"/>
                <w:szCs w:val="13"/>
              </w:rPr>
              <w:t>总计</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51.20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r>
        <w:rPr>
          <w:rFonts w:hint="eastAsia" w:ascii="宋体" w:hAnsi="宋体"/>
          <w:color w:val="000000"/>
          <w:sz w:val="18"/>
          <w:szCs w:val="18"/>
        </w:rPr>
        <w:t>表8</w:t>
      </w:r>
    </w:p>
    <w:p>
      <w:pPr>
        <w:jc w:val="center"/>
        <w:rPr>
          <w:rFonts w:hint="default" w:ascii="仿宋" w:hAnsi="宋体" w:eastAsia="仿宋"/>
          <w:b/>
          <w:color w:val="000000"/>
          <w:sz w:val="28"/>
          <w:szCs w:val="28"/>
        </w:rPr>
      </w:pPr>
      <w:r>
        <w:rPr>
          <w:rFonts w:hint="eastAsia" w:ascii="仿宋" w:hAnsi="宋体" w:eastAsia="仿宋"/>
          <w:b/>
          <w:color w:val="000000"/>
          <w:sz w:val="28"/>
          <w:szCs w:val="28"/>
        </w:rPr>
        <w:t>政府性基金预算支出情况表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编制单位：博尔塔拉蒙古自治州无线电管理中心</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博尔塔拉蒙古自治州无线电管理中心2026年没有使用政府性基金预算拨款安排的支出，政府性基金预算支出情况表为空表。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表9</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国有资本经营预算支出情况表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编制单位：博尔塔拉蒙古自治州无线电管理中心</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博尔塔拉蒙古自治州无线电管理中心2026年没有使用国有资本经营预算拨款安排的支出，国有资本经营预算支出情况表为空表。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表10</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财政拨款“三公”经费支出情况表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327"/>
        <w:gridCol w:w="1407"/>
        <w:gridCol w:w="1407"/>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编制单位：博尔塔拉蒙古自治州无线电管理中心</w:t>
            </w:r>
          </w:p>
        </w:tc>
        <w:tc>
          <w:tcPr>
            <w:tcW w:w="16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“三公”经费支出内容</w:t>
            </w:r>
          </w:p>
        </w:tc>
        <w:tc>
          <w:tcPr>
            <w:tcW w:w="16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8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pPr>
              <w:jc w:val="center"/>
              <w:rPr>
                <w:rFonts w:hint="default" w:ascii="宋体" w:hAnsi="宋体"/>
                <w:color w:val="000000"/>
                <w:sz w:val="18"/>
                <w:szCs w:val="18"/>
              </w:rPr>
            </w:pPr>
          </w:p>
        </w:tc>
        <w:tc>
          <w:tcPr>
            <w:tcW w:w="1600" w:type="dxa"/>
            <w:vMerge w:val="continue"/>
            <w:shd w:val="clear" w:color="auto" w:fill="auto"/>
            <w:vAlign w:val="center"/>
          </w:tcPr>
          <w:p>
            <w:pPr>
              <w:jc w:val="center"/>
              <w:rPr>
                <w:rFonts w:hint="default" w:ascii="宋体" w:hAnsi="宋体"/>
                <w:color w:val="000000"/>
                <w:sz w:val="18"/>
                <w:szCs w:val="18"/>
              </w:rPr>
            </w:pP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因公出国（境）费用</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公务接待费</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公务用车购置及运行维护费（小计）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11.10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11.10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其中：公务用车购置</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 xml:space="preserve">      公务用车运行维护费</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11.10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11.10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总计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11.10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11.10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财政拨款委托业务费支出情况表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5092"/>
        <w:gridCol w:w="1216"/>
        <w:gridCol w:w="1216"/>
        <w:gridCol w:w="1216"/>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编制单位：博尔塔拉蒙古自治州无线电管理中心</w:t>
            </w:r>
          </w:p>
        </w:tc>
        <w:tc>
          <w:tcPr>
            <w:tcW w:w="14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项目名称</w:t>
            </w:r>
          </w:p>
        </w:tc>
        <w:tc>
          <w:tcPr>
            <w:tcW w:w="14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2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pPr>
              <w:jc w:val="center"/>
              <w:rPr>
                <w:rFonts w:hint="default" w:ascii="宋体" w:hAnsi="宋体"/>
                <w:color w:val="000000"/>
                <w:sz w:val="18"/>
                <w:szCs w:val="18"/>
              </w:rPr>
            </w:pPr>
          </w:p>
        </w:tc>
        <w:tc>
          <w:tcPr>
            <w:tcW w:w="1400" w:type="dxa"/>
            <w:vMerge w:val="continue"/>
            <w:shd w:val="clear" w:color="auto" w:fill="auto"/>
            <w:vAlign w:val="center"/>
          </w:tcPr>
          <w:p>
            <w:pPr>
              <w:jc w:val="center"/>
              <w:rPr>
                <w:rFonts w:hint="default" w:ascii="宋体" w:hAnsi="宋体"/>
                <w:color w:val="000000"/>
                <w:sz w:val="18"/>
                <w:szCs w:val="18"/>
              </w:rPr>
            </w:pP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center"/>
              <w:rPr>
                <w:rFonts w:hint="default" w:ascii="宋体" w:hAnsi="宋体"/>
                <w:b/>
                <w:color w:val="000000"/>
                <w:sz w:val="18"/>
                <w:szCs w:val="18"/>
              </w:rPr>
            </w:pPr>
            <w:r>
              <w:rPr>
                <w:rFonts w:hint="default" w:ascii="宋体" w:hAnsi="宋体"/>
                <w:b/>
                <w:kern w:val="0"/>
                <w:sz w:val="18"/>
                <w:szCs w:val="18"/>
              </w:rPr>
              <w:t>总计</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博尔塔拉蒙古自治州无线电管理中心2026年没有委托业务费预算的支出，财政拨款委托业务费支出情况表为空表。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上年结转结余情况表</w:t>
      </w:r>
    </w:p>
    <w:tbl>
      <w:tblPr>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rPr>
            </w:pPr>
            <w:r>
              <w:rPr>
                <w:rFonts w:hint="eastAsia"/>
                <w:color w:val="000000"/>
                <w:sz w:val="18"/>
                <w:szCs w:val="18"/>
              </w:rPr>
              <w:t>编制单位：博尔塔拉蒙古自治州无线电管理中心</w:t>
            </w:r>
          </w:p>
        </w:tc>
        <w:tc>
          <w:tcPr>
            <w:tcW w:w="4254" w:type="dxa"/>
            <w:gridSpan w:val="5"/>
            <w:tcBorders>
              <w:top w:val="nil"/>
              <w:left w:val="nil"/>
              <w:right w:val="nil"/>
            </w:tcBorders>
            <w:shd w:val="clear" w:color="auto" w:fill="auto"/>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sz w:val="18"/>
                <w:szCs w:val="18"/>
              </w:rPr>
            </w:pPr>
            <w:r>
              <w:rPr>
                <w:rFonts w:hint="eastAsia"/>
                <w:sz w:val="18"/>
                <w:szCs w:val="18"/>
              </w:rPr>
              <w:t>项目</w:t>
            </w:r>
          </w:p>
        </w:tc>
        <w:tc>
          <w:tcPr>
            <w:tcW w:w="1247" w:type="dxa"/>
            <w:vMerge w:val="restart"/>
            <w:shd w:val="clear" w:color="auto" w:fill="auto"/>
            <w:vAlign w:val="center"/>
          </w:tcPr>
          <w:p>
            <w:pPr>
              <w:jc w:val="center"/>
              <w:rPr>
                <w:sz w:val="18"/>
                <w:szCs w:val="18"/>
              </w:rPr>
            </w:pPr>
            <w:r>
              <w:rPr>
                <w:rFonts w:hint="eastAsia"/>
                <w:sz w:val="18"/>
                <w:szCs w:val="18"/>
              </w:rPr>
              <w:t>合计</w:t>
            </w:r>
          </w:p>
        </w:tc>
        <w:tc>
          <w:tcPr>
            <w:tcW w:w="4988" w:type="dxa"/>
            <w:gridSpan w:val="4"/>
            <w:shd w:val="clear" w:color="auto" w:fill="auto"/>
            <w:vAlign w:val="center"/>
          </w:tcPr>
          <w:p>
            <w:pPr>
              <w:jc w:val="center"/>
              <w:rPr>
                <w:rFonts w:hint="eastAsia"/>
                <w:sz w:val="18"/>
                <w:szCs w:val="18"/>
              </w:rPr>
            </w:pPr>
            <w:r>
              <w:rPr>
                <w:rFonts w:hint="eastAsia"/>
                <w:sz w:val="18"/>
                <w:szCs w:val="18"/>
              </w:rPr>
              <w:t>财政拨款</w:t>
            </w:r>
          </w:p>
        </w:tc>
        <w:tc>
          <w:tcPr>
            <w:tcW w:w="4988" w:type="dxa"/>
            <w:gridSpan w:val="5"/>
            <w:shd w:val="clear" w:color="auto" w:fill="auto"/>
            <w:vAlign w:val="center"/>
          </w:tcPr>
          <w:p>
            <w:pPr>
              <w:jc w:val="center"/>
              <w:rPr>
                <w:rFonts w:hint="eastAsia"/>
                <w:sz w:val="18"/>
                <w:szCs w:val="18"/>
              </w:rPr>
            </w:pPr>
            <w:r>
              <w:rPr>
                <w:rFonts w:hint="eastAsia"/>
                <w:sz w:val="18"/>
                <w:szCs w:val="18"/>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c>
          <w:tcPr>
            <w:tcW w:w="1247" w:type="dxa"/>
            <w:gridSpan w:val="2"/>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c>
          <w:tcPr>
            <w:tcW w:w="1247" w:type="dxa"/>
            <w:gridSpan w:val="2"/>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博尔塔拉蒙古自治州无线电管理中心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35.96</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35.96</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35.96</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23.06</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23.06</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23.06</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12.90</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12.90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12.90</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b/>
                <w:sz w:val="18"/>
                <w:szCs w:val="18"/>
              </w:rPr>
            </w:pPr>
            <w:r>
              <w:rPr>
                <w:rFonts w:hint="default" w:ascii="宋体" w:hAnsi="宋体"/>
                <w:b/>
                <w:kern w:val="0"/>
                <w:sz w:val="13"/>
                <w:szCs w:val="13"/>
              </w:rPr>
              <w:t>总计</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35.96</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35.96</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35.96</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pStyle w:val="2"/>
        <w:spacing w:before="156" w:beforeLines="50" w:after="156" w:afterLines="50" w:line="240" w:lineRule="atLeast"/>
        <w:jc w:val="center"/>
        <w:rPr>
          <w:rFonts w:hint="default" w:ascii="黑体" w:eastAsia="黑体"/>
          <w:sz w:val="30"/>
          <w:szCs w:val="30"/>
        </w:rPr>
      </w:pPr>
      <w:r>
        <w:rPr>
          <w:rFonts w:hint="eastAsia" w:ascii="黑体" w:eastAsia="黑体"/>
          <w:sz w:val="30"/>
          <w:szCs w:val="30"/>
        </w:rPr>
        <w:t>第三部分 2026年单位预算情况说明</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关于博尔塔拉蒙古自治州无线电管理中心2026年收支预算情况总体说明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按照全口径预算的原则，博尔塔拉蒙古自治州无线电管理中心2026年所有收入和支出均纳入单位预算管理。收支总预算277.52万元。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收入预算包括：一般公共预算、财政拨款结转结余。</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支出预算包括：社会保障和就业支出、卫生健康支出、资源勘探工业信息等支出、住房保障支出。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关于博尔塔拉蒙古自治州无线电管理中心2026年收入预算情况说明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博尔塔拉蒙古自治州无线电管理中心单位收入预算277.52万元，其中：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一般公共预算190.37万元，占68.60%，比上年预算增加64.48万元，增长51.22%，主要原因是2026年在职人员较上年增加3人，人员、公用经费相应增加。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上级一般公共预算安排的转移支付资金51.20万元，占18.45%，比上年预算减少18.70万元，下降26.75%，主要原因是2026年无线电管理经费预算安排减少。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政府性基金预算未安排。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上级政府性基金安排的转移支付资金未安排。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国有资本经营预算未安排。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上级国有资本经营预算安排的转移支付资金未安排。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单位资金0.00万元，占0.00%，比上年预算减少5.20万元，下降100.00%，主要原因是上级政府性基金安排的转移支付资金未安排。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财政拨款结转35.96万元，占12.96%，比上年预算增加35.96万元，增长100.00%，主要原因是2025年无线电管理经费未执行完毕，结转本年35.96万元。</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关于博尔塔拉蒙古自治州无线电管理中心2026年支出预算情况说明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博尔塔拉蒙古自治州无线电管理中心2026年支出预算277.52万元，其中：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基本支出190.37万元，占68.60%，比上年预算增加64.48万元，增长51.22%，主要原因是2026年在职人员较上年增加3人，人员、公用经费相应增加。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87.16万元，占31.41%，比上年预算增加12.06万元，增长16.06%，主要原因是一是2026年无线电管理经费预算安排减少18.7万元；二是本年未安排非财政项目，非财政项目较上年减少5.2万元；三是2025年无线电管理经费未执行完毕，结转本年35.96万元。</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关于博尔塔拉蒙古自治州无线电管理中心2026年财政拨款收支预算情况的总体说明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2026年财政拨款收支总预算241.57万元。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收入全部为一般公共预算拨款，无政府性基金预算拨款和国有资本经营预算。</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收入预算包括：一般公共预算拨款241.57万元。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支出包括：社会保障和就业支出25.32万元，主要用于机关事业单位基本养老保险缴费支出；卫生健康支出13.29万元，主要用于事业单位医疗、公务员医疗补助；资源勘探工业信息等支出190.29万元，主要用于无线电及信息通信监管支出；住房保障支出12.66万元，主要用于住房公积金缴费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关于博尔塔拉蒙古自治州无线电管理中心2026年一般公共预算当年拨款情况说明</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（一）一般公共预算当年拨款规模变化情况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博尔塔拉蒙古自治州无线电管理中心2026年一般公共预算拨款合计241.57万元，其中：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基本支出190.37万元，比上年预算增加64.48万元，增长51.22%，主要原因是2026年在职人员较上年增加3人，人员、公用经费相应增加。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项目支出51.20万元，比上年预算减少18.70万元，下降26.75%，主要原因是2026年无线电管理经费减少，故项目支出较上年预算减少18.70万元。</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（二）一般公共预算当年拨款结构情况，其中：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1.社会保障和就业支出（类）25.32万元，占10.48%。</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2.卫生健康支出（类）13.29万元，占5.50%。</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3.资源勘探工业信息等支出（类）190.29万元，占78.77%。</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4.住房保障支出（类）12.66万元，占5.24%。</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（三）一般公共预算当年拨款具体使用情况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行政事业单位养老支出（款）机关事业单位基本养老保险缴费支出（项）：2026年预算数为16.88万元，比上年预算增加5.55万元，增长48.98%，主要原因是2026年在职人员增加3人,致使基本养老保险缴费财政拨款预算资金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社会保障和就业支出（类）行政事业单位养老支出（款）机关事业单位职业年金缴费支出（项）：2026年预算数为8.44万元，比上年预算增加8.44万元，增长100.00%，主要原因是2026年起职业年金单位缴费部分列入年初预算全额保障。</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3.卫生健康支出（类）行政事业单位医疗（款）事业单位医疗（项）：2026年预算数为10.12万元，比上年预算增加4.40万元，增长76.92%，主要原因是2026年在职人员增加3人,致使基本医疗保险缴费财政拨款资金增加。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卫生健康支出（类）行政事业单位医疗（款）公务员医疗补助（项）：2026年预算数为3.17万元，比上年预算增加1.05万元，增长49.53%，主要原因是2026年在职人员增加3人，致使公务员医疗补助缴费财政拨款预算资金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资源勘探工业信息等支出（类）工业和信息产业（款）无线电及信息通信监管（项）：2026年预算数为190.29万元，比上年预算增加22.17万元，增长13.19%，主要原因是2026年在职人员增加3人，致使无线电及信息通信监管缴费财政拨款预算资金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6.住房保障支出（类）住房改革支出（款）住房公积金（项）：2026年预算数为12.66万元，比上年预算增加4.17万元，增长49.12%，主要原因是2026年在职人员增加3人，致使住房公积金缴费财政拨款预算资金增加。</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关于博尔塔拉蒙古自治州无线电管理中心2026年一般公共预算基本支出情况说明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博尔塔拉蒙古自治州无线电管理中心2026年一般公共预算基本支出190.37万元，其中：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人员经费162.83万元，主要包括：基本工资、津贴补贴、奖金、绩效工资、机关事业单位基本养老保险缴费、职业年金缴费、职工基本医疗保险缴费、公务员医疗补助缴费、其他社会保障缴费、住房公积金、其他工资福利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公用经费27.53万元，主要包括：办公费、邮电费、取暖费、差旅费、工会经费、公务用车运行维护费、其他商品和服务支出。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关于博尔塔拉蒙古自治州无线电管理中心2026年一般公共预算项目支出情况说明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（一）项目名称：2026年无线电管理经费</w:t>
      </w:r>
    </w:p>
    <w:p>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设立的政策依据：</w:t>
      </w:r>
      <w:r>
        <w:rPr>
          <w:rFonts w:hint="eastAsia" w:ascii="仿宋" w:hAnsi="微软雅黑" w:eastAsia="仿宋"/>
          <w:sz w:val="28"/>
          <w:szCs w:val="28"/>
        </w:rPr>
        <w:t>《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w:t>
      </w:r>
    </w:p>
    <w:p>
      <w:pPr>
        <w:widowControl/>
        <w:spacing w:line="560" w:lineRule="exact"/>
        <w:ind w:firstLine="560" w:firstLineChars="200"/>
        <w:rPr>
          <w:rFonts w:hint="default" w:ascii="仿宋" w:hAnsi="微软雅黑" w:eastAsia="仿宋"/>
          <w:sz w:val="28"/>
          <w:szCs w:val="28"/>
        </w:rPr>
      </w:pP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预算安排规模：51.20万元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项目承担单位：博尔塔拉蒙古自治州无线电管理中心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资金分配情况：商品和服务支出51.2万元，其中：无线电管理基础设施和技术设施运行维护支出39.7万元；无线电专项监管和其他相关支出11.5万元。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关于博尔塔拉蒙古自治州无线电管理中心2026年政府性基金预算拨款情况说明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博尔塔拉蒙古自治州无线电管理中心2026年没有使用政府性基金预算拨款安排的支出，政府性基金预算支出情况表为空表。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关于博尔塔拉蒙古自治州无线电管理中心2026年国有资本经营预算拨款情况说明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博尔塔拉蒙古自治州无线电管理中心2026年没有使用国有资本经营预算拨款安排的支出，国有资本经营预算支出情况表为空表。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关于博尔塔拉蒙古自治州无线电管理中心2026年财政拨款“三公”经费预算情况说明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博尔塔拉蒙古自治州无线电管理中心2026年财政拨款“三公”经费数为11.10万元，其中：因公出国（境）费用0.00万元，公务用车购置0.00万元，公务用车运行维护费11.10万元，公务接待费0.00万元。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三公”经费预算比上年预算减少0.40万元，下降3.48%，其中：因公出国（境）费用增加0.00万元，增长0.00%，主要原因是2025年与2026年均未安排因公出国（境）费用；公务用车购置增加0.00万元，增长0.00%，主要原因是2025年与2026年均未安排公务用车购置；公务用车运行维护费减少0.40万元，下降3.48%，主要原因是严格执行中央八项规定及相关细则，厉行节约，做到“三公”经费只减不增；公务接待费增加0.00万元，增长0.00%，主要原因是2025年与2026年均未安排公务接待费。</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关于博尔塔拉蒙古自治州无线电管理中心2026年财政拨款委托业务费支出情况说明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博尔塔拉蒙古自治州无线电管理中心2026年没有委托业务费预算的支出，财政拨款委托业务费支出情况表为空表。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关于博尔塔拉蒙古自治州无线电管理中心2026年上年结转结余预算情况说明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博尔塔拉蒙古自治州无线电管理中心2026年上年结转结余35.96万元，包括：财政拨款35.96万元，非财政拨款0.00万元，其中：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1.2025年无线电管理经费结转23.06万元，主要用于：上年无线电管理基础和技术设施运行维护及无线电管理专项监管工作。</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2.2025年中央无线电管理经费结转12.90万元，主要用于：上年无线电管理基础和技术设施运行维护及无线电管理专项监管工作。</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其他重要事项的情况说明</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单位运行经费情况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博尔塔拉蒙古自治州无线电管理中心2026年的事业单位运行经费财政拨款预算27.53万元，比上年预算减少1.13万元，下降3.94%，主要原因是本年未拨付福利费支出，事业单位运行经费一般公共预算拨款减少。</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政府采购情况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2026年，博尔塔拉蒙古自治州无线电管理中心政府采购预算74.78万元，其中：政府采购货物预算6.50万元，政府采购工程预算19.50万元，政府采购服务预算48.78万元。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2026年，博尔塔拉蒙古自治州无线电管理中心面向中小企业预留政府采购项目预算金额47.40万元，其中：小微企业预留政府采购项目预算金额41.40万元。</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国有资产占用使用情况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截至2025年底，博尔塔拉蒙古自治州无线电管理中心占用使用国有资产总体情况为：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1.房屋2,961.00平方米，价值831.32万元。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2.车辆4辆，价值177.55万元；其中：一般公务用车0辆，价值0.00万元；执法执勤用车1辆，价值48.85万元；其他车辆3辆，价值128.70万元。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3.办公家具价值29.15万元。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4.其他资产价值2,610.49万元。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单位价值单价50万元以上大型设备15台，单位价值单价100万元以上大型设备5台。</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2026年单位预算未安排购置车辆经费，安排购置单价50万元以上大型设备0台，单位单价100万元以上大型设备0台。</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预算绩效情况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当年预算安排项目共1个，其中：财政拨款项目涉及预算金额51.20万元；非财政拨款项目涉及预算金额0.00万元。具体情况见下表：</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其他需说明的事项</w:t>
      </w:r>
    </w:p>
    <w:p>
      <w:pPr>
        <w:widowControl/>
        <w:spacing w:line="560" w:lineRule="exact"/>
        <w:ind w:firstLine="560" w:firstLineChars="200"/>
        <w:rPr>
          <w:rFonts w:hint="default" w:ascii="仿宋" w:hAnsi="微软雅黑" w:eastAsia="仿宋"/>
          <w:color w:val="FF0000"/>
          <w:sz w:val="28"/>
          <w:szCs w:val="28"/>
        </w:rPr>
      </w:pPr>
      <w:r>
        <w:rPr>
          <w:rFonts w:hint="eastAsia" w:ascii="仿宋" w:hAnsi="微软雅黑" w:eastAsia="仿宋"/>
          <w:color w:val="auto"/>
          <w:sz w:val="28"/>
          <w:szCs w:val="28"/>
        </w:rPr>
        <w:t>博州无线电管理中心2026年财政拨款项目</w:t>
      </w:r>
      <w:r>
        <w:rPr>
          <w:rFonts w:hint="eastAsia" w:ascii="仿宋" w:hAnsi="微软雅黑" w:eastAsia="仿宋"/>
          <w:color w:val="auto"/>
          <w:sz w:val="28"/>
          <w:szCs w:val="28"/>
          <w:lang w:val="en-US" w:eastAsia="zh-CN"/>
        </w:rPr>
        <w:t>1个</w:t>
      </w:r>
      <w:r>
        <w:rPr>
          <w:rFonts w:hint="eastAsia" w:ascii="仿宋" w:hAnsi="微软雅黑" w:eastAsia="仿宋"/>
          <w:color w:val="auto"/>
          <w:sz w:val="28"/>
          <w:szCs w:val="28"/>
          <w:highlight w:val="none"/>
        </w:rPr>
        <w:t>，为2026年无线电管理经费，涉及预算金额</w:t>
      </w:r>
      <w:r>
        <w:rPr>
          <w:rFonts w:hint="eastAsia" w:ascii="仿宋" w:hAnsi="微软雅黑" w:eastAsia="仿宋"/>
          <w:color w:val="auto"/>
          <w:sz w:val="28"/>
          <w:szCs w:val="28"/>
          <w:lang w:val="en-US" w:eastAsia="zh-CN"/>
        </w:rPr>
        <w:t>51.20</w:t>
      </w:r>
      <w:r>
        <w:rPr>
          <w:rFonts w:hint="eastAsia" w:ascii="仿宋" w:hAnsi="微软雅黑" w:eastAsia="仿宋"/>
          <w:color w:val="auto"/>
          <w:sz w:val="28"/>
          <w:szCs w:val="28"/>
          <w:highlight w:val="none"/>
        </w:rPr>
        <w:t>万元（项目绩效目标表由自治区工信厅部门统一汇总公开）</w:t>
      </w: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第四部分 名词解释</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一、财政拨款:</w:t>
      </w:r>
      <w:r>
        <w:rPr>
          <w:rFonts w:hint="eastAsia" w:ascii="仿宋" w:hAnsi="CIDFont+F6" w:eastAsia="仿宋"/>
          <w:color w:val="000000"/>
          <w:sz w:val="28"/>
          <w:szCs w:val="28"/>
        </w:rPr>
        <w:t>指由一般公共预算、政府性基金预算、国有资本经营预算安排的财政拨款数。</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二、一般公共预算:</w:t>
      </w:r>
      <w:r>
        <w:rPr>
          <w:rFonts w:hint="eastAsia" w:ascii="仿宋" w:hAnsi="CIDFont+F6" w:eastAsia="仿宋"/>
          <w:color w:val="000000"/>
          <w:sz w:val="28"/>
          <w:szCs w:val="28"/>
        </w:rPr>
        <w:t>包括公共财政拨款（补助）资金、专项收入。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三、财政专户管理资金:</w:t>
      </w:r>
      <w:r>
        <w:rPr>
          <w:rFonts w:hint="eastAsia" w:ascii="仿宋" w:hAnsi="CIDFont+F6" w:eastAsia="仿宋"/>
          <w:color w:val="000000"/>
          <w:sz w:val="28"/>
          <w:szCs w:val="28"/>
        </w:rPr>
        <w:t>包括专户管理行政事业性收费（主要是教育收费）、其他非税收入。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四、其他资金:</w:t>
      </w:r>
      <w:r>
        <w:rPr>
          <w:rFonts w:hint="eastAsia" w:ascii="仿宋" w:hAnsi="CIDFont+F6" w:eastAsia="仿宋"/>
          <w:color w:val="000000"/>
          <w:sz w:val="28"/>
          <w:szCs w:val="28"/>
        </w:rPr>
        <w:t>包括事业收入、事业经营收入、其他收入等。</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五、基本支出:</w:t>
      </w:r>
      <w:r>
        <w:rPr>
          <w:rFonts w:hint="eastAsia" w:ascii="仿宋" w:hAnsi="CIDFont+F6" w:eastAsia="仿宋"/>
          <w:color w:val="000000"/>
          <w:sz w:val="28"/>
          <w:szCs w:val="28"/>
        </w:rPr>
        <w:t>包括人员经费、公用经费（定额）。其中:人员经费包括工资福利支出、对个人和家庭的补助。</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六、项目支出: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七、“三公”经费:</w:t>
      </w:r>
      <w:r>
        <w:rPr>
          <w:rFonts w:hint="eastAsia" w:ascii="仿宋" w:hAnsi="CIDFont+F6" w:eastAsia="仿宋"/>
          <w:color w:val="000000"/>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八、机关运行经费:</w:t>
      </w:r>
      <w:r>
        <w:rPr>
          <w:rFonts w:hint="eastAsia" w:ascii="仿宋" w:hAnsi="CIDFont+F6" w:eastAsia="仿宋"/>
          <w:color w:val="000000"/>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九、委托业务费:</w:t>
      </w:r>
      <w:r>
        <w:rPr>
          <w:rFonts w:hint="eastAsia" w:ascii="仿宋" w:hAnsi="CIDFont+F6" w:eastAsia="仿宋"/>
          <w:color w:val="000000"/>
          <w:sz w:val="28"/>
          <w:szCs w:val="28"/>
        </w:rPr>
        <w:t>反映因委托外单位办理业务而支付的委托业务费。</w:t>
      </w:r>
    </w:p>
    <w:p>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博尔塔拉蒙古自治州无线电管理中心</w:t>
      </w:r>
    </w:p>
    <w:p>
      <w:pPr>
        <w:spacing w:line="560" w:lineRule="exact"/>
        <w:jc w:val="right"/>
        <w:rPr>
          <w:rFonts w:hint="default" w:ascii="仿宋" w:eastAsia="仿宋"/>
          <w:sz w:val="28"/>
          <w:szCs w:val="28"/>
        </w:rPr>
      </w:pPr>
      <w:r>
        <w:rPr>
          <w:rFonts w:hint="eastAsia" w:ascii="仿宋" w:hAnsi="CIDFont+F6" w:eastAsia="仿宋"/>
          <w:color w:val="000000"/>
          <w:sz w:val="28"/>
          <w:szCs w:val="28"/>
        </w:rPr>
        <w:t>2026年02月05日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default"/>
    <w:sig w:usb0="00000000" w:usb1="00000000" w:usb2="00000000" w:usb3="00000000" w:csb0="80000000" w:csb1="00000000"/>
  </w:font>
  <w:font w:name="Arial">
    <w:altName w:val="Times New Roman"/>
    <w:panose1 w:val="00000000000000000000"/>
    <w:charset w:val="00"/>
    <w:family w:val="auto"/>
    <w:pitch w:val="default"/>
    <w:sig w:usb0="E0002EFF" w:usb1="C000785B" w:usb2="00000009" w:usb3="00000000" w:csb0="400001FF" w:csb1="FFFF0000"/>
  </w:font>
  <w:font w:name="Courier New">
    <w:altName w:val="DejaVu Sans"/>
    <w:panose1 w:val="00000000000000000000"/>
    <w:charset w:val="00"/>
    <w:family w:val="auto"/>
    <w:pitch w:val="default"/>
    <w:sig w:usb0="E0002EFF" w:usb1="C0007843" w:usb2="00000009" w:usb3="00000000" w:csb0="400001FF" w:csb1="FFFF0000"/>
  </w:font>
  <w:font w:name="Symbol">
    <w:panose1 w:val="02000609000000000000"/>
    <w:charset w:val="00"/>
    <w:family w:val="auto"/>
    <w:pitch w:val="default"/>
    <w:sig w:usb0="800000AF" w:usb1="4000204A" w:usb2="00000000" w:usb3="00000000" w:csb0="20000000" w:csb1="00000000"/>
  </w:font>
  <w:font w:name="Cambria Math">
    <w:altName w:val="DejaVu Math TeX Gyre"/>
    <w:panose1 w:val="00000000000000000000"/>
    <w:charset w:val="00"/>
    <w:family w:val="auto"/>
    <w:pitch w:val="default"/>
    <w:sig w:usb0="E00006FF" w:usb1="420024FF" w:usb2="02000000" w:usb3="00000000" w:csb0="2000019F" w:csb1="00000000"/>
  </w:font>
  <w:font w:name="Cambria">
    <w:altName w:val="汉仪中秀体简"/>
    <w:panose1 w:val="00000000000000000000"/>
    <w:charset w:val="00"/>
    <w:family w:val="auto"/>
    <w:pitch w:val="default"/>
    <w:sig w:usb0="E00006FF" w:usb1="420024FF" w:usb2="02000000" w:usb3="00000000" w:csb0="2000019F" w:csb1="00000000"/>
  </w:font>
  <w:font w:name="仿宋">
    <w:altName w:val="方正仿宋_GBK"/>
    <w:panose1 w:val="00000000000000000000"/>
    <w:charset w:val="00"/>
    <w:family w:val="auto"/>
    <w:pitch w:val="default"/>
    <w:sig w:usb0="800002BF" w:usb1="38CF7CFA" w:usb2="00000016" w:usb3="00000000" w:csb0="00040001" w:csb1="00000000"/>
  </w:font>
  <w:font w:name="微软雅黑">
    <w:altName w:val="黑体"/>
    <w:panose1 w:val="00000000000000000000"/>
    <w:charset w:val="00"/>
    <w:family w:val="auto"/>
    <w:pitch w:val="default"/>
    <w:sig w:usb0="80000287" w:usb1="2ACF3C50" w:usb2="00000016" w:usb3="00000000" w:csb0="0004001F" w:csb1="00000000"/>
  </w:font>
  <w:font w:name="华文楷体">
    <w:altName w:val="楷体_GB2312"/>
    <w:panose1 w:val="00000000000000000000"/>
    <w:charset w:val="00"/>
    <w:family w:val="auto"/>
    <w:pitch w:val="default"/>
    <w:sig w:usb0="00000287" w:usb1="080E0000" w:usb2="00000010" w:usb3="00000000" w:csb0="0004009F" w:csb1="00000000"/>
  </w:font>
  <w:font w:name="@宋体">
    <w:altName w:val="方正书宋_GBK"/>
    <w:panose1 w:val="00000000000000000000"/>
    <w:charset w:val="00"/>
    <w:family w:val="auto"/>
    <w:pitch w:val="default"/>
    <w:sig w:usb0="00000203" w:usb1="288F0000" w:usb2="00000006" w:usb3="00000000" w:csb0="00040001" w:csb1="00000000"/>
  </w:font>
  <w:font w:name="@仿宋">
    <w:altName w:val="方正仿宋_GBK"/>
    <w:panose1 w:val="00000000000000000000"/>
    <w:charset w:val="00"/>
    <w:family w:val="auto"/>
    <w:pitch w:val="default"/>
    <w:sig w:usb0="800002BF" w:usb1="38CF7CFA" w:usb2="00000016" w:usb3="00000000" w:csb0="00040001"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altName w:val="楷体_GB2312"/>
    <w:panose1 w:val="00000000000000000000"/>
    <w:charset w:val="00"/>
    <w:family w:val="auto"/>
    <w:pitch w:val="default"/>
    <w:sig w:usb0="00000287" w:usb1="080E0000" w:usb2="00000010" w:usb3="00000000" w:csb0="0004009F" w:csb1="00000000"/>
  </w:font>
  <w:font w:name="@黑体">
    <w:panose1 w:val="02010609060101010101"/>
    <w:charset w:val="86"/>
    <w:family w:val="auto"/>
    <w:pitch w:val="default"/>
    <w:sig w:usb0="800002BF" w:usb1="38CF7CFA" w:usb2="00000016" w:usb3="00000000" w:csb0="00040001" w:csb1="00000000"/>
  </w:font>
  <w:font w:name="@微软雅黑">
    <w:altName w:val="方正黑体_GBK"/>
    <w:panose1 w:val="00000000000000000000"/>
    <w:charset w:val="00"/>
    <w:family w:val="auto"/>
    <w:pitch w:val="default"/>
    <w:sig w:usb0="80000287" w:usb1="2ACF3C50" w:usb2="00000016" w:usb3="00000000" w:csb0="0004001F"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altName w:val="方正楷体_GBK"/>
    <w:panose1 w:val="00000000000000000000"/>
    <w:charset w:val="00"/>
    <w:family w:val="auto"/>
    <w:pitch w:val="default"/>
    <w:sig w:usb0="800002BF" w:usb1="38CF7CFA" w:usb2="00000016" w:usb3="00000000" w:csb0="00040001" w:csb1="00000000"/>
  </w:font>
  <w:font w:name="@楷体">
    <w:altName w:val="方正楷体_GBK"/>
    <w:panose1 w:val="00000000000000000000"/>
    <w:charset w:val="00"/>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pPr>
      <w:pStyle w:val="5"/>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764EA"/>
    <w:multiLevelType w:val="multilevel"/>
    <w:tmpl w:val="B6F764EA"/>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BB9E10CB"/>
    <w:multiLevelType w:val="multilevel"/>
    <w:tmpl w:val="BB9E10CB"/>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F3BA6CD1"/>
    <w:multiLevelType w:val="multilevel"/>
    <w:tmpl w:val="F3BA6CD1"/>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EF5FF0"/>
    <w:rsid w:val="7FDF6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paragraph" w:styleId="2">
    <w:name w:val="heading 1"/>
    <w:basedOn w:val="1"/>
    <w:next w:val="1"/>
    <w:link w:val="11"/>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2"/>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3"/>
    <w:uiPriority w:val="0"/>
    <w:pPr>
      <w:keepNext/>
      <w:keepLines/>
      <w:spacing w:before="260" w:after="260" w:line="416" w:lineRule="auto"/>
      <w:outlineLvl w:val="2"/>
    </w:pPr>
    <w:rPr>
      <w:rFonts w:hint="default" w:ascii="Times New Roman" w:hAnsi="Times New Roman"/>
      <w:b/>
      <w:sz w:val="32"/>
      <w:szCs w:val="32"/>
    </w:rPr>
  </w:style>
  <w:style w:type="character" w:default="1" w:styleId="9">
    <w:name w:val="Default Paragraph Font"/>
    <w:uiPriority w:val="0"/>
  </w:style>
  <w:style w:type="table" w:default="1" w:styleId="7">
    <w:name w:val="Normal Table"/>
    <w:uiPriority w:val="0"/>
    <w:rPr>
      <w:lang w:val="en-US" w:eastAsia="zh-CN" w:bidi="ar-SA"/>
    </w:rPr>
    <w:tblPr>
      <w:tblCellMar>
        <w:top w:w="0" w:type="dxa"/>
        <w:left w:w="108" w:type="dxa"/>
        <w:bottom w:w="0" w:type="dxa"/>
        <w:right w:w="108" w:type="dxa"/>
      </w:tblCellMar>
    </w:tblPr>
  </w:style>
  <w:style w:type="paragraph" w:styleId="5">
    <w:name w:val="footer"/>
    <w:basedOn w:val="1"/>
    <w:link w:val="15"/>
    <w:uiPriority w:val="0"/>
    <w:pPr>
      <w:snapToGrid w:val="0"/>
      <w:jc w:val="left"/>
    </w:pPr>
    <w:rPr>
      <w:sz w:val="18"/>
      <w:szCs w:val="18"/>
    </w:rPr>
  </w:style>
  <w:style w:type="paragraph" w:styleId="6">
    <w:name w:val="header"/>
    <w:basedOn w:val="1"/>
    <w:link w:val="14"/>
    <w:uiPriority w:val="0"/>
    <w:pPr>
      <w:pBdr>
        <w:bottom w:val="single" w:color="auto" w:sz="6" w:space="1"/>
      </w:pBdr>
      <w:snapToGrid w:val="0"/>
      <w:jc w:val="center"/>
    </w:pPr>
    <w:rPr>
      <w:sz w:val="18"/>
      <w:szCs w:val="18"/>
    </w:rPr>
  </w:style>
  <w:style w:type="table" w:styleId="8">
    <w:name w:val="Table Grid"/>
    <w:basedOn w:val="7"/>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List Paragraph"/>
    <w:basedOn w:val="1"/>
    <w:uiPriority w:val="0"/>
    <w:pPr>
      <w:ind w:firstLine="420" w:firstLineChars="200"/>
    </w:pPr>
  </w:style>
  <w:style w:type="character" w:customStyle="1" w:styleId="11">
    <w:name w:val="标题 1 Char"/>
    <w:link w:val="2"/>
    <w:uiPriority w:val="0"/>
    <w:rPr>
      <w:rFonts w:hint="default" w:ascii="Times New Roman" w:hAnsi="Times New Roman"/>
      <w:b/>
      <w:kern w:val="44"/>
      <w:sz w:val="44"/>
      <w:szCs w:val="44"/>
    </w:rPr>
  </w:style>
  <w:style w:type="character" w:customStyle="1" w:styleId="12">
    <w:name w:val="标题 2 Char"/>
    <w:link w:val="3"/>
    <w:uiPriority w:val="0"/>
    <w:rPr>
      <w:rFonts w:hint="default" w:ascii="Cambria" w:hAnsi="Cambria"/>
      <w:b/>
      <w:kern w:val="2"/>
      <w:sz w:val="32"/>
      <w:szCs w:val="32"/>
    </w:rPr>
  </w:style>
  <w:style w:type="character" w:customStyle="1" w:styleId="13">
    <w:name w:val="标题 3 Char"/>
    <w:link w:val="4"/>
    <w:uiPriority w:val="0"/>
    <w:rPr>
      <w:rFonts w:hint="default" w:ascii="Times New Roman" w:hAnsi="Times New Roman"/>
      <w:b/>
      <w:kern w:val="2"/>
      <w:sz w:val="32"/>
      <w:szCs w:val="32"/>
    </w:rPr>
  </w:style>
  <w:style w:type="character" w:customStyle="1" w:styleId="14">
    <w:name w:val="页眉 Char"/>
    <w:link w:val="6"/>
    <w:uiPriority w:val="0"/>
    <w:rPr>
      <w:kern w:val="2"/>
      <w:sz w:val="18"/>
      <w:szCs w:val="18"/>
    </w:rPr>
  </w:style>
  <w:style w:type="character" w:customStyle="1" w:styleId="15">
    <w:name w:val="页脚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25</Pages>
  <Words>811</Words>
  <Characters>865</Characters>
  <Lines>40</Lines>
  <Paragraphs>11</Paragraphs>
  <TotalTime>0</TotalTime>
  <ScaleCrop>false</ScaleCrop>
  <LinksUpToDate>false</LinksUpToDate>
  <CharactersWithSpaces>899</CharactersWithSpaces>
  <Application>WPS Office_11.8.2.10587_F1E327BC-269C-435d-A152-05C5408002CA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user</cp:lastModifiedBy>
  <dcterms:modified xsi:type="dcterms:W3CDTF">2026-02-09T11:52:18Z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2052-11.8.2.10587</vt:lpwstr>
  </property>
</Properties>
</file>