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ArialUnicodeMS" w:eastAsia="黑体"/>
          <w:color w:val="000000"/>
          <w:sz w:val="44"/>
          <w:szCs w:val="44"/>
          <w:highlight w:val="none"/>
        </w:rPr>
      </w:pPr>
    </w:p>
    <w:p>
      <w:pPr>
        <w:jc w:val="center"/>
        <w:rPr>
          <w:rFonts w:hint="eastAsia" w:ascii="黑体" w:hAnsi="ArialUnicodeMS" w:eastAsia="黑体"/>
          <w:color w:val="000000"/>
          <w:sz w:val="44"/>
          <w:szCs w:val="44"/>
          <w:highlight w:val="none"/>
        </w:rPr>
      </w:pPr>
    </w:p>
    <w:p>
      <w:pPr>
        <w:jc w:val="center"/>
        <w:rPr>
          <w:rFonts w:hint="eastAsia" w:ascii="黑体" w:hAnsi="ArialUnicodeMS" w:eastAsia="黑体"/>
          <w:color w:val="000000"/>
          <w:sz w:val="44"/>
          <w:szCs w:val="44"/>
          <w:highlight w:val="none"/>
        </w:rPr>
      </w:pPr>
    </w:p>
    <w:p>
      <w:pPr>
        <w:jc w:val="center"/>
        <w:rPr>
          <w:rFonts w:hint="eastAsia" w:ascii="黑体" w:hAnsi="ArialUnicodeMS" w:eastAsia="黑体"/>
          <w:color w:val="000000"/>
          <w:sz w:val="44"/>
          <w:szCs w:val="44"/>
          <w:highlight w:val="none"/>
        </w:rPr>
      </w:pPr>
    </w:p>
    <w:p>
      <w:pPr>
        <w:jc w:val="center"/>
        <w:rPr>
          <w:rFonts w:hint="eastAsia" w:ascii="黑体" w:hAnsi="ArialUnicodeMS" w:eastAsia="黑体"/>
          <w:color w:val="000000"/>
          <w:sz w:val="44"/>
          <w:szCs w:val="44"/>
          <w:highlight w:val="none"/>
        </w:rPr>
      </w:pPr>
      <w:r>
        <w:rPr>
          <w:rFonts w:hint="eastAsia" w:ascii="黑体" w:hAnsi="ArialUnicodeMS" w:eastAsia="黑体"/>
          <w:color w:val="000000"/>
          <w:sz w:val="44"/>
          <w:szCs w:val="44"/>
          <w:highlight w:val="none"/>
        </w:rPr>
        <w:t>2026年新疆维吾尔自治区无线电监测中心</w:t>
      </w:r>
    </w:p>
    <w:p>
      <w:pPr>
        <w:jc w:val="center"/>
        <w:rPr>
          <w:rFonts w:hint="eastAsia" w:ascii="黑体" w:hAnsi="ArialUnicodeMS" w:eastAsia="黑体"/>
          <w:color w:val="000000"/>
          <w:sz w:val="44"/>
          <w:szCs w:val="44"/>
          <w:highlight w:val="none"/>
        </w:rPr>
      </w:pPr>
    </w:p>
    <w:p>
      <w:pPr>
        <w:jc w:val="center"/>
        <w:rPr>
          <w:rFonts w:hint="eastAsia" w:ascii="黑体" w:hAnsi="ArialUnicodeMS" w:eastAsia="黑体"/>
          <w:color w:val="000000"/>
          <w:sz w:val="44"/>
          <w:szCs w:val="44"/>
          <w:highlight w:val="none"/>
        </w:rPr>
      </w:pPr>
      <w:r>
        <w:rPr>
          <w:rFonts w:hint="eastAsia" w:ascii="黑体" w:hAnsi="ArialUnicodeMS" w:eastAsia="黑体"/>
          <w:color w:val="000000"/>
          <w:sz w:val="44"/>
          <w:szCs w:val="44"/>
          <w:highlight w:val="none"/>
        </w:rPr>
        <w:t>单位预算公开</w:t>
      </w:r>
    </w:p>
    <w:p>
      <w:pPr>
        <w:jc w:val="center"/>
        <w:rPr>
          <w:rFonts w:hint="default" w:ascii="黑体" w:eastAsia="黑体"/>
          <w:color w:val="000000"/>
          <w:sz w:val="36"/>
          <w:szCs w:val="36"/>
          <w:highlight w:val="none"/>
        </w:rPr>
      </w:pPr>
      <w:r>
        <w:rPr>
          <w:rFonts w:hint="eastAsia" w:ascii="ArialUnicodeMS" w:hAnsi="ArialUnicodeMS"/>
          <w:color w:val="000000"/>
          <w:sz w:val="44"/>
          <w:szCs w:val="44"/>
          <w:highlight w:val="none"/>
        </w:rPr>
        <w:br w:type="page"/>
      </w:r>
      <w:r>
        <w:rPr>
          <w:rFonts w:hint="eastAsia" w:ascii="黑体" w:eastAsia="黑体"/>
          <w:color w:val="000000"/>
          <w:sz w:val="36"/>
          <w:szCs w:val="36"/>
          <w:highlight w:val="none"/>
        </w:rPr>
        <w:t>目 录</w:t>
      </w:r>
    </w:p>
    <w:p>
      <w:pPr>
        <w:spacing w:line="560" w:lineRule="exact"/>
        <w:jc w:val="center"/>
        <w:rPr>
          <w:rFonts w:hint="default" w:ascii="黑体" w:eastAsia="黑体"/>
          <w:color w:val="000000"/>
          <w:sz w:val="36"/>
          <w:szCs w:val="36"/>
          <w:highlight w:val="none"/>
        </w:rPr>
      </w:pPr>
    </w:p>
    <w:p>
      <w:pPr>
        <w:spacing w:line="560" w:lineRule="exact"/>
        <w:ind w:firstLine="562" w:firstLineChars="200"/>
        <w:jc w:val="left"/>
        <w:rPr>
          <w:rFonts w:hint="eastAsia" w:ascii="仿宋" w:hAnsi="仿宋" w:eastAsia="仿宋"/>
          <w:b/>
          <w:color w:val="000000"/>
          <w:sz w:val="28"/>
          <w:szCs w:val="28"/>
          <w:highlight w:val="none"/>
        </w:rPr>
      </w:pPr>
      <w:r>
        <w:rPr>
          <w:rFonts w:hint="eastAsia" w:ascii="仿宋" w:hAnsi="仿宋" w:eastAsia="仿宋"/>
          <w:b/>
          <w:color w:val="000000"/>
          <w:sz w:val="28"/>
          <w:szCs w:val="28"/>
          <w:highlight w:val="none"/>
        </w:rPr>
        <w:t>第一部分  2026年单位概况</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一、 主要职能</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二、 机构设置</w:t>
      </w:r>
    </w:p>
    <w:p>
      <w:pPr>
        <w:spacing w:line="560" w:lineRule="exact"/>
        <w:ind w:firstLine="562" w:firstLineChars="200"/>
        <w:jc w:val="left"/>
        <w:rPr>
          <w:rFonts w:hint="eastAsia" w:ascii="仿宋" w:hAnsi="仿宋" w:eastAsia="仿宋"/>
          <w:b/>
          <w:color w:val="000000"/>
          <w:sz w:val="28"/>
          <w:szCs w:val="28"/>
          <w:highlight w:val="none"/>
        </w:rPr>
      </w:pPr>
      <w:r>
        <w:rPr>
          <w:rFonts w:hint="eastAsia" w:ascii="仿宋" w:hAnsi="仿宋" w:eastAsia="仿宋"/>
          <w:b/>
          <w:color w:val="000000"/>
          <w:sz w:val="28"/>
          <w:szCs w:val="28"/>
          <w:highlight w:val="none"/>
        </w:rPr>
        <w:t>第二部分 2026年单位预算公开表</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一、 单位收支总体情况表</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二、 单位收入总体情况表</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三、 单位支出总体情况表</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四、 财政拨款收支预算总体情况表</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五、 一般公共预算支出情况表</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六、 一般公共预算基本支出情况表</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七、 一般公共预算项目支出情况表</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八、 政府性基金预算支出情况表</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九、 国有资本经营预算支出情况表</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十、 财政拨款“三公”经费支出情况表</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十一、财政拨款委托业务费支出情况表</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十二、上年结转结余情况表</w:t>
      </w:r>
    </w:p>
    <w:p>
      <w:pPr>
        <w:spacing w:line="560" w:lineRule="exact"/>
        <w:ind w:firstLine="562" w:firstLineChars="200"/>
        <w:jc w:val="left"/>
        <w:rPr>
          <w:rFonts w:hint="eastAsia" w:ascii="仿宋" w:hAnsi="仿宋" w:eastAsia="仿宋"/>
          <w:b/>
          <w:color w:val="000000"/>
          <w:sz w:val="28"/>
          <w:szCs w:val="28"/>
          <w:highlight w:val="none"/>
        </w:rPr>
      </w:pPr>
      <w:r>
        <w:rPr>
          <w:rFonts w:hint="eastAsia" w:ascii="仿宋" w:hAnsi="仿宋" w:eastAsia="仿宋"/>
          <w:b/>
          <w:color w:val="000000"/>
          <w:sz w:val="28"/>
          <w:szCs w:val="28"/>
          <w:highlight w:val="none"/>
        </w:rPr>
        <w:t>第三部分 2026年单位预算情况说明</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一、 关于新疆维吾尔自治区无线电监测中心2026年收支预算情况的总体说明</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二、 关于新疆维吾尔自治区无线电监测中心2026年收入预算情况说明</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三、 关于新疆维吾尔自治区无线电监测中心2026年支出预算情况说明</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四、 关于新疆维吾尔自治区无线电监测中心2026年财政拨款收支预算情况的总体说明</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五、 关于新疆维吾尔自治区无线电监测中心2026年一般公共预算当年拨款情况说明</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六、 关于新疆维吾尔自治区无线电监测中心2026年一般公共预算基本支出情况说明</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七、 关于新疆维吾尔自治区无线电监测中心2026年一般公共预算项目支出情况说明</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八、 关于新疆维吾尔自治区无线电监测中心2026年政府性基金预算拨款情况说明</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九、 关于新疆维吾尔自治区无线电监测中心2026年国有资本经营预算拨款情况说明</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十、 关于新疆维吾尔自治区无线电监测中心2026年财政拨款“三公”经费预算情况说明</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十一、 关于新疆维吾尔自治区无线电监测中心2026年财政拨款委托业务费支出情况说明</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十二、 关于新疆维吾尔自治区无线电监测中心2026年上年结转结余预算情况说明</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十三、 其他重要事项的情况说明</w:t>
      </w:r>
    </w:p>
    <w:p>
      <w:pPr>
        <w:spacing w:line="560" w:lineRule="exact"/>
        <w:ind w:firstLine="562" w:firstLineChars="200"/>
        <w:jc w:val="left"/>
        <w:rPr>
          <w:rFonts w:hint="eastAsia" w:ascii="仿宋" w:hAnsi="仿宋" w:eastAsia="仿宋"/>
          <w:b/>
          <w:color w:val="000000"/>
          <w:sz w:val="28"/>
          <w:szCs w:val="28"/>
          <w:highlight w:val="none"/>
        </w:rPr>
      </w:pPr>
      <w:r>
        <w:rPr>
          <w:rFonts w:hint="eastAsia" w:ascii="仿宋" w:hAnsi="仿宋" w:eastAsia="仿宋"/>
          <w:b/>
          <w:color w:val="000000"/>
          <w:sz w:val="28"/>
          <w:szCs w:val="28"/>
          <w:highlight w:val="none"/>
        </w:rPr>
        <w:t>第四部分 名词解释</w:t>
      </w:r>
    </w:p>
    <w:p>
      <w:pPr>
        <w:jc w:val="left"/>
        <w:rPr>
          <w:rFonts w:hint="default" w:ascii="宋体" w:hAnsi="宋体"/>
          <w:color w:val="000000"/>
          <w:sz w:val="18"/>
          <w:szCs w:val="18"/>
          <w:highlight w:val="none"/>
        </w:rPr>
      </w:pPr>
    </w:p>
    <w:p>
      <w:pPr>
        <w:pStyle w:val="2"/>
        <w:spacing w:before="156" w:beforeLines="50" w:after="156" w:afterLines="50" w:line="560" w:lineRule="exact"/>
        <w:jc w:val="center"/>
        <w:rPr>
          <w:rFonts w:hint="default" w:ascii="黑体" w:eastAsia="黑体"/>
          <w:sz w:val="30"/>
          <w:szCs w:val="30"/>
          <w:highlight w:val="none"/>
        </w:rPr>
      </w:pPr>
      <w:r>
        <w:rPr>
          <w:rFonts w:hint="default" w:ascii="黑体" w:eastAsia="黑体"/>
          <w:sz w:val="30"/>
          <w:szCs w:val="30"/>
          <w:highlight w:val="none"/>
        </w:rPr>
        <w:br w:type="page"/>
      </w:r>
      <w:r>
        <w:rPr>
          <w:rFonts w:hint="eastAsia" w:ascii="黑体" w:eastAsia="黑体"/>
          <w:sz w:val="30"/>
          <w:szCs w:val="30"/>
          <w:highlight w:val="none"/>
        </w:rPr>
        <w:t>第一部分  2026年单位概况</w:t>
      </w:r>
    </w:p>
    <w:p>
      <w:pPr>
        <w:pStyle w:val="3"/>
        <w:numPr>
          <w:ilvl w:val="0"/>
          <w:numId w:val="1"/>
        </w:numPr>
        <w:spacing w:before="0" w:after="0" w:line="560" w:lineRule="exact"/>
        <w:ind w:left="0" w:firstLine="564" w:firstLineChars="201"/>
        <w:rPr>
          <w:rFonts w:hint="default" w:ascii="仿宋" w:hAnsi="华文楷体" w:eastAsia="仿宋"/>
          <w:sz w:val="28"/>
          <w:szCs w:val="28"/>
          <w:highlight w:val="none"/>
        </w:rPr>
      </w:pPr>
      <w:r>
        <w:rPr>
          <w:rFonts w:hint="eastAsia" w:ascii="仿宋" w:hAnsi="华文楷体" w:eastAsia="仿宋"/>
          <w:sz w:val="28"/>
          <w:szCs w:val="28"/>
          <w:highlight w:val="none"/>
        </w:rPr>
        <w:t>主要职能</w:t>
      </w:r>
    </w:p>
    <w:p>
      <w:pPr>
        <w:pStyle w:val="10"/>
        <w:spacing w:line="560" w:lineRule="exact"/>
        <w:ind w:firstLine="56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承担全区无线电监测工作；承担对各地州市无线电监测技术指导等工作。</w:t>
      </w:r>
    </w:p>
    <w:p>
      <w:pPr>
        <w:pStyle w:val="3"/>
        <w:numPr>
          <w:ilvl w:val="0"/>
          <w:numId w:val="1"/>
        </w:numPr>
        <w:spacing w:before="0" w:after="0" w:line="560" w:lineRule="exact"/>
        <w:ind w:left="0" w:firstLine="564" w:firstLineChars="201"/>
        <w:rPr>
          <w:rFonts w:hint="default" w:ascii="仿宋" w:hAnsi="华文楷体" w:eastAsia="仿宋"/>
          <w:sz w:val="28"/>
          <w:szCs w:val="28"/>
          <w:highlight w:val="none"/>
        </w:rPr>
      </w:pPr>
      <w:r>
        <w:rPr>
          <w:rFonts w:hint="eastAsia" w:ascii="仿宋" w:hAnsi="华文楷体" w:eastAsia="仿宋"/>
          <w:sz w:val="28"/>
          <w:szCs w:val="28"/>
          <w:highlight w:val="none"/>
        </w:rPr>
        <w:t>机构设置</w:t>
      </w:r>
    </w:p>
    <w:p>
      <w:pPr>
        <w:pStyle w:val="10"/>
        <w:spacing w:line="560" w:lineRule="exact"/>
        <w:ind w:firstLine="56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新疆维吾尔自治区无线电监测中心无下属预算单位。</w:t>
      </w:r>
    </w:p>
    <w:p>
      <w:pPr>
        <w:pStyle w:val="2"/>
        <w:spacing w:before="156" w:beforeLines="50" w:after="156" w:afterLines="50" w:line="400" w:lineRule="exact"/>
        <w:jc w:val="center"/>
        <w:rPr>
          <w:rFonts w:hint="default" w:ascii="黑体" w:eastAsia="黑体"/>
          <w:sz w:val="30"/>
          <w:szCs w:val="30"/>
          <w:highlight w:val="none"/>
        </w:rPr>
      </w:pPr>
      <w:r>
        <w:rPr>
          <w:rFonts w:hint="eastAsia" w:ascii="仿宋" w:hAnsi="仿宋" w:eastAsia="仿宋"/>
          <w:color w:val="000000"/>
          <w:sz w:val="28"/>
          <w:szCs w:val="28"/>
          <w:highlight w:val="none"/>
        </w:rPr>
        <w:br w:type="page"/>
      </w:r>
      <w:r>
        <w:rPr>
          <w:rFonts w:hint="eastAsia" w:ascii="黑体" w:eastAsia="黑体"/>
          <w:sz w:val="30"/>
          <w:szCs w:val="30"/>
          <w:highlight w:val="none"/>
        </w:rPr>
        <w:t>第二部分 2026年单位预算公开表</w:t>
      </w:r>
    </w:p>
    <w:p>
      <w:pPr>
        <w:jc w:val="left"/>
        <w:rPr>
          <w:rFonts w:hint="default" w:ascii="宋体" w:hAnsi="宋体"/>
          <w:color w:val="000000"/>
          <w:sz w:val="18"/>
          <w:szCs w:val="18"/>
          <w:highlight w:val="none"/>
        </w:rPr>
      </w:pPr>
      <w:r>
        <w:rPr>
          <w:rFonts w:hint="eastAsia" w:ascii="宋体" w:hAnsi="宋体"/>
          <w:color w:val="000000"/>
          <w:sz w:val="18"/>
          <w:szCs w:val="18"/>
          <w:highlight w:val="none"/>
        </w:rPr>
        <w:t>表1</w:t>
      </w:r>
    </w:p>
    <w:p>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单位收支总体情况表</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3600"/>
        <w:gridCol w:w="1150"/>
        <w:gridCol w:w="3600"/>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tblHeader/>
          <w:jc w:val="center"/>
        </w:trPr>
        <w:tc>
          <w:tcPr>
            <w:tcW w:w="8081" w:type="dxa"/>
            <w:gridSpan w:val="3"/>
            <w:tcBorders>
              <w:top w:val="nil"/>
              <w:left w:val="nil"/>
              <w:bottom w:val="single" w:color="auto" w:sz="4" w:space="0"/>
              <w:right w:val="nil"/>
            </w:tcBorders>
            <w:shd w:val="clear" w:color="auto" w:fill="auto"/>
          </w:tcPr>
          <w:p>
            <w:pPr>
              <w:jc w:val="left"/>
              <w:rPr>
                <w:rFonts w:hint="default" w:ascii="宋体" w:hAnsi="宋体"/>
                <w:color w:val="000000"/>
                <w:sz w:val="18"/>
                <w:szCs w:val="18"/>
                <w:highlight w:val="none"/>
              </w:rPr>
            </w:pPr>
            <w:r>
              <w:rPr>
                <w:rFonts w:hint="eastAsia"/>
                <w:color w:val="000000"/>
                <w:sz w:val="18"/>
                <w:szCs w:val="18"/>
                <w:highlight w:val="none"/>
              </w:rPr>
              <w:t>编制单位：新疆维吾尔自治区无线电监测中心</w:t>
            </w:r>
          </w:p>
        </w:tc>
        <w:tc>
          <w:tcPr>
            <w:tcW w:w="1150" w:type="dxa"/>
            <w:tcBorders>
              <w:top w:val="nil"/>
              <w:left w:val="nil"/>
              <w:bottom w:val="single" w:color="auto" w:sz="4" w:space="0"/>
              <w:right w:val="nil"/>
            </w:tcBorders>
            <w:shd w:val="clear" w:color="auto" w:fill="auto"/>
          </w:tcPr>
          <w:p>
            <w:pPr>
              <w:jc w:val="right"/>
              <w:rPr>
                <w:rFonts w:hint="default" w:ascii="宋体" w:hAnsi="宋体"/>
                <w:color w:val="000000"/>
                <w:sz w:val="18"/>
                <w:szCs w:val="18"/>
                <w:highlight w:val="none"/>
              </w:rPr>
            </w:pPr>
            <w:r>
              <w:rPr>
                <w:rFonts w:hint="eastAsia"/>
                <w:color w:val="000000"/>
                <w:sz w:val="18"/>
                <w:szCs w:val="18"/>
                <w:highlight w:val="none"/>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tblHeader/>
          <w:jc w:val="center"/>
        </w:trPr>
        <w:tc>
          <w:tcPr>
            <w:tcW w:w="4750" w:type="dxa"/>
            <w:gridSpan w:val="2"/>
            <w:tcBorders>
              <w:top w:val="single" w:color="auto" w:sz="4" w:space="0"/>
              <w:left w:val="single" w:color="auto" w:sz="4" w:space="0"/>
              <w:right w:val="single" w:color="auto" w:sz="4" w:space="0"/>
            </w:tcBorders>
            <w:shd w:val="clear" w:color="auto" w:fill="auto"/>
          </w:tcPr>
          <w:p>
            <w:pPr>
              <w:jc w:val="center"/>
              <w:rPr>
                <w:rFonts w:hint="eastAsia" w:ascii="宋体" w:hAnsi="宋体"/>
                <w:b/>
                <w:color w:val="000000"/>
                <w:sz w:val="18"/>
                <w:szCs w:val="18"/>
                <w:highlight w:val="none"/>
              </w:rPr>
            </w:pPr>
            <w:r>
              <w:rPr>
                <w:rFonts w:hint="eastAsia" w:ascii="宋体" w:hAnsi="宋体"/>
                <w:b/>
                <w:color w:val="000000"/>
                <w:sz w:val="18"/>
                <w:szCs w:val="18"/>
                <w:highlight w:val="none"/>
              </w:rPr>
              <w:t>收入</w:t>
            </w:r>
          </w:p>
        </w:tc>
        <w:tc>
          <w:tcPr>
            <w:tcW w:w="4750" w:type="dxa"/>
            <w:gridSpan w:val="2"/>
            <w:tcBorders>
              <w:top w:val="single" w:color="auto" w:sz="4" w:space="0"/>
              <w:left w:val="single" w:color="auto" w:sz="4" w:space="0"/>
              <w:right w:val="single" w:color="auto" w:sz="4" w:space="0"/>
            </w:tcBorders>
            <w:shd w:val="clear" w:color="auto" w:fill="auto"/>
          </w:tcPr>
          <w:p>
            <w:pPr>
              <w:jc w:val="center"/>
              <w:rPr>
                <w:rFonts w:hint="eastAsia" w:ascii="宋体" w:hAnsi="宋体"/>
                <w:b/>
                <w:color w:val="000000"/>
                <w:sz w:val="18"/>
                <w:szCs w:val="18"/>
                <w:highlight w:val="none"/>
              </w:rPr>
            </w:pPr>
            <w:r>
              <w:rPr>
                <w:rFonts w:hint="eastAsia" w:ascii="宋体" w:hAnsi="宋体"/>
                <w:b/>
                <w:color w:val="000000"/>
                <w:sz w:val="18"/>
                <w:szCs w:val="18"/>
                <w:highlight w:val="none"/>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tblHeader/>
          <w:jc w:val="center"/>
        </w:trPr>
        <w:tc>
          <w:tcPr>
            <w:tcW w:w="3600" w:type="dxa"/>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highlight w:val="none"/>
              </w:rPr>
            </w:pPr>
            <w:r>
              <w:rPr>
                <w:rFonts w:hint="eastAsia" w:ascii="宋体" w:hAnsi="宋体"/>
                <w:b/>
                <w:color w:val="000000"/>
                <w:sz w:val="18"/>
                <w:szCs w:val="18"/>
                <w:highlight w:val="none"/>
              </w:rPr>
              <w:t>项目</w:t>
            </w:r>
          </w:p>
        </w:tc>
        <w:tc>
          <w:tcPr>
            <w:tcW w:w="1150" w:type="dxa"/>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highlight w:val="none"/>
              </w:rPr>
            </w:pPr>
            <w:r>
              <w:rPr>
                <w:rFonts w:hint="eastAsia" w:ascii="宋体" w:hAnsi="宋体"/>
                <w:b/>
                <w:color w:val="000000"/>
                <w:sz w:val="18"/>
                <w:szCs w:val="18"/>
                <w:highlight w:val="none"/>
              </w:rPr>
              <w:t>预算数</w:t>
            </w:r>
          </w:p>
        </w:tc>
        <w:tc>
          <w:tcPr>
            <w:tcW w:w="3600" w:type="dxa"/>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highlight w:val="none"/>
              </w:rPr>
            </w:pPr>
            <w:r>
              <w:rPr>
                <w:rFonts w:hint="eastAsia" w:ascii="宋体" w:hAnsi="宋体"/>
                <w:b/>
                <w:color w:val="000000"/>
                <w:sz w:val="18"/>
                <w:szCs w:val="18"/>
                <w:highlight w:val="none"/>
              </w:rPr>
              <w:t>科目名称</w:t>
            </w:r>
          </w:p>
        </w:tc>
        <w:tc>
          <w:tcPr>
            <w:tcW w:w="1150" w:type="dxa"/>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highlight w:val="none"/>
              </w:rPr>
            </w:pPr>
            <w:r>
              <w:rPr>
                <w:rFonts w:hint="eastAsia" w:ascii="宋体" w:hAnsi="宋体"/>
                <w:b/>
                <w:color w:val="000000"/>
                <w:sz w:val="18"/>
                <w:szCs w:val="18"/>
                <w:highlight w:val="none"/>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highlight w:val="none"/>
              </w:rPr>
            </w:pPr>
            <w:r>
              <w:rPr>
                <w:rFonts w:hint="eastAsia" w:ascii="宋体" w:hAnsi="宋体"/>
                <w:b/>
                <w:color w:val="000000"/>
                <w:sz w:val="18"/>
                <w:szCs w:val="18"/>
                <w:highlight w:val="none"/>
              </w:rPr>
              <w:t>一、本年收入</w:t>
            </w:r>
          </w:p>
        </w:tc>
        <w:tc>
          <w:tcPr>
            <w:tcW w:w="1150" w:type="dxa"/>
            <w:shd w:val="clear" w:color="auto" w:fill="auto"/>
          </w:tcPr>
          <w:p>
            <w:pPr>
              <w:jc w:val="right"/>
              <w:rPr>
                <w:rFonts w:hint="default" w:ascii="宋体" w:hAnsi="宋体"/>
                <w:color w:val="000000"/>
                <w:sz w:val="18"/>
                <w:szCs w:val="18"/>
                <w:highlight w:val="none"/>
              </w:rPr>
            </w:pPr>
            <w:r>
              <w:rPr>
                <w:rFonts w:hint="eastAsia" w:ascii="宋体" w:hAnsi="宋体"/>
                <w:b/>
                <w:color w:val="000000"/>
                <w:sz w:val="18"/>
                <w:szCs w:val="18"/>
                <w:highlight w:val="none"/>
              </w:rPr>
              <w:t>603.51</w:t>
            </w: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201 一般公共服务支出</w:t>
            </w:r>
          </w:p>
        </w:tc>
        <w:tc>
          <w:tcPr>
            <w:tcW w:w="1150" w:type="dxa"/>
            <w:shd w:val="clear" w:color="auto" w:fill="auto"/>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highlight w:val="none"/>
              </w:rPr>
            </w:pPr>
            <w:r>
              <w:rPr>
                <w:rFonts w:hint="eastAsia" w:ascii="宋体" w:hAnsi="宋体"/>
                <w:b/>
                <w:color w:val="000000"/>
                <w:sz w:val="18"/>
                <w:szCs w:val="18"/>
                <w:highlight w:val="none"/>
              </w:rPr>
              <w:t>1.一般公共预算拨款</w:t>
            </w:r>
          </w:p>
        </w:tc>
        <w:tc>
          <w:tcPr>
            <w:tcW w:w="1150" w:type="dxa"/>
            <w:shd w:val="clear" w:color="auto" w:fill="auto"/>
          </w:tcPr>
          <w:p>
            <w:pPr>
              <w:jc w:val="right"/>
              <w:rPr>
                <w:rFonts w:hint="default" w:ascii="宋体" w:hAnsi="宋体"/>
                <w:color w:val="000000"/>
                <w:sz w:val="18"/>
                <w:szCs w:val="18"/>
                <w:highlight w:val="none"/>
              </w:rPr>
            </w:pPr>
            <w:r>
              <w:rPr>
                <w:rFonts w:hint="eastAsia" w:ascii="宋体" w:hAnsi="宋体"/>
                <w:b/>
                <w:color w:val="000000"/>
                <w:sz w:val="18"/>
                <w:szCs w:val="18"/>
                <w:highlight w:val="none"/>
              </w:rPr>
              <w:t>603.51</w:t>
            </w: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202 外交支出</w:t>
            </w:r>
          </w:p>
        </w:tc>
        <w:tc>
          <w:tcPr>
            <w:tcW w:w="1150" w:type="dxa"/>
            <w:shd w:val="clear" w:color="auto" w:fill="auto"/>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其中：一般财力</w:t>
            </w:r>
          </w:p>
        </w:tc>
        <w:tc>
          <w:tcPr>
            <w:tcW w:w="1150" w:type="dxa"/>
            <w:shd w:val="clear" w:color="auto" w:fill="auto"/>
          </w:tcPr>
          <w:p>
            <w:pPr>
              <w:jc w:val="right"/>
              <w:rPr>
                <w:rFonts w:hint="default" w:ascii="宋体" w:hAnsi="宋体"/>
                <w:color w:val="000000"/>
                <w:sz w:val="18"/>
                <w:szCs w:val="18"/>
                <w:highlight w:val="none"/>
              </w:rPr>
            </w:pPr>
            <w:r>
              <w:rPr>
                <w:rFonts w:hint="eastAsia" w:ascii="宋体" w:hAnsi="宋体"/>
                <w:color w:val="000000"/>
                <w:sz w:val="18"/>
                <w:szCs w:val="18"/>
                <w:highlight w:val="none"/>
              </w:rPr>
              <w:t>301.37</w:t>
            </w: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203 国防支出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 xml:space="preserve">      上级一般公共预算安排转移支付</w:t>
            </w:r>
          </w:p>
        </w:tc>
        <w:tc>
          <w:tcPr>
            <w:tcW w:w="1150" w:type="dxa"/>
            <w:shd w:val="clear" w:color="auto" w:fill="auto"/>
          </w:tcPr>
          <w:p>
            <w:pPr>
              <w:jc w:val="right"/>
              <w:rPr>
                <w:rFonts w:hint="default" w:ascii="宋体" w:hAnsi="宋体"/>
                <w:color w:val="000000"/>
                <w:sz w:val="18"/>
                <w:szCs w:val="18"/>
                <w:highlight w:val="none"/>
              </w:rPr>
            </w:pPr>
            <w:r>
              <w:rPr>
                <w:rFonts w:hint="eastAsia" w:ascii="宋体" w:hAnsi="宋体"/>
                <w:color w:val="000000"/>
                <w:sz w:val="18"/>
                <w:szCs w:val="18"/>
                <w:highlight w:val="none"/>
              </w:rPr>
              <w:t>302.14</w:t>
            </w: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204 公共安全支出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highlight w:val="none"/>
              </w:rPr>
            </w:pPr>
            <w:r>
              <w:rPr>
                <w:rFonts w:hint="eastAsia" w:ascii="宋体" w:hAnsi="宋体"/>
                <w:b/>
                <w:color w:val="000000"/>
                <w:sz w:val="18"/>
                <w:szCs w:val="18"/>
                <w:highlight w:val="none"/>
              </w:rPr>
              <w:t>2.政府性基金预算拨款</w:t>
            </w: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205 教育支出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highlight w:val="none"/>
              </w:rPr>
            </w:pPr>
            <w:r>
              <w:rPr>
                <w:rFonts w:hint="eastAsia" w:ascii="宋体" w:hAnsi="宋体" w:cs="宋体"/>
                <w:color w:val="000000"/>
                <w:sz w:val="18"/>
                <w:szCs w:val="18"/>
                <w:highlight w:val="none"/>
              </w:rPr>
              <w:t>其中：政府性基金收入</w:t>
            </w: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206 科学技术支出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      上级政府性基金安排转移支付</w:t>
            </w: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207 文化旅游体育与传媒支出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highlight w:val="none"/>
              </w:rPr>
            </w:pPr>
            <w:r>
              <w:rPr>
                <w:rFonts w:hint="eastAsia" w:ascii="宋体" w:hAnsi="宋体"/>
                <w:b/>
                <w:color w:val="000000"/>
                <w:sz w:val="18"/>
                <w:szCs w:val="18"/>
                <w:highlight w:val="none"/>
              </w:rPr>
              <w:t>3.国有资本经营预算拨款</w:t>
            </w: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208 社会保障和就业支出</w:t>
            </w:r>
          </w:p>
        </w:tc>
        <w:tc>
          <w:tcPr>
            <w:tcW w:w="1150" w:type="dxa"/>
            <w:shd w:val="clear" w:color="auto" w:fill="auto"/>
            <w:vAlign w:val="center"/>
          </w:tcPr>
          <w:p>
            <w:pPr>
              <w:jc w:val="right"/>
              <w:rPr>
                <w:rFonts w:hint="default" w:ascii="宋体" w:hAnsi="宋体"/>
                <w:color w:val="000000"/>
                <w:sz w:val="18"/>
                <w:szCs w:val="18"/>
                <w:highlight w:val="none"/>
              </w:rPr>
            </w:pPr>
            <w:r>
              <w:rPr>
                <w:rFonts w:hint="eastAsia" w:ascii="宋体" w:hAnsi="宋体"/>
                <w:color w:val="000000"/>
                <w:sz w:val="18"/>
                <w:szCs w:val="18"/>
                <w:highlight w:val="none"/>
              </w:rPr>
              <w:t>50.08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其中：国有资本经营收入</w:t>
            </w: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209 社会保险基金支出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 xml:space="preserve">      上级国有资本经营预算安排转移支付</w:t>
            </w: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210 卫生健康支出</w:t>
            </w:r>
          </w:p>
        </w:tc>
        <w:tc>
          <w:tcPr>
            <w:tcW w:w="1150" w:type="dxa"/>
            <w:shd w:val="clear" w:color="auto" w:fill="auto"/>
            <w:vAlign w:val="center"/>
          </w:tcPr>
          <w:p>
            <w:pPr>
              <w:jc w:val="right"/>
              <w:rPr>
                <w:rFonts w:hint="default" w:ascii="宋体" w:hAnsi="宋体"/>
                <w:color w:val="000000"/>
                <w:sz w:val="18"/>
                <w:szCs w:val="18"/>
                <w:highlight w:val="none"/>
              </w:rPr>
            </w:pPr>
            <w:r>
              <w:rPr>
                <w:rFonts w:hint="eastAsia" w:ascii="宋体" w:hAnsi="宋体"/>
                <w:color w:val="000000"/>
                <w:sz w:val="18"/>
                <w:szCs w:val="18"/>
                <w:highlight w:val="none"/>
              </w:rPr>
              <w:t>34.20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highlight w:val="none"/>
              </w:rPr>
            </w:pPr>
            <w:r>
              <w:rPr>
                <w:rFonts w:hint="eastAsia" w:ascii="宋体" w:hAnsi="宋体"/>
                <w:b/>
                <w:color w:val="000000"/>
                <w:sz w:val="18"/>
                <w:szCs w:val="18"/>
                <w:highlight w:val="none"/>
              </w:rPr>
              <w:t>4.财政专户核拨</w:t>
            </w: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211 节能环保支出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highlight w:val="none"/>
              </w:rPr>
            </w:pPr>
            <w:r>
              <w:rPr>
                <w:rFonts w:hint="eastAsia" w:ascii="宋体" w:hAnsi="宋体"/>
                <w:b/>
                <w:color w:val="000000"/>
                <w:sz w:val="18"/>
                <w:szCs w:val="18"/>
                <w:highlight w:val="none"/>
              </w:rPr>
              <w:t>5.单位资金</w:t>
            </w: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212 城乡社区支出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其中：事业收入</w:t>
            </w: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213 农林水支出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 xml:space="preserve">      上级补助收入</w:t>
            </w: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214 交通运输支出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 xml:space="preserve">      附属单位上缴收入</w:t>
            </w: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215 资源勘探工业信息等支出</w:t>
            </w:r>
          </w:p>
        </w:tc>
        <w:tc>
          <w:tcPr>
            <w:tcW w:w="1150" w:type="dxa"/>
            <w:shd w:val="clear" w:color="auto" w:fill="auto"/>
            <w:vAlign w:val="center"/>
          </w:tcPr>
          <w:p>
            <w:pPr>
              <w:jc w:val="right"/>
              <w:rPr>
                <w:rFonts w:hint="default" w:ascii="宋体" w:hAnsi="宋体"/>
                <w:color w:val="000000"/>
                <w:sz w:val="18"/>
                <w:szCs w:val="18"/>
                <w:highlight w:val="none"/>
              </w:rPr>
            </w:pPr>
            <w:r>
              <w:rPr>
                <w:rFonts w:hint="eastAsia" w:ascii="宋体" w:hAnsi="宋体"/>
                <w:color w:val="000000"/>
                <w:sz w:val="18"/>
                <w:szCs w:val="18"/>
                <w:highlight w:val="none"/>
              </w:rPr>
              <w:t>806.86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 xml:space="preserve">      事业单位经营收入</w:t>
            </w: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216 商业服务业等支出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 xml:space="preserve">      其他收入</w:t>
            </w: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217 金融支出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highlight w:val="none"/>
              </w:rPr>
            </w:pPr>
            <w:r>
              <w:rPr>
                <w:rFonts w:hint="eastAsia" w:ascii="宋体" w:hAnsi="宋体"/>
                <w:b/>
                <w:color w:val="000000"/>
                <w:sz w:val="18"/>
                <w:szCs w:val="18"/>
                <w:highlight w:val="none"/>
              </w:rPr>
              <w:t>二、上年结转结余</w:t>
            </w:r>
          </w:p>
        </w:tc>
        <w:tc>
          <w:tcPr>
            <w:tcW w:w="1150" w:type="dxa"/>
            <w:shd w:val="clear" w:color="auto" w:fill="auto"/>
          </w:tcPr>
          <w:p>
            <w:pPr>
              <w:jc w:val="right"/>
              <w:rPr>
                <w:rFonts w:hint="default" w:ascii="宋体" w:hAnsi="宋体"/>
                <w:color w:val="000000"/>
                <w:sz w:val="18"/>
                <w:szCs w:val="18"/>
                <w:highlight w:val="none"/>
              </w:rPr>
            </w:pPr>
            <w:r>
              <w:rPr>
                <w:rFonts w:hint="eastAsia" w:ascii="宋体" w:hAnsi="宋体"/>
                <w:b/>
                <w:color w:val="000000"/>
                <w:sz w:val="18"/>
                <w:szCs w:val="18"/>
                <w:highlight w:val="none"/>
              </w:rPr>
              <w:t>310.63</w:t>
            </w: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219 援助其他地区支出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highlight w:val="none"/>
              </w:rPr>
            </w:pPr>
            <w:r>
              <w:rPr>
                <w:rFonts w:hint="eastAsia" w:ascii="宋体" w:hAnsi="宋体"/>
                <w:b/>
                <w:color w:val="000000"/>
                <w:sz w:val="18"/>
                <w:szCs w:val="18"/>
                <w:highlight w:val="none"/>
              </w:rPr>
              <w:t>1.财政拨款结转</w:t>
            </w:r>
          </w:p>
        </w:tc>
        <w:tc>
          <w:tcPr>
            <w:tcW w:w="1150" w:type="dxa"/>
            <w:shd w:val="clear" w:color="auto" w:fill="auto"/>
          </w:tcPr>
          <w:p>
            <w:pPr>
              <w:jc w:val="right"/>
              <w:rPr>
                <w:rFonts w:hint="default" w:ascii="宋体" w:hAnsi="宋体"/>
                <w:color w:val="000000"/>
                <w:sz w:val="18"/>
                <w:szCs w:val="18"/>
                <w:highlight w:val="none"/>
              </w:rPr>
            </w:pPr>
            <w:r>
              <w:rPr>
                <w:rFonts w:hint="eastAsia" w:ascii="宋体" w:hAnsi="宋体"/>
                <w:b/>
                <w:color w:val="000000"/>
                <w:sz w:val="18"/>
                <w:szCs w:val="18"/>
                <w:highlight w:val="none"/>
              </w:rPr>
              <w:t>310.63</w:t>
            </w: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220 自然资源海洋气象等支出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其中：一般公共预算拨款</w:t>
            </w:r>
          </w:p>
        </w:tc>
        <w:tc>
          <w:tcPr>
            <w:tcW w:w="1150" w:type="dxa"/>
            <w:shd w:val="clear" w:color="auto" w:fill="auto"/>
          </w:tcPr>
          <w:p>
            <w:pPr>
              <w:jc w:val="right"/>
              <w:rPr>
                <w:rFonts w:hint="default" w:ascii="宋体" w:hAnsi="宋体"/>
                <w:color w:val="000000"/>
                <w:sz w:val="18"/>
                <w:szCs w:val="18"/>
                <w:highlight w:val="none"/>
              </w:rPr>
            </w:pPr>
            <w:r>
              <w:rPr>
                <w:rFonts w:hint="eastAsia" w:ascii="宋体" w:hAnsi="宋体"/>
                <w:color w:val="000000"/>
                <w:sz w:val="18"/>
                <w:szCs w:val="18"/>
                <w:highlight w:val="none"/>
              </w:rPr>
              <w:t>310.63</w:t>
            </w: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221 住房保障支出</w:t>
            </w:r>
          </w:p>
        </w:tc>
        <w:tc>
          <w:tcPr>
            <w:tcW w:w="1150" w:type="dxa"/>
            <w:shd w:val="clear" w:color="auto" w:fill="auto"/>
            <w:vAlign w:val="center"/>
          </w:tcPr>
          <w:p>
            <w:pPr>
              <w:jc w:val="right"/>
              <w:rPr>
                <w:rFonts w:hint="default" w:ascii="宋体" w:hAnsi="宋体"/>
                <w:color w:val="000000"/>
                <w:sz w:val="18"/>
                <w:szCs w:val="18"/>
                <w:highlight w:val="none"/>
              </w:rPr>
            </w:pPr>
            <w:r>
              <w:rPr>
                <w:rFonts w:hint="eastAsia" w:ascii="宋体" w:hAnsi="宋体"/>
                <w:color w:val="000000"/>
                <w:sz w:val="18"/>
                <w:szCs w:val="18"/>
                <w:highlight w:val="none"/>
              </w:rPr>
              <w:t>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 xml:space="preserve">      政府性基金预算拨款</w:t>
            </w: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222 粮油物资储备支出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 xml:space="preserve">      国有资本经营预算拨款</w:t>
            </w: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223 国有资本经营预算支出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highlight w:val="none"/>
              </w:rPr>
            </w:pPr>
            <w:r>
              <w:rPr>
                <w:rFonts w:hint="eastAsia" w:ascii="宋体" w:hAnsi="宋体"/>
                <w:b/>
                <w:color w:val="000000"/>
                <w:sz w:val="18"/>
                <w:szCs w:val="18"/>
                <w:highlight w:val="none"/>
              </w:rPr>
              <w:t>2.非财政拨款结转结余</w:t>
            </w: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224 灾害防治及应急管理支出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其中：财政专户核拨</w:t>
            </w: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227 预备费</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 xml:space="preserve">      单位资金</w:t>
            </w: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229 其他支出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rPr>
                <w:rFonts w:hint="default" w:ascii="宋体" w:hAnsi="宋体"/>
                <w:color w:val="000000"/>
                <w:sz w:val="18"/>
                <w:szCs w:val="18"/>
                <w:highlight w:val="none"/>
              </w:rPr>
            </w:pP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230 转移性支出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rPr>
                <w:rFonts w:hint="default" w:ascii="宋体" w:hAnsi="宋体"/>
                <w:color w:val="000000"/>
                <w:sz w:val="18"/>
                <w:szCs w:val="18"/>
                <w:highlight w:val="none"/>
              </w:rPr>
            </w:pP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231 债务还本支出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rPr>
                <w:rFonts w:hint="default" w:ascii="宋体" w:hAnsi="宋体"/>
                <w:color w:val="000000"/>
                <w:sz w:val="18"/>
                <w:szCs w:val="18"/>
                <w:highlight w:val="none"/>
              </w:rPr>
            </w:pP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232 债务付息支出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rPr>
                <w:rFonts w:hint="default" w:ascii="宋体" w:hAnsi="宋体"/>
                <w:color w:val="000000"/>
                <w:sz w:val="18"/>
                <w:szCs w:val="18"/>
                <w:highlight w:val="none"/>
              </w:rPr>
            </w:pP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s="宋体"/>
                <w:color w:val="000000"/>
                <w:sz w:val="18"/>
                <w:szCs w:val="18"/>
                <w:highlight w:val="none"/>
              </w:rPr>
              <w:t>233 债务发行费用支出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21" w:hRule="atLeast"/>
          <w:jc w:val="center"/>
        </w:trPr>
        <w:tc>
          <w:tcPr>
            <w:tcW w:w="2835" w:type="dxa"/>
            <w:shd w:val="clear" w:color="auto" w:fill="auto"/>
          </w:tcPr>
          <w:p>
            <w:pPr>
              <w:rPr>
                <w:rFonts w:hint="default" w:ascii="宋体" w:hAnsi="宋体"/>
                <w:color w:val="000000"/>
                <w:sz w:val="18"/>
                <w:szCs w:val="18"/>
                <w:highlight w:val="none"/>
              </w:rPr>
            </w:pP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s="宋体"/>
                <w:color w:val="000000"/>
                <w:sz w:val="18"/>
                <w:szCs w:val="18"/>
                <w:highlight w:val="none"/>
              </w:rPr>
              <w:t>234 抗疫特别国债安排的支出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jc w:val="center"/>
              <w:rPr>
                <w:rFonts w:hint="default" w:ascii="宋体" w:hAnsi="宋体"/>
                <w:color w:val="000000"/>
                <w:sz w:val="18"/>
                <w:szCs w:val="18"/>
                <w:highlight w:val="none"/>
              </w:rPr>
            </w:pPr>
            <w:r>
              <w:rPr>
                <w:rFonts w:hint="eastAsia" w:ascii="宋体" w:hAnsi="宋体"/>
                <w:b/>
                <w:color w:val="000000"/>
                <w:sz w:val="18"/>
                <w:szCs w:val="18"/>
                <w:highlight w:val="none"/>
              </w:rPr>
              <w:t>收 入 总 计</w:t>
            </w:r>
          </w:p>
        </w:tc>
        <w:tc>
          <w:tcPr>
            <w:tcW w:w="1150" w:type="dxa"/>
            <w:shd w:val="clear" w:color="auto" w:fill="auto"/>
          </w:tcPr>
          <w:p>
            <w:pPr>
              <w:jc w:val="right"/>
              <w:rPr>
                <w:rFonts w:hint="default" w:ascii="宋体" w:hAnsi="宋体"/>
                <w:color w:val="000000"/>
                <w:sz w:val="18"/>
                <w:szCs w:val="18"/>
                <w:highlight w:val="none"/>
              </w:rPr>
            </w:pPr>
            <w:r>
              <w:rPr>
                <w:rFonts w:hint="eastAsia" w:ascii="宋体" w:hAnsi="宋体"/>
                <w:b/>
                <w:color w:val="000000"/>
                <w:sz w:val="18"/>
                <w:szCs w:val="18"/>
                <w:highlight w:val="none"/>
              </w:rPr>
              <w:t>914.14</w:t>
            </w:r>
          </w:p>
        </w:tc>
        <w:tc>
          <w:tcPr>
            <w:tcW w:w="3600" w:type="dxa"/>
            <w:shd w:val="clear" w:color="auto" w:fill="auto"/>
          </w:tcPr>
          <w:p>
            <w:pPr>
              <w:jc w:val="center"/>
              <w:rPr>
                <w:rFonts w:hint="default" w:ascii="宋体" w:hAnsi="宋体" w:cs="宋体"/>
                <w:color w:val="000000"/>
                <w:sz w:val="18"/>
                <w:szCs w:val="18"/>
                <w:highlight w:val="none"/>
              </w:rPr>
            </w:pPr>
            <w:r>
              <w:rPr>
                <w:rFonts w:hint="eastAsia" w:ascii="宋体" w:hAnsi="宋体"/>
                <w:b/>
                <w:color w:val="000000"/>
                <w:sz w:val="18"/>
                <w:szCs w:val="18"/>
                <w:highlight w:val="none"/>
              </w:rPr>
              <w:t>支 出 总 计</w:t>
            </w:r>
          </w:p>
        </w:tc>
        <w:tc>
          <w:tcPr>
            <w:tcW w:w="1150" w:type="dxa"/>
            <w:shd w:val="clear" w:color="auto" w:fill="auto"/>
          </w:tcPr>
          <w:p>
            <w:pPr>
              <w:jc w:val="right"/>
              <w:rPr>
                <w:rFonts w:hint="default" w:ascii="宋体" w:hAnsi="宋体"/>
                <w:color w:val="000000"/>
                <w:sz w:val="18"/>
                <w:szCs w:val="18"/>
                <w:highlight w:val="none"/>
              </w:rPr>
            </w:pPr>
            <w:r>
              <w:rPr>
                <w:rFonts w:hint="eastAsia" w:ascii="宋体" w:hAnsi="宋体"/>
                <w:b/>
                <w:color w:val="000000"/>
                <w:sz w:val="18"/>
                <w:szCs w:val="18"/>
                <w:highlight w:val="none"/>
              </w:rPr>
              <w:t>914.14</w:t>
            </w:r>
          </w:p>
        </w:tc>
      </w:tr>
    </w:tbl>
    <w:p>
      <w:pPr>
        <w:widowControl/>
        <w:jc w:val="left"/>
        <w:rPr>
          <w:rFonts w:hint="default" w:ascii="仿宋" w:eastAsia="仿宋"/>
          <w:b/>
          <w:color w:val="000000"/>
          <w:szCs w:val="21"/>
          <w:highlight w:val="none"/>
        </w:rPr>
        <w:sectPr>
          <w:footerReference r:id="rId3" w:type="default"/>
          <w:pgSz w:w="11906" w:h="16838"/>
          <w:pgMar w:top="1134" w:right="1134" w:bottom="993" w:left="1134" w:header="851" w:footer="992" w:gutter="0"/>
          <w:cols w:space="425" w:num="1"/>
          <w:docGrid w:type="lines" w:linePitch="312" w:charSpace="0"/>
        </w:sectPr>
      </w:pPr>
    </w:p>
    <w:p>
      <w:pPr>
        <w:jc w:val="left"/>
        <w:rPr>
          <w:rFonts w:hint="default" w:ascii="宋体" w:hAnsi="宋体"/>
          <w:color w:val="000000"/>
          <w:sz w:val="18"/>
          <w:szCs w:val="18"/>
          <w:highlight w:val="none"/>
        </w:rPr>
      </w:pPr>
      <w:r>
        <w:rPr>
          <w:rFonts w:hint="eastAsia" w:ascii="宋体" w:hAnsi="宋体"/>
          <w:color w:val="000000"/>
          <w:sz w:val="18"/>
          <w:szCs w:val="18"/>
          <w:highlight w:val="none"/>
        </w:rPr>
        <w:t>表2</w:t>
      </w:r>
    </w:p>
    <w:p>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单位收入总体情况表</w:t>
      </w:r>
    </w:p>
    <w:tbl>
      <w:tblPr>
        <w:tblW w:w="14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09"/>
        <w:gridCol w:w="268"/>
        <w:gridCol w:w="243"/>
        <w:gridCol w:w="2500"/>
        <w:gridCol w:w="1100"/>
        <w:gridCol w:w="1048"/>
        <w:gridCol w:w="925"/>
        <w:gridCol w:w="924"/>
        <w:gridCol w:w="924"/>
        <w:gridCol w:w="924"/>
        <w:gridCol w:w="924"/>
        <w:gridCol w:w="671"/>
        <w:gridCol w:w="900"/>
        <w:gridCol w:w="90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12560" w:type="dxa"/>
            <w:gridSpan w:val="14"/>
            <w:tcBorders>
              <w:top w:val="nil"/>
              <w:left w:val="nil"/>
              <w:bottom w:val="single" w:color="auto" w:sz="4" w:space="0"/>
              <w:right w:val="nil"/>
            </w:tcBorders>
            <w:shd w:val="clear" w:color="auto" w:fill="auto"/>
          </w:tcPr>
          <w:p>
            <w:pPr>
              <w:jc w:val="left"/>
              <w:rPr>
                <w:rFonts w:hint="default" w:ascii="宋体" w:hAnsi="宋体"/>
                <w:sz w:val="18"/>
                <w:szCs w:val="18"/>
                <w:highlight w:val="none"/>
              </w:rPr>
            </w:pPr>
            <w:r>
              <w:rPr>
                <w:rFonts w:hint="eastAsia"/>
                <w:color w:val="000000"/>
                <w:sz w:val="18"/>
                <w:szCs w:val="18"/>
                <w:highlight w:val="none"/>
              </w:rPr>
              <w:t>编制单位：新疆维吾尔自治区无线电监测中心</w:t>
            </w:r>
          </w:p>
        </w:tc>
        <w:tc>
          <w:tcPr>
            <w:tcW w:w="1800" w:type="dxa"/>
            <w:gridSpan w:val="2"/>
            <w:tcBorders>
              <w:top w:val="nil"/>
              <w:left w:val="nil"/>
              <w:bottom w:val="single" w:color="auto" w:sz="4" w:space="0"/>
              <w:right w:val="nil"/>
            </w:tcBorders>
            <w:shd w:val="clear" w:color="auto" w:fill="auto"/>
            <w:vAlign w:val="center"/>
          </w:tcPr>
          <w:p>
            <w:pPr>
              <w:jc w:val="right"/>
              <w:rPr>
                <w:rFonts w:hint="eastAsia"/>
                <w:color w:val="000000"/>
                <w:sz w:val="18"/>
                <w:szCs w:val="18"/>
                <w:highlight w:val="none"/>
              </w:rPr>
            </w:pPr>
            <w:r>
              <w:rPr>
                <w:rFonts w:hint="eastAsia"/>
                <w:color w:val="000000"/>
                <w:sz w:val="18"/>
                <w:szCs w:val="18"/>
                <w:highlight w:val="none"/>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820" w:type="dxa"/>
            <w:gridSpan w:val="3"/>
            <w:tcBorders>
              <w:top w:val="single" w:color="auto" w:sz="4" w:space="0"/>
            </w:tcBorders>
            <w:shd w:val="clear" w:color="auto" w:fill="auto"/>
            <w:vAlign w:val="center"/>
          </w:tcPr>
          <w:p>
            <w:pPr>
              <w:jc w:val="center"/>
              <w:rPr>
                <w:rFonts w:hint="default" w:ascii="宋体" w:hAnsi="宋体"/>
                <w:sz w:val="18"/>
                <w:szCs w:val="18"/>
                <w:highlight w:val="none"/>
              </w:rPr>
            </w:pPr>
            <w:r>
              <w:rPr>
                <w:rFonts w:hint="eastAsia" w:ascii="宋体" w:hAnsi="宋体"/>
                <w:sz w:val="18"/>
                <w:szCs w:val="18"/>
                <w:highlight w:val="none"/>
              </w:rPr>
              <w:t>科目代码</w:t>
            </w:r>
          </w:p>
        </w:tc>
        <w:tc>
          <w:tcPr>
            <w:tcW w:w="2500" w:type="dxa"/>
            <w:vMerge w:val="restart"/>
            <w:tcBorders>
              <w:top w:val="single" w:color="auto" w:sz="4" w:space="0"/>
            </w:tcBorders>
            <w:shd w:val="clear" w:color="auto" w:fill="auto"/>
            <w:vAlign w:val="center"/>
          </w:tcPr>
          <w:p>
            <w:pPr>
              <w:jc w:val="center"/>
              <w:rPr>
                <w:rFonts w:hint="default" w:ascii="宋体" w:hAnsi="宋体"/>
                <w:sz w:val="18"/>
                <w:szCs w:val="18"/>
                <w:highlight w:val="none"/>
              </w:rPr>
            </w:pPr>
            <w:r>
              <w:rPr>
                <w:rFonts w:hint="eastAsia" w:ascii="宋体" w:hAnsi="宋体"/>
                <w:sz w:val="18"/>
                <w:szCs w:val="18"/>
                <w:highlight w:val="none"/>
              </w:rPr>
              <w:t>科目名称</w:t>
            </w:r>
          </w:p>
        </w:tc>
        <w:tc>
          <w:tcPr>
            <w:tcW w:w="1100" w:type="dxa"/>
            <w:vMerge w:val="restart"/>
            <w:tcBorders>
              <w:top w:val="single" w:color="auto" w:sz="4" w:space="0"/>
            </w:tcBorders>
            <w:shd w:val="clear" w:color="auto" w:fill="auto"/>
            <w:vAlign w:val="center"/>
          </w:tcPr>
          <w:p>
            <w:pPr>
              <w:jc w:val="center"/>
              <w:rPr>
                <w:rFonts w:hint="default" w:ascii="宋体" w:hAnsi="宋体"/>
                <w:sz w:val="18"/>
                <w:szCs w:val="18"/>
                <w:highlight w:val="none"/>
              </w:rPr>
            </w:pPr>
            <w:r>
              <w:rPr>
                <w:rFonts w:hint="eastAsia" w:ascii="宋体" w:hAnsi="宋体"/>
                <w:sz w:val="18"/>
                <w:szCs w:val="18"/>
                <w:highlight w:val="none"/>
              </w:rPr>
              <w:t>总计</w:t>
            </w:r>
          </w:p>
        </w:tc>
        <w:tc>
          <w:tcPr>
            <w:tcW w:w="6340" w:type="dxa"/>
            <w:gridSpan w:val="7"/>
            <w:tcBorders>
              <w:top w:val="single" w:color="auto" w:sz="4" w:space="0"/>
            </w:tcBorders>
            <w:shd w:val="clear" w:color="auto" w:fill="auto"/>
            <w:vAlign w:val="center"/>
          </w:tcPr>
          <w:p>
            <w:pPr>
              <w:jc w:val="center"/>
              <w:rPr>
                <w:rFonts w:hint="default" w:ascii="宋体" w:hAnsi="宋体"/>
                <w:sz w:val="18"/>
                <w:szCs w:val="18"/>
                <w:highlight w:val="none"/>
              </w:rPr>
            </w:pPr>
            <w:r>
              <w:rPr>
                <w:rFonts w:hint="eastAsia" w:ascii="宋体" w:hAnsi="宋体"/>
                <w:sz w:val="18"/>
                <w:szCs w:val="18"/>
                <w:highlight w:val="none"/>
              </w:rPr>
              <w:t>财政拨款（补助）</w:t>
            </w:r>
          </w:p>
        </w:tc>
        <w:tc>
          <w:tcPr>
            <w:tcW w:w="900" w:type="dxa"/>
            <w:vMerge w:val="restart"/>
            <w:tcBorders>
              <w:top w:val="single" w:color="auto" w:sz="4" w:space="0"/>
            </w:tcBorders>
            <w:shd w:val="clear" w:color="auto" w:fill="auto"/>
            <w:vAlign w:val="center"/>
          </w:tcPr>
          <w:p>
            <w:pPr>
              <w:jc w:val="center"/>
              <w:rPr>
                <w:rFonts w:hint="eastAsia" w:ascii="宋体" w:hAnsi="宋体"/>
                <w:sz w:val="18"/>
                <w:szCs w:val="18"/>
                <w:highlight w:val="none"/>
              </w:rPr>
            </w:pPr>
            <w:r>
              <w:rPr>
                <w:rFonts w:hint="eastAsia" w:ascii="宋体" w:hAnsi="宋体"/>
                <w:sz w:val="18"/>
                <w:szCs w:val="18"/>
                <w:highlight w:val="none"/>
              </w:rPr>
              <w:t>财政专户（教育收费）</w:t>
            </w:r>
          </w:p>
        </w:tc>
        <w:tc>
          <w:tcPr>
            <w:tcW w:w="900" w:type="dxa"/>
            <w:vMerge w:val="restart"/>
            <w:tcBorders>
              <w:top w:val="single" w:color="auto" w:sz="4" w:space="0"/>
            </w:tcBorders>
            <w:shd w:val="clear" w:color="auto" w:fill="auto"/>
            <w:vAlign w:val="center"/>
          </w:tcPr>
          <w:p>
            <w:pPr>
              <w:jc w:val="center"/>
              <w:rPr>
                <w:rFonts w:hint="eastAsia" w:ascii="宋体" w:hAnsi="宋体"/>
                <w:sz w:val="18"/>
                <w:szCs w:val="18"/>
                <w:highlight w:val="none"/>
              </w:rPr>
            </w:pPr>
            <w:r>
              <w:rPr>
                <w:rFonts w:hint="eastAsia" w:ascii="宋体" w:hAnsi="宋体"/>
                <w:sz w:val="18"/>
                <w:szCs w:val="18"/>
                <w:highlight w:val="none"/>
              </w:rPr>
              <w:t>单位资金</w:t>
            </w:r>
          </w:p>
        </w:tc>
        <w:tc>
          <w:tcPr>
            <w:tcW w:w="900" w:type="dxa"/>
            <w:vMerge w:val="restart"/>
            <w:tcBorders>
              <w:top w:val="single" w:color="auto" w:sz="4" w:space="0"/>
            </w:tcBorders>
            <w:shd w:val="clear" w:color="auto" w:fill="auto"/>
            <w:vAlign w:val="center"/>
          </w:tcPr>
          <w:p>
            <w:pPr>
              <w:jc w:val="center"/>
              <w:rPr>
                <w:rFonts w:hint="eastAsia" w:ascii="宋体" w:hAnsi="宋体"/>
                <w:sz w:val="18"/>
                <w:szCs w:val="18"/>
                <w:highlight w:val="none"/>
              </w:rPr>
            </w:pPr>
            <w:r>
              <w:rPr>
                <w:rFonts w:hint="eastAsia" w:ascii="宋体" w:hAnsi="宋体"/>
                <w:sz w:val="18"/>
                <w:szCs w:val="18"/>
                <w:highlight w:val="none"/>
              </w:rPr>
              <w:t>财政拨款结转</w:t>
            </w:r>
          </w:p>
        </w:tc>
        <w:tc>
          <w:tcPr>
            <w:tcW w:w="900" w:type="dxa"/>
            <w:vMerge w:val="restart"/>
            <w:tcBorders>
              <w:top w:val="single" w:color="auto" w:sz="4" w:space="0"/>
            </w:tcBorders>
            <w:shd w:val="clear" w:color="auto" w:fill="auto"/>
            <w:vAlign w:val="center"/>
          </w:tcPr>
          <w:p>
            <w:pPr>
              <w:jc w:val="center"/>
              <w:rPr>
                <w:rFonts w:hint="eastAsia" w:ascii="宋体" w:hAnsi="宋体"/>
                <w:sz w:val="18"/>
                <w:szCs w:val="18"/>
                <w:highlight w:val="none"/>
              </w:rPr>
            </w:pPr>
            <w:r>
              <w:rPr>
                <w:rFonts w:hint="eastAsia" w:ascii="宋体" w:hAnsi="宋体"/>
                <w:sz w:val="18"/>
                <w:szCs w:val="18"/>
                <w:highlight w:val="none"/>
              </w:rPr>
              <w:t>非财政拨款结转结余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0" w:hRule="atLeast"/>
          <w:tblHeader/>
        </w:trPr>
        <w:tc>
          <w:tcPr>
            <w:tcW w:w="300" w:type="dxa"/>
            <w:shd w:val="clear" w:color="auto" w:fill="auto"/>
            <w:vAlign w:val="center"/>
          </w:tcPr>
          <w:p>
            <w:pPr>
              <w:jc w:val="center"/>
              <w:rPr>
                <w:rFonts w:hint="default" w:ascii="宋体" w:hAnsi="宋体"/>
                <w:sz w:val="18"/>
                <w:szCs w:val="18"/>
                <w:highlight w:val="none"/>
              </w:rPr>
            </w:pPr>
            <w:r>
              <w:rPr>
                <w:rFonts w:hint="eastAsia" w:ascii="宋体" w:hAnsi="宋体"/>
                <w:sz w:val="18"/>
                <w:szCs w:val="18"/>
                <w:highlight w:val="none"/>
              </w:rPr>
              <w:t>类</w:t>
            </w:r>
          </w:p>
        </w:tc>
        <w:tc>
          <w:tcPr>
            <w:tcW w:w="260" w:type="dxa"/>
            <w:shd w:val="clear" w:color="auto" w:fill="auto"/>
            <w:vAlign w:val="center"/>
          </w:tcPr>
          <w:p>
            <w:pPr>
              <w:jc w:val="center"/>
              <w:rPr>
                <w:rFonts w:hint="default" w:ascii="宋体" w:hAnsi="宋体"/>
                <w:sz w:val="18"/>
                <w:szCs w:val="18"/>
                <w:highlight w:val="none"/>
              </w:rPr>
            </w:pPr>
            <w:r>
              <w:rPr>
                <w:rFonts w:hint="eastAsia" w:ascii="宋体" w:hAnsi="宋体"/>
                <w:sz w:val="18"/>
                <w:szCs w:val="18"/>
                <w:highlight w:val="none"/>
              </w:rPr>
              <w:t>款</w:t>
            </w:r>
          </w:p>
        </w:tc>
        <w:tc>
          <w:tcPr>
            <w:tcW w:w="260" w:type="dxa"/>
            <w:shd w:val="clear" w:color="auto" w:fill="auto"/>
            <w:vAlign w:val="center"/>
          </w:tcPr>
          <w:p>
            <w:pPr>
              <w:jc w:val="center"/>
              <w:rPr>
                <w:rFonts w:hint="default" w:ascii="宋体" w:hAnsi="宋体"/>
                <w:sz w:val="18"/>
                <w:szCs w:val="18"/>
                <w:highlight w:val="none"/>
              </w:rPr>
            </w:pPr>
            <w:r>
              <w:rPr>
                <w:rFonts w:hint="eastAsia" w:ascii="宋体" w:hAnsi="宋体"/>
                <w:sz w:val="18"/>
                <w:szCs w:val="18"/>
                <w:highlight w:val="none"/>
              </w:rPr>
              <w:t>项</w:t>
            </w:r>
          </w:p>
        </w:tc>
        <w:tc>
          <w:tcPr>
            <w:tcW w:w="2500" w:type="dxa"/>
            <w:vMerge w:val="continue"/>
            <w:shd w:val="clear" w:color="auto" w:fill="auto"/>
            <w:vAlign w:val="center"/>
          </w:tcPr>
          <w:p>
            <w:pPr>
              <w:jc w:val="center"/>
              <w:rPr>
                <w:rFonts w:hint="default" w:ascii="宋体" w:hAnsi="宋体"/>
                <w:sz w:val="18"/>
                <w:szCs w:val="18"/>
                <w:highlight w:val="none"/>
              </w:rPr>
            </w:pPr>
          </w:p>
        </w:tc>
        <w:tc>
          <w:tcPr>
            <w:tcW w:w="1140" w:type="dxa"/>
            <w:vMerge w:val="continue"/>
            <w:shd w:val="clear" w:color="auto" w:fill="auto"/>
            <w:vAlign w:val="center"/>
          </w:tcPr>
          <w:p>
            <w:pPr>
              <w:jc w:val="center"/>
              <w:rPr>
                <w:rFonts w:hint="default" w:ascii="宋体" w:hAnsi="宋体"/>
                <w:sz w:val="18"/>
                <w:szCs w:val="18"/>
                <w:highlight w:val="none"/>
              </w:rPr>
            </w:pPr>
          </w:p>
        </w:tc>
        <w:tc>
          <w:tcPr>
            <w:tcW w:w="900" w:type="dxa"/>
            <w:shd w:val="clear" w:color="auto" w:fill="auto"/>
            <w:vAlign w:val="center"/>
          </w:tcPr>
          <w:p>
            <w:pPr>
              <w:jc w:val="center"/>
              <w:rPr>
                <w:rFonts w:hint="eastAsia" w:ascii="宋体" w:hAnsi="宋体"/>
                <w:sz w:val="18"/>
                <w:szCs w:val="18"/>
                <w:highlight w:val="none"/>
              </w:rPr>
            </w:pPr>
            <w:r>
              <w:rPr>
                <w:rFonts w:hint="eastAsia" w:ascii="宋体" w:hAnsi="宋体"/>
                <w:sz w:val="18"/>
                <w:szCs w:val="18"/>
                <w:highlight w:val="none"/>
              </w:rPr>
              <w:t>财政拨款(补助)小计</w:t>
            </w:r>
          </w:p>
        </w:tc>
        <w:tc>
          <w:tcPr>
            <w:tcW w:w="900" w:type="dxa"/>
            <w:shd w:val="clear" w:color="auto" w:fill="auto"/>
            <w:vAlign w:val="center"/>
          </w:tcPr>
          <w:p>
            <w:pPr>
              <w:jc w:val="center"/>
              <w:rPr>
                <w:rFonts w:hint="eastAsia" w:ascii="宋体" w:hAnsi="宋体"/>
                <w:sz w:val="18"/>
                <w:szCs w:val="18"/>
                <w:highlight w:val="none"/>
              </w:rPr>
            </w:pPr>
            <w:r>
              <w:rPr>
                <w:rFonts w:hint="eastAsia" w:ascii="宋体" w:hAnsi="宋体"/>
                <w:sz w:val="18"/>
                <w:szCs w:val="18"/>
                <w:highlight w:val="none"/>
              </w:rPr>
              <w:t>一般公共预算</w:t>
            </w:r>
          </w:p>
        </w:tc>
        <w:tc>
          <w:tcPr>
            <w:tcW w:w="900" w:type="dxa"/>
            <w:shd w:val="clear" w:color="auto" w:fill="auto"/>
            <w:vAlign w:val="center"/>
          </w:tcPr>
          <w:p>
            <w:pPr>
              <w:jc w:val="center"/>
              <w:rPr>
                <w:rFonts w:hint="eastAsia" w:ascii="宋体" w:hAnsi="宋体"/>
                <w:sz w:val="18"/>
                <w:szCs w:val="18"/>
                <w:highlight w:val="none"/>
              </w:rPr>
            </w:pPr>
            <w:r>
              <w:rPr>
                <w:rFonts w:hint="eastAsia" w:ascii="宋体" w:hAnsi="宋体"/>
                <w:sz w:val="18"/>
                <w:szCs w:val="18"/>
                <w:highlight w:val="none"/>
              </w:rPr>
              <w:t>上级一般公共预算安排的转移支付</w:t>
            </w:r>
          </w:p>
        </w:tc>
        <w:tc>
          <w:tcPr>
            <w:tcW w:w="900" w:type="dxa"/>
            <w:shd w:val="clear" w:color="auto" w:fill="auto"/>
            <w:vAlign w:val="center"/>
          </w:tcPr>
          <w:p>
            <w:pPr>
              <w:jc w:val="center"/>
              <w:rPr>
                <w:rFonts w:hint="eastAsia" w:ascii="宋体" w:hAnsi="宋体"/>
                <w:sz w:val="18"/>
                <w:szCs w:val="18"/>
                <w:highlight w:val="none"/>
              </w:rPr>
            </w:pPr>
            <w:r>
              <w:rPr>
                <w:rFonts w:hint="eastAsia" w:ascii="宋体" w:hAnsi="宋体"/>
                <w:sz w:val="18"/>
                <w:szCs w:val="18"/>
                <w:highlight w:val="none"/>
              </w:rPr>
              <w:t>政府性基金预算</w:t>
            </w:r>
          </w:p>
        </w:tc>
        <w:tc>
          <w:tcPr>
            <w:tcW w:w="900" w:type="dxa"/>
            <w:shd w:val="clear" w:color="auto" w:fill="auto"/>
            <w:vAlign w:val="center"/>
          </w:tcPr>
          <w:p>
            <w:pPr>
              <w:jc w:val="center"/>
              <w:rPr>
                <w:rFonts w:hint="eastAsia" w:ascii="宋体" w:hAnsi="宋体"/>
                <w:sz w:val="18"/>
                <w:szCs w:val="18"/>
                <w:highlight w:val="none"/>
              </w:rPr>
            </w:pPr>
            <w:r>
              <w:rPr>
                <w:rFonts w:hint="eastAsia" w:ascii="宋体" w:hAnsi="宋体"/>
                <w:sz w:val="18"/>
                <w:szCs w:val="18"/>
                <w:highlight w:val="none"/>
              </w:rPr>
              <w:t>上级政府性基金安排的转移支付</w:t>
            </w:r>
          </w:p>
        </w:tc>
        <w:tc>
          <w:tcPr>
            <w:tcW w:w="900" w:type="dxa"/>
            <w:shd w:val="clear" w:color="auto" w:fill="auto"/>
            <w:vAlign w:val="center"/>
          </w:tcPr>
          <w:p>
            <w:pPr>
              <w:jc w:val="center"/>
              <w:rPr>
                <w:rFonts w:hint="eastAsia" w:ascii="宋体" w:hAnsi="宋体"/>
                <w:sz w:val="18"/>
                <w:szCs w:val="18"/>
                <w:highlight w:val="none"/>
              </w:rPr>
            </w:pPr>
            <w:r>
              <w:rPr>
                <w:rFonts w:hint="eastAsia" w:ascii="宋体" w:hAnsi="宋体"/>
                <w:sz w:val="18"/>
                <w:szCs w:val="18"/>
                <w:highlight w:val="none"/>
              </w:rPr>
              <w:t>国有资本经营预算</w:t>
            </w:r>
          </w:p>
        </w:tc>
        <w:tc>
          <w:tcPr>
            <w:tcW w:w="900" w:type="dxa"/>
            <w:shd w:val="clear" w:color="auto" w:fill="auto"/>
            <w:vAlign w:val="center"/>
          </w:tcPr>
          <w:p>
            <w:pPr>
              <w:jc w:val="center"/>
              <w:rPr>
                <w:rFonts w:hint="default" w:ascii="宋体" w:hAnsi="宋体"/>
                <w:sz w:val="18"/>
                <w:szCs w:val="18"/>
                <w:highlight w:val="none"/>
              </w:rPr>
            </w:pPr>
            <w:r>
              <w:rPr>
                <w:rFonts w:hint="eastAsia" w:ascii="宋体" w:hAnsi="宋体"/>
                <w:sz w:val="18"/>
                <w:szCs w:val="18"/>
                <w:highlight w:val="none"/>
              </w:rPr>
              <w:t>上级国有资本经营预算安排的转移支付</w:t>
            </w:r>
          </w:p>
        </w:tc>
        <w:tc>
          <w:tcPr>
            <w:tcW w:w="900" w:type="dxa"/>
            <w:vMerge w:val="continue"/>
            <w:shd w:val="clear" w:color="auto" w:fill="auto"/>
          </w:tcPr>
          <w:p>
            <w:pPr>
              <w:jc w:val="center"/>
              <w:rPr>
                <w:rFonts w:hint="default" w:ascii="宋体" w:hAnsi="宋体"/>
                <w:sz w:val="18"/>
                <w:szCs w:val="18"/>
                <w:highlight w:val="none"/>
              </w:rPr>
            </w:pPr>
          </w:p>
        </w:tc>
        <w:tc>
          <w:tcPr>
            <w:tcW w:w="900" w:type="dxa"/>
            <w:vMerge w:val="continue"/>
            <w:shd w:val="clear" w:color="auto" w:fill="auto"/>
          </w:tcPr>
          <w:p>
            <w:pPr>
              <w:jc w:val="center"/>
              <w:rPr>
                <w:rFonts w:hint="default" w:ascii="宋体" w:hAnsi="宋体"/>
                <w:sz w:val="18"/>
                <w:szCs w:val="18"/>
                <w:highlight w:val="none"/>
              </w:rPr>
            </w:pPr>
          </w:p>
        </w:tc>
        <w:tc>
          <w:tcPr>
            <w:tcW w:w="900" w:type="dxa"/>
            <w:vMerge w:val="continue"/>
            <w:shd w:val="clear" w:color="auto" w:fill="auto"/>
          </w:tcPr>
          <w:p>
            <w:pPr>
              <w:jc w:val="center"/>
              <w:rPr>
                <w:rFonts w:hint="default" w:ascii="宋体" w:hAnsi="宋体"/>
                <w:sz w:val="18"/>
                <w:szCs w:val="18"/>
                <w:highlight w:val="none"/>
              </w:rPr>
            </w:pPr>
          </w:p>
        </w:tc>
        <w:tc>
          <w:tcPr>
            <w:tcW w:w="900" w:type="dxa"/>
            <w:vMerge w:val="continue"/>
            <w:shd w:val="clear" w:color="auto" w:fill="auto"/>
          </w:tcPr>
          <w:p>
            <w:pPr>
              <w:jc w:val="center"/>
              <w:rPr>
                <w:rFonts w:hint="default"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5"/>
                <w:szCs w:val="15"/>
                <w:highlight w:val="none"/>
              </w:rPr>
              <w:t>208</w:t>
            </w:r>
          </w:p>
        </w:tc>
        <w:tc>
          <w:tcPr>
            <w:tcW w:w="260" w:type="dxa"/>
            <w:shd w:val="clear" w:color="auto" w:fill="auto"/>
            <w:vAlign w:val="center"/>
          </w:tcPr>
          <w:p>
            <w:pPr>
              <w:jc w:val="center"/>
              <w:rPr>
                <w:rFonts w:hint="default" w:ascii="宋体" w:hAnsi="宋体"/>
                <w:b/>
                <w:sz w:val="18"/>
                <w:szCs w:val="18"/>
                <w:highlight w:val="none"/>
              </w:rPr>
            </w:pPr>
          </w:p>
        </w:tc>
        <w:tc>
          <w:tcPr>
            <w:tcW w:w="260" w:type="dxa"/>
            <w:shd w:val="clear" w:color="auto" w:fill="auto"/>
            <w:vAlign w:val="center"/>
          </w:tcPr>
          <w:p>
            <w:pPr>
              <w:jc w:val="center"/>
              <w:rPr>
                <w:rFonts w:hint="default" w:ascii="宋体" w:hAnsi="宋体"/>
                <w:b/>
                <w:sz w:val="18"/>
                <w:szCs w:val="18"/>
                <w:highlight w:val="none"/>
              </w:rPr>
            </w:pPr>
          </w:p>
        </w:tc>
        <w:tc>
          <w:tcPr>
            <w:tcW w:w="2500" w:type="dxa"/>
            <w:shd w:val="clear" w:color="auto" w:fill="auto"/>
            <w:vAlign w:val="center"/>
          </w:tcPr>
          <w:p>
            <w:pPr>
              <w:jc w:val="left"/>
              <w:rPr>
                <w:rFonts w:hint="default" w:ascii="宋体" w:hAnsi="宋体"/>
                <w:b/>
                <w:sz w:val="18"/>
                <w:szCs w:val="18"/>
                <w:highlight w:val="none"/>
              </w:rPr>
            </w:pPr>
            <w:r>
              <w:rPr>
                <w:rFonts w:hint="eastAsia" w:ascii="宋体" w:hAnsi="宋体"/>
                <w:b/>
                <w:color w:val="000000"/>
                <w:sz w:val="15"/>
                <w:szCs w:val="15"/>
                <w:highlight w:val="none"/>
              </w:rPr>
              <w:t>社会保障和就业支出</w:t>
            </w:r>
          </w:p>
        </w:tc>
        <w:tc>
          <w:tcPr>
            <w:tcW w:w="1140"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50.08</w:t>
            </w:r>
          </w:p>
        </w:tc>
        <w:tc>
          <w:tcPr>
            <w:tcW w:w="900"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50.08</w:t>
            </w:r>
          </w:p>
        </w:tc>
        <w:tc>
          <w:tcPr>
            <w:tcW w:w="900"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50.08</w:t>
            </w:r>
          </w:p>
        </w:tc>
        <w:tc>
          <w:tcPr>
            <w:tcW w:w="900" w:type="dxa"/>
            <w:shd w:val="clear" w:color="auto" w:fill="auto"/>
            <w:vAlign w:val="center"/>
          </w:tcPr>
          <w:p>
            <w:pPr>
              <w:jc w:val="right"/>
              <w:rPr>
                <w:rFonts w:hint="default" w:ascii="宋体" w:hAnsi="宋体"/>
                <w:b/>
                <w:sz w:val="15"/>
                <w:szCs w:val="15"/>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eastAsia" w:ascii="宋体" w:hAnsi="宋体"/>
                <w:b/>
                <w:color w:val="000000"/>
                <w:sz w:val="18"/>
                <w:szCs w:val="18"/>
                <w:highlight w:val="none"/>
              </w:rPr>
            </w:pPr>
          </w:p>
        </w:tc>
        <w:tc>
          <w:tcPr>
            <w:tcW w:w="900" w:type="dxa"/>
            <w:shd w:val="clear" w:color="auto" w:fill="auto"/>
            <w:vAlign w:val="center"/>
          </w:tcPr>
          <w:p>
            <w:pPr>
              <w:jc w:val="right"/>
              <w:rPr>
                <w:rFonts w:hint="eastAsia" w:ascii="宋体" w:hAnsi="宋体"/>
                <w:b/>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5"/>
                <w:szCs w:val="15"/>
                <w:highlight w:val="none"/>
              </w:rPr>
              <w:t>208</w:t>
            </w:r>
          </w:p>
        </w:tc>
        <w:tc>
          <w:tcPr>
            <w:tcW w:w="260"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5"/>
                <w:szCs w:val="15"/>
                <w:highlight w:val="none"/>
              </w:rPr>
              <w:t>05</w:t>
            </w:r>
          </w:p>
        </w:tc>
        <w:tc>
          <w:tcPr>
            <w:tcW w:w="260" w:type="dxa"/>
            <w:shd w:val="clear" w:color="auto" w:fill="auto"/>
            <w:vAlign w:val="center"/>
          </w:tcPr>
          <w:p>
            <w:pPr>
              <w:jc w:val="center"/>
              <w:rPr>
                <w:rFonts w:hint="default" w:ascii="宋体" w:hAnsi="宋体"/>
                <w:b/>
                <w:sz w:val="18"/>
                <w:szCs w:val="18"/>
                <w:highlight w:val="none"/>
              </w:rPr>
            </w:pPr>
          </w:p>
        </w:tc>
        <w:tc>
          <w:tcPr>
            <w:tcW w:w="2500" w:type="dxa"/>
            <w:shd w:val="clear" w:color="auto" w:fill="auto"/>
            <w:vAlign w:val="center"/>
          </w:tcPr>
          <w:p>
            <w:pPr>
              <w:jc w:val="left"/>
              <w:rPr>
                <w:rFonts w:hint="default" w:ascii="宋体" w:hAnsi="宋体"/>
                <w:b/>
                <w:sz w:val="18"/>
                <w:szCs w:val="18"/>
                <w:highlight w:val="none"/>
              </w:rPr>
            </w:pPr>
            <w:r>
              <w:rPr>
                <w:rFonts w:hint="eastAsia" w:ascii="宋体" w:hAnsi="宋体"/>
                <w:b/>
                <w:color w:val="000000"/>
                <w:sz w:val="15"/>
                <w:szCs w:val="15"/>
                <w:highlight w:val="none"/>
              </w:rPr>
              <w:t xml:space="preserve">  行政事业单位养老支出</w:t>
            </w:r>
          </w:p>
        </w:tc>
        <w:tc>
          <w:tcPr>
            <w:tcW w:w="1140"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50.08</w:t>
            </w:r>
          </w:p>
        </w:tc>
        <w:tc>
          <w:tcPr>
            <w:tcW w:w="900"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50.08</w:t>
            </w:r>
          </w:p>
        </w:tc>
        <w:tc>
          <w:tcPr>
            <w:tcW w:w="900"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50.08</w:t>
            </w:r>
          </w:p>
        </w:tc>
        <w:tc>
          <w:tcPr>
            <w:tcW w:w="900" w:type="dxa"/>
            <w:shd w:val="clear" w:color="auto" w:fill="auto"/>
            <w:vAlign w:val="center"/>
          </w:tcPr>
          <w:p>
            <w:pPr>
              <w:jc w:val="right"/>
              <w:rPr>
                <w:rFonts w:hint="default" w:ascii="宋体" w:hAnsi="宋体"/>
                <w:b/>
                <w:sz w:val="15"/>
                <w:szCs w:val="15"/>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eastAsia" w:ascii="宋体" w:hAnsi="宋体"/>
                <w:b/>
                <w:color w:val="000000"/>
                <w:sz w:val="18"/>
                <w:szCs w:val="18"/>
                <w:highlight w:val="none"/>
              </w:rPr>
            </w:pPr>
          </w:p>
        </w:tc>
        <w:tc>
          <w:tcPr>
            <w:tcW w:w="900" w:type="dxa"/>
            <w:shd w:val="clear" w:color="auto" w:fill="auto"/>
            <w:vAlign w:val="center"/>
          </w:tcPr>
          <w:p>
            <w:pPr>
              <w:jc w:val="right"/>
              <w:rPr>
                <w:rFonts w:hint="eastAsia" w:ascii="宋体" w:hAnsi="宋体"/>
                <w:b/>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208</w:t>
            </w:r>
          </w:p>
        </w:tc>
        <w:tc>
          <w:tcPr>
            <w:tcW w:w="26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05</w:t>
            </w:r>
          </w:p>
        </w:tc>
        <w:tc>
          <w:tcPr>
            <w:tcW w:w="26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02</w:t>
            </w:r>
          </w:p>
        </w:tc>
        <w:tc>
          <w:tcPr>
            <w:tcW w:w="2500" w:type="dxa"/>
            <w:shd w:val="clear" w:color="auto" w:fill="auto"/>
            <w:vAlign w:val="center"/>
          </w:tcPr>
          <w:p>
            <w:pPr>
              <w:jc w:val="left"/>
              <w:rPr>
                <w:rFonts w:hint="default" w:ascii="宋体" w:hAnsi="宋体"/>
                <w:sz w:val="18"/>
                <w:szCs w:val="18"/>
                <w:highlight w:val="none"/>
              </w:rPr>
            </w:pPr>
            <w:r>
              <w:rPr>
                <w:rFonts w:hint="eastAsia" w:ascii="宋体" w:hAnsi="宋体"/>
                <w:color w:val="000000"/>
                <w:sz w:val="15"/>
                <w:szCs w:val="15"/>
                <w:highlight w:val="none"/>
              </w:rPr>
              <w:t xml:space="preserve">    事业单位离退休</w:t>
            </w:r>
          </w:p>
        </w:tc>
        <w:tc>
          <w:tcPr>
            <w:tcW w:w="1140"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5.08</w:t>
            </w:r>
          </w:p>
        </w:tc>
        <w:tc>
          <w:tcPr>
            <w:tcW w:w="900"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5.08</w:t>
            </w:r>
          </w:p>
        </w:tc>
        <w:tc>
          <w:tcPr>
            <w:tcW w:w="900"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5.08</w:t>
            </w:r>
          </w:p>
        </w:tc>
        <w:tc>
          <w:tcPr>
            <w:tcW w:w="900" w:type="dxa"/>
            <w:shd w:val="clear" w:color="auto" w:fill="auto"/>
            <w:vAlign w:val="center"/>
          </w:tcPr>
          <w:p>
            <w:pPr>
              <w:jc w:val="right"/>
              <w:rPr>
                <w:rFonts w:hint="default" w:ascii="宋体" w:hAnsi="宋体"/>
                <w:sz w:val="15"/>
                <w:szCs w:val="15"/>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eastAsia" w:ascii="宋体" w:hAnsi="宋体"/>
                <w:color w:val="000000"/>
                <w:sz w:val="18"/>
                <w:szCs w:val="18"/>
                <w:highlight w:val="none"/>
              </w:rPr>
            </w:pPr>
          </w:p>
        </w:tc>
        <w:tc>
          <w:tcPr>
            <w:tcW w:w="900" w:type="dxa"/>
            <w:shd w:val="clear" w:color="auto" w:fill="auto"/>
            <w:vAlign w:val="center"/>
          </w:tcPr>
          <w:p>
            <w:pPr>
              <w:jc w:val="right"/>
              <w:rPr>
                <w:rFonts w:hint="eastAsia"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208</w:t>
            </w:r>
          </w:p>
        </w:tc>
        <w:tc>
          <w:tcPr>
            <w:tcW w:w="26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05</w:t>
            </w:r>
          </w:p>
        </w:tc>
        <w:tc>
          <w:tcPr>
            <w:tcW w:w="26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05</w:t>
            </w:r>
          </w:p>
        </w:tc>
        <w:tc>
          <w:tcPr>
            <w:tcW w:w="2500" w:type="dxa"/>
            <w:shd w:val="clear" w:color="auto" w:fill="auto"/>
            <w:vAlign w:val="center"/>
          </w:tcPr>
          <w:p>
            <w:pPr>
              <w:jc w:val="left"/>
              <w:rPr>
                <w:rFonts w:hint="default" w:ascii="宋体" w:hAnsi="宋体"/>
                <w:sz w:val="18"/>
                <w:szCs w:val="18"/>
                <w:highlight w:val="none"/>
              </w:rPr>
            </w:pPr>
            <w:r>
              <w:rPr>
                <w:rFonts w:hint="eastAsia" w:ascii="宋体" w:hAnsi="宋体"/>
                <w:color w:val="000000"/>
                <w:sz w:val="15"/>
                <w:szCs w:val="15"/>
                <w:highlight w:val="none"/>
              </w:rPr>
              <w:t xml:space="preserve">    机关事业单位基本养老保险缴费支出</w:t>
            </w:r>
          </w:p>
        </w:tc>
        <w:tc>
          <w:tcPr>
            <w:tcW w:w="1140"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30.00</w:t>
            </w:r>
          </w:p>
        </w:tc>
        <w:tc>
          <w:tcPr>
            <w:tcW w:w="900"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30.00</w:t>
            </w:r>
          </w:p>
        </w:tc>
        <w:tc>
          <w:tcPr>
            <w:tcW w:w="900"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30.00</w:t>
            </w:r>
          </w:p>
        </w:tc>
        <w:tc>
          <w:tcPr>
            <w:tcW w:w="900" w:type="dxa"/>
            <w:shd w:val="clear" w:color="auto" w:fill="auto"/>
            <w:vAlign w:val="center"/>
          </w:tcPr>
          <w:p>
            <w:pPr>
              <w:jc w:val="right"/>
              <w:rPr>
                <w:rFonts w:hint="default" w:ascii="宋体" w:hAnsi="宋体"/>
                <w:sz w:val="15"/>
                <w:szCs w:val="15"/>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eastAsia" w:ascii="宋体" w:hAnsi="宋体"/>
                <w:color w:val="000000"/>
                <w:sz w:val="18"/>
                <w:szCs w:val="18"/>
                <w:highlight w:val="none"/>
              </w:rPr>
            </w:pPr>
          </w:p>
        </w:tc>
        <w:tc>
          <w:tcPr>
            <w:tcW w:w="900" w:type="dxa"/>
            <w:shd w:val="clear" w:color="auto" w:fill="auto"/>
            <w:vAlign w:val="center"/>
          </w:tcPr>
          <w:p>
            <w:pPr>
              <w:jc w:val="right"/>
              <w:rPr>
                <w:rFonts w:hint="eastAsia"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208</w:t>
            </w:r>
          </w:p>
        </w:tc>
        <w:tc>
          <w:tcPr>
            <w:tcW w:w="26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05</w:t>
            </w:r>
          </w:p>
        </w:tc>
        <w:tc>
          <w:tcPr>
            <w:tcW w:w="26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06</w:t>
            </w:r>
          </w:p>
        </w:tc>
        <w:tc>
          <w:tcPr>
            <w:tcW w:w="2500" w:type="dxa"/>
            <w:shd w:val="clear" w:color="auto" w:fill="auto"/>
            <w:vAlign w:val="center"/>
          </w:tcPr>
          <w:p>
            <w:pPr>
              <w:jc w:val="left"/>
              <w:rPr>
                <w:rFonts w:hint="default" w:ascii="宋体" w:hAnsi="宋体"/>
                <w:sz w:val="18"/>
                <w:szCs w:val="18"/>
                <w:highlight w:val="none"/>
              </w:rPr>
            </w:pPr>
            <w:r>
              <w:rPr>
                <w:rFonts w:hint="eastAsia" w:ascii="宋体" w:hAnsi="宋体"/>
                <w:color w:val="000000"/>
                <w:sz w:val="15"/>
                <w:szCs w:val="15"/>
                <w:highlight w:val="none"/>
              </w:rPr>
              <w:t xml:space="preserve">    机关事业单位职业年金缴费支出</w:t>
            </w:r>
          </w:p>
        </w:tc>
        <w:tc>
          <w:tcPr>
            <w:tcW w:w="1140"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15.00</w:t>
            </w:r>
          </w:p>
        </w:tc>
        <w:tc>
          <w:tcPr>
            <w:tcW w:w="900"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15.00</w:t>
            </w:r>
          </w:p>
        </w:tc>
        <w:tc>
          <w:tcPr>
            <w:tcW w:w="900"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15.00</w:t>
            </w:r>
          </w:p>
        </w:tc>
        <w:tc>
          <w:tcPr>
            <w:tcW w:w="900" w:type="dxa"/>
            <w:shd w:val="clear" w:color="auto" w:fill="auto"/>
            <w:vAlign w:val="center"/>
          </w:tcPr>
          <w:p>
            <w:pPr>
              <w:jc w:val="right"/>
              <w:rPr>
                <w:rFonts w:hint="default" w:ascii="宋体" w:hAnsi="宋体"/>
                <w:sz w:val="15"/>
                <w:szCs w:val="15"/>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eastAsia" w:ascii="宋体" w:hAnsi="宋体"/>
                <w:color w:val="000000"/>
                <w:sz w:val="18"/>
                <w:szCs w:val="18"/>
                <w:highlight w:val="none"/>
              </w:rPr>
            </w:pPr>
          </w:p>
        </w:tc>
        <w:tc>
          <w:tcPr>
            <w:tcW w:w="900" w:type="dxa"/>
            <w:shd w:val="clear" w:color="auto" w:fill="auto"/>
            <w:vAlign w:val="center"/>
          </w:tcPr>
          <w:p>
            <w:pPr>
              <w:jc w:val="right"/>
              <w:rPr>
                <w:rFonts w:hint="eastAsia"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5"/>
                <w:szCs w:val="15"/>
                <w:highlight w:val="none"/>
              </w:rPr>
              <w:t>210</w:t>
            </w:r>
          </w:p>
        </w:tc>
        <w:tc>
          <w:tcPr>
            <w:tcW w:w="260" w:type="dxa"/>
            <w:shd w:val="clear" w:color="auto" w:fill="auto"/>
            <w:vAlign w:val="center"/>
          </w:tcPr>
          <w:p>
            <w:pPr>
              <w:jc w:val="center"/>
              <w:rPr>
                <w:rFonts w:hint="default" w:ascii="宋体" w:hAnsi="宋体"/>
                <w:b/>
                <w:sz w:val="18"/>
                <w:szCs w:val="18"/>
                <w:highlight w:val="none"/>
              </w:rPr>
            </w:pPr>
          </w:p>
        </w:tc>
        <w:tc>
          <w:tcPr>
            <w:tcW w:w="260" w:type="dxa"/>
            <w:shd w:val="clear" w:color="auto" w:fill="auto"/>
            <w:vAlign w:val="center"/>
          </w:tcPr>
          <w:p>
            <w:pPr>
              <w:jc w:val="center"/>
              <w:rPr>
                <w:rFonts w:hint="default" w:ascii="宋体" w:hAnsi="宋体"/>
                <w:b/>
                <w:sz w:val="18"/>
                <w:szCs w:val="18"/>
                <w:highlight w:val="none"/>
              </w:rPr>
            </w:pPr>
          </w:p>
        </w:tc>
        <w:tc>
          <w:tcPr>
            <w:tcW w:w="2500" w:type="dxa"/>
            <w:shd w:val="clear" w:color="auto" w:fill="auto"/>
            <w:vAlign w:val="center"/>
          </w:tcPr>
          <w:p>
            <w:pPr>
              <w:jc w:val="left"/>
              <w:rPr>
                <w:rFonts w:hint="default" w:ascii="宋体" w:hAnsi="宋体"/>
                <w:b/>
                <w:sz w:val="18"/>
                <w:szCs w:val="18"/>
                <w:highlight w:val="none"/>
              </w:rPr>
            </w:pPr>
            <w:r>
              <w:rPr>
                <w:rFonts w:hint="eastAsia" w:ascii="宋体" w:hAnsi="宋体"/>
                <w:b/>
                <w:color w:val="000000"/>
                <w:sz w:val="15"/>
                <w:szCs w:val="15"/>
                <w:highlight w:val="none"/>
              </w:rPr>
              <w:t>卫生健康支出</w:t>
            </w:r>
          </w:p>
        </w:tc>
        <w:tc>
          <w:tcPr>
            <w:tcW w:w="1140"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34.20</w:t>
            </w:r>
          </w:p>
        </w:tc>
        <w:tc>
          <w:tcPr>
            <w:tcW w:w="900"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34.20</w:t>
            </w:r>
          </w:p>
        </w:tc>
        <w:tc>
          <w:tcPr>
            <w:tcW w:w="900"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34.20</w:t>
            </w:r>
          </w:p>
        </w:tc>
        <w:tc>
          <w:tcPr>
            <w:tcW w:w="900" w:type="dxa"/>
            <w:shd w:val="clear" w:color="auto" w:fill="auto"/>
            <w:vAlign w:val="center"/>
          </w:tcPr>
          <w:p>
            <w:pPr>
              <w:jc w:val="right"/>
              <w:rPr>
                <w:rFonts w:hint="default" w:ascii="宋体" w:hAnsi="宋体"/>
                <w:b/>
                <w:sz w:val="15"/>
                <w:szCs w:val="15"/>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eastAsia" w:ascii="宋体" w:hAnsi="宋体"/>
                <w:b/>
                <w:color w:val="000000"/>
                <w:sz w:val="18"/>
                <w:szCs w:val="18"/>
                <w:highlight w:val="none"/>
              </w:rPr>
            </w:pPr>
          </w:p>
        </w:tc>
        <w:tc>
          <w:tcPr>
            <w:tcW w:w="900" w:type="dxa"/>
            <w:shd w:val="clear" w:color="auto" w:fill="auto"/>
            <w:vAlign w:val="center"/>
          </w:tcPr>
          <w:p>
            <w:pPr>
              <w:jc w:val="right"/>
              <w:rPr>
                <w:rFonts w:hint="eastAsia" w:ascii="宋体" w:hAnsi="宋体"/>
                <w:b/>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5"/>
                <w:szCs w:val="15"/>
                <w:highlight w:val="none"/>
              </w:rPr>
              <w:t>210</w:t>
            </w:r>
          </w:p>
        </w:tc>
        <w:tc>
          <w:tcPr>
            <w:tcW w:w="260"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5"/>
                <w:szCs w:val="15"/>
                <w:highlight w:val="none"/>
              </w:rPr>
              <w:t>11</w:t>
            </w:r>
          </w:p>
        </w:tc>
        <w:tc>
          <w:tcPr>
            <w:tcW w:w="260" w:type="dxa"/>
            <w:shd w:val="clear" w:color="auto" w:fill="auto"/>
            <w:vAlign w:val="center"/>
          </w:tcPr>
          <w:p>
            <w:pPr>
              <w:jc w:val="center"/>
              <w:rPr>
                <w:rFonts w:hint="default" w:ascii="宋体" w:hAnsi="宋体"/>
                <w:b/>
                <w:sz w:val="18"/>
                <w:szCs w:val="18"/>
                <w:highlight w:val="none"/>
              </w:rPr>
            </w:pPr>
          </w:p>
        </w:tc>
        <w:tc>
          <w:tcPr>
            <w:tcW w:w="2500" w:type="dxa"/>
            <w:shd w:val="clear" w:color="auto" w:fill="auto"/>
            <w:vAlign w:val="center"/>
          </w:tcPr>
          <w:p>
            <w:pPr>
              <w:jc w:val="left"/>
              <w:rPr>
                <w:rFonts w:hint="default" w:ascii="宋体" w:hAnsi="宋体"/>
                <w:b/>
                <w:sz w:val="18"/>
                <w:szCs w:val="18"/>
                <w:highlight w:val="none"/>
              </w:rPr>
            </w:pPr>
            <w:r>
              <w:rPr>
                <w:rFonts w:hint="eastAsia" w:ascii="宋体" w:hAnsi="宋体"/>
                <w:b/>
                <w:color w:val="000000"/>
                <w:sz w:val="15"/>
                <w:szCs w:val="15"/>
                <w:highlight w:val="none"/>
              </w:rPr>
              <w:t xml:space="preserve">  行政事业单位医疗</w:t>
            </w:r>
          </w:p>
        </w:tc>
        <w:tc>
          <w:tcPr>
            <w:tcW w:w="1140"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34.20</w:t>
            </w:r>
          </w:p>
        </w:tc>
        <w:tc>
          <w:tcPr>
            <w:tcW w:w="900"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34.20</w:t>
            </w:r>
          </w:p>
        </w:tc>
        <w:tc>
          <w:tcPr>
            <w:tcW w:w="900"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34.20</w:t>
            </w:r>
          </w:p>
        </w:tc>
        <w:tc>
          <w:tcPr>
            <w:tcW w:w="900" w:type="dxa"/>
            <w:shd w:val="clear" w:color="auto" w:fill="auto"/>
            <w:vAlign w:val="center"/>
          </w:tcPr>
          <w:p>
            <w:pPr>
              <w:jc w:val="right"/>
              <w:rPr>
                <w:rFonts w:hint="default" w:ascii="宋体" w:hAnsi="宋体"/>
                <w:b/>
                <w:sz w:val="15"/>
                <w:szCs w:val="15"/>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eastAsia" w:ascii="宋体" w:hAnsi="宋体"/>
                <w:b/>
                <w:color w:val="000000"/>
                <w:sz w:val="18"/>
                <w:szCs w:val="18"/>
                <w:highlight w:val="none"/>
              </w:rPr>
            </w:pPr>
          </w:p>
        </w:tc>
        <w:tc>
          <w:tcPr>
            <w:tcW w:w="900" w:type="dxa"/>
            <w:shd w:val="clear" w:color="auto" w:fill="auto"/>
            <w:vAlign w:val="center"/>
          </w:tcPr>
          <w:p>
            <w:pPr>
              <w:jc w:val="right"/>
              <w:rPr>
                <w:rFonts w:hint="eastAsia" w:ascii="宋体" w:hAnsi="宋体"/>
                <w:b/>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210</w:t>
            </w:r>
          </w:p>
        </w:tc>
        <w:tc>
          <w:tcPr>
            <w:tcW w:w="26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11</w:t>
            </w:r>
          </w:p>
        </w:tc>
        <w:tc>
          <w:tcPr>
            <w:tcW w:w="26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02</w:t>
            </w:r>
          </w:p>
        </w:tc>
        <w:tc>
          <w:tcPr>
            <w:tcW w:w="2500" w:type="dxa"/>
            <w:shd w:val="clear" w:color="auto" w:fill="auto"/>
            <w:vAlign w:val="center"/>
          </w:tcPr>
          <w:p>
            <w:pPr>
              <w:jc w:val="left"/>
              <w:rPr>
                <w:rFonts w:hint="default" w:ascii="宋体" w:hAnsi="宋体"/>
                <w:sz w:val="18"/>
                <w:szCs w:val="18"/>
                <w:highlight w:val="none"/>
              </w:rPr>
            </w:pPr>
            <w:r>
              <w:rPr>
                <w:rFonts w:hint="eastAsia" w:ascii="宋体" w:hAnsi="宋体"/>
                <w:color w:val="000000"/>
                <w:sz w:val="15"/>
                <w:szCs w:val="15"/>
                <w:highlight w:val="none"/>
              </w:rPr>
              <w:t xml:space="preserve">    事业单位医疗</w:t>
            </w:r>
          </w:p>
        </w:tc>
        <w:tc>
          <w:tcPr>
            <w:tcW w:w="1140"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20.20</w:t>
            </w:r>
          </w:p>
        </w:tc>
        <w:tc>
          <w:tcPr>
            <w:tcW w:w="900"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20.20</w:t>
            </w:r>
          </w:p>
        </w:tc>
        <w:tc>
          <w:tcPr>
            <w:tcW w:w="900"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20.20</w:t>
            </w:r>
          </w:p>
        </w:tc>
        <w:tc>
          <w:tcPr>
            <w:tcW w:w="900" w:type="dxa"/>
            <w:shd w:val="clear" w:color="auto" w:fill="auto"/>
            <w:vAlign w:val="center"/>
          </w:tcPr>
          <w:p>
            <w:pPr>
              <w:jc w:val="right"/>
              <w:rPr>
                <w:rFonts w:hint="default" w:ascii="宋体" w:hAnsi="宋体"/>
                <w:sz w:val="15"/>
                <w:szCs w:val="15"/>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eastAsia" w:ascii="宋体" w:hAnsi="宋体"/>
                <w:color w:val="000000"/>
                <w:sz w:val="18"/>
                <w:szCs w:val="18"/>
                <w:highlight w:val="none"/>
              </w:rPr>
            </w:pPr>
          </w:p>
        </w:tc>
        <w:tc>
          <w:tcPr>
            <w:tcW w:w="900" w:type="dxa"/>
            <w:shd w:val="clear" w:color="auto" w:fill="auto"/>
            <w:vAlign w:val="center"/>
          </w:tcPr>
          <w:p>
            <w:pPr>
              <w:jc w:val="right"/>
              <w:rPr>
                <w:rFonts w:hint="eastAsia"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210</w:t>
            </w:r>
          </w:p>
        </w:tc>
        <w:tc>
          <w:tcPr>
            <w:tcW w:w="26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11</w:t>
            </w:r>
          </w:p>
        </w:tc>
        <w:tc>
          <w:tcPr>
            <w:tcW w:w="26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03</w:t>
            </w:r>
          </w:p>
        </w:tc>
        <w:tc>
          <w:tcPr>
            <w:tcW w:w="2500" w:type="dxa"/>
            <w:shd w:val="clear" w:color="auto" w:fill="auto"/>
            <w:vAlign w:val="center"/>
          </w:tcPr>
          <w:p>
            <w:pPr>
              <w:jc w:val="left"/>
              <w:rPr>
                <w:rFonts w:hint="default" w:ascii="宋体" w:hAnsi="宋体"/>
                <w:sz w:val="18"/>
                <w:szCs w:val="18"/>
                <w:highlight w:val="none"/>
              </w:rPr>
            </w:pPr>
            <w:r>
              <w:rPr>
                <w:rFonts w:hint="eastAsia" w:ascii="宋体" w:hAnsi="宋体"/>
                <w:color w:val="000000"/>
                <w:sz w:val="15"/>
                <w:szCs w:val="15"/>
                <w:highlight w:val="none"/>
              </w:rPr>
              <w:t xml:space="preserve">    公务员医疗补助</w:t>
            </w:r>
          </w:p>
        </w:tc>
        <w:tc>
          <w:tcPr>
            <w:tcW w:w="1140"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14.00</w:t>
            </w:r>
          </w:p>
        </w:tc>
        <w:tc>
          <w:tcPr>
            <w:tcW w:w="900"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14.00</w:t>
            </w:r>
          </w:p>
        </w:tc>
        <w:tc>
          <w:tcPr>
            <w:tcW w:w="900"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14.00</w:t>
            </w:r>
          </w:p>
        </w:tc>
        <w:tc>
          <w:tcPr>
            <w:tcW w:w="900" w:type="dxa"/>
            <w:shd w:val="clear" w:color="auto" w:fill="auto"/>
            <w:vAlign w:val="center"/>
          </w:tcPr>
          <w:p>
            <w:pPr>
              <w:jc w:val="right"/>
              <w:rPr>
                <w:rFonts w:hint="default" w:ascii="宋体" w:hAnsi="宋体"/>
                <w:sz w:val="15"/>
                <w:szCs w:val="15"/>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eastAsia" w:ascii="宋体" w:hAnsi="宋体"/>
                <w:color w:val="000000"/>
                <w:sz w:val="18"/>
                <w:szCs w:val="18"/>
                <w:highlight w:val="none"/>
              </w:rPr>
            </w:pPr>
          </w:p>
        </w:tc>
        <w:tc>
          <w:tcPr>
            <w:tcW w:w="900" w:type="dxa"/>
            <w:shd w:val="clear" w:color="auto" w:fill="auto"/>
            <w:vAlign w:val="center"/>
          </w:tcPr>
          <w:p>
            <w:pPr>
              <w:jc w:val="right"/>
              <w:rPr>
                <w:rFonts w:hint="eastAsia"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5"/>
                <w:szCs w:val="15"/>
                <w:highlight w:val="none"/>
              </w:rPr>
              <w:t>215</w:t>
            </w:r>
          </w:p>
        </w:tc>
        <w:tc>
          <w:tcPr>
            <w:tcW w:w="260" w:type="dxa"/>
            <w:shd w:val="clear" w:color="auto" w:fill="auto"/>
            <w:vAlign w:val="center"/>
          </w:tcPr>
          <w:p>
            <w:pPr>
              <w:jc w:val="center"/>
              <w:rPr>
                <w:rFonts w:hint="default" w:ascii="宋体" w:hAnsi="宋体"/>
                <w:b/>
                <w:sz w:val="18"/>
                <w:szCs w:val="18"/>
                <w:highlight w:val="none"/>
              </w:rPr>
            </w:pPr>
          </w:p>
        </w:tc>
        <w:tc>
          <w:tcPr>
            <w:tcW w:w="260" w:type="dxa"/>
            <w:shd w:val="clear" w:color="auto" w:fill="auto"/>
            <w:vAlign w:val="center"/>
          </w:tcPr>
          <w:p>
            <w:pPr>
              <w:jc w:val="center"/>
              <w:rPr>
                <w:rFonts w:hint="default" w:ascii="宋体" w:hAnsi="宋体"/>
                <w:b/>
                <w:sz w:val="18"/>
                <w:szCs w:val="18"/>
                <w:highlight w:val="none"/>
              </w:rPr>
            </w:pPr>
          </w:p>
        </w:tc>
        <w:tc>
          <w:tcPr>
            <w:tcW w:w="2500" w:type="dxa"/>
            <w:shd w:val="clear" w:color="auto" w:fill="auto"/>
            <w:vAlign w:val="center"/>
          </w:tcPr>
          <w:p>
            <w:pPr>
              <w:jc w:val="left"/>
              <w:rPr>
                <w:rFonts w:hint="default" w:ascii="宋体" w:hAnsi="宋体"/>
                <w:b/>
                <w:sz w:val="18"/>
                <w:szCs w:val="18"/>
                <w:highlight w:val="none"/>
              </w:rPr>
            </w:pPr>
            <w:r>
              <w:rPr>
                <w:rFonts w:hint="eastAsia" w:ascii="宋体" w:hAnsi="宋体"/>
                <w:b/>
                <w:color w:val="000000"/>
                <w:sz w:val="15"/>
                <w:szCs w:val="15"/>
                <w:highlight w:val="none"/>
              </w:rPr>
              <w:t>资源勘探工业信息等支出</w:t>
            </w:r>
          </w:p>
        </w:tc>
        <w:tc>
          <w:tcPr>
            <w:tcW w:w="1140"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806.86</w:t>
            </w:r>
          </w:p>
        </w:tc>
        <w:tc>
          <w:tcPr>
            <w:tcW w:w="900"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496.22</w:t>
            </w:r>
          </w:p>
        </w:tc>
        <w:tc>
          <w:tcPr>
            <w:tcW w:w="900"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194.08</w:t>
            </w:r>
          </w:p>
        </w:tc>
        <w:tc>
          <w:tcPr>
            <w:tcW w:w="900" w:type="dxa"/>
            <w:shd w:val="clear" w:color="auto" w:fill="auto"/>
            <w:vAlign w:val="center"/>
          </w:tcPr>
          <w:p>
            <w:pPr>
              <w:jc w:val="right"/>
              <w:rPr>
                <w:rFonts w:hint="default" w:ascii="宋体" w:hAnsi="宋体"/>
                <w:b/>
                <w:sz w:val="15"/>
                <w:szCs w:val="15"/>
                <w:highlight w:val="none"/>
              </w:rPr>
            </w:pPr>
            <w:r>
              <w:rPr>
                <w:rFonts w:hint="eastAsia" w:ascii="宋体" w:hAnsi="宋体"/>
                <w:b/>
                <w:color w:val="000000"/>
                <w:sz w:val="15"/>
                <w:szCs w:val="15"/>
                <w:highlight w:val="none"/>
              </w:rPr>
              <w:t>302.14</w:t>
            </w: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eastAsia" w:ascii="宋体" w:hAnsi="宋体"/>
                <w:b/>
                <w:color w:val="000000"/>
                <w:sz w:val="18"/>
                <w:szCs w:val="18"/>
                <w:highlight w:val="none"/>
              </w:rPr>
            </w:pPr>
            <w:r>
              <w:rPr>
                <w:rFonts w:hint="eastAsia" w:ascii="宋体" w:hAnsi="宋体"/>
                <w:b/>
                <w:color w:val="000000"/>
                <w:sz w:val="15"/>
                <w:szCs w:val="15"/>
                <w:highlight w:val="none"/>
              </w:rPr>
              <w:t>310.63</w:t>
            </w:r>
          </w:p>
        </w:tc>
        <w:tc>
          <w:tcPr>
            <w:tcW w:w="900" w:type="dxa"/>
            <w:shd w:val="clear" w:color="auto" w:fill="auto"/>
            <w:vAlign w:val="center"/>
          </w:tcPr>
          <w:p>
            <w:pPr>
              <w:jc w:val="right"/>
              <w:rPr>
                <w:rFonts w:hint="eastAsia" w:ascii="宋体" w:hAnsi="宋体"/>
                <w:b/>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5"/>
                <w:szCs w:val="15"/>
                <w:highlight w:val="none"/>
              </w:rPr>
              <w:t>215</w:t>
            </w:r>
          </w:p>
        </w:tc>
        <w:tc>
          <w:tcPr>
            <w:tcW w:w="260"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5"/>
                <w:szCs w:val="15"/>
                <w:highlight w:val="none"/>
              </w:rPr>
              <w:t>05</w:t>
            </w:r>
          </w:p>
        </w:tc>
        <w:tc>
          <w:tcPr>
            <w:tcW w:w="260" w:type="dxa"/>
            <w:shd w:val="clear" w:color="auto" w:fill="auto"/>
            <w:vAlign w:val="center"/>
          </w:tcPr>
          <w:p>
            <w:pPr>
              <w:jc w:val="center"/>
              <w:rPr>
                <w:rFonts w:hint="default" w:ascii="宋体" w:hAnsi="宋体"/>
                <w:b/>
                <w:sz w:val="18"/>
                <w:szCs w:val="18"/>
                <w:highlight w:val="none"/>
              </w:rPr>
            </w:pPr>
          </w:p>
        </w:tc>
        <w:tc>
          <w:tcPr>
            <w:tcW w:w="2500" w:type="dxa"/>
            <w:shd w:val="clear" w:color="auto" w:fill="auto"/>
            <w:vAlign w:val="center"/>
          </w:tcPr>
          <w:p>
            <w:pPr>
              <w:jc w:val="left"/>
              <w:rPr>
                <w:rFonts w:hint="default" w:ascii="宋体" w:hAnsi="宋体"/>
                <w:b/>
                <w:sz w:val="18"/>
                <w:szCs w:val="18"/>
                <w:highlight w:val="none"/>
              </w:rPr>
            </w:pPr>
            <w:r>
              <w:rPr>
                <w:rFonts w:hint="eastAsia" w:ascii="宋体" w:hAnsi="宋体"/>
                <w:b/>
                <w:color w:val="000000"/>
                <w:sz w:val="15"/>
                <w:szCs w:val="15"/>
                <w:highlight w:val="none"/>
              </w:rPr>
              <w:t xml:space="preserve">  工业和信息产业</w:t>
            </w:r>
          </w:p>
        </w:tc>
        <w:tc>
          <w:tcPr>
            <w:tcW w:w="1140"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806.86</w:t>
            </w:r>
          </w:p>
        </w:tc>
        <w:tc>
          <w:tcPr>
            <w:tcW w:w="900"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496.22</w:t>
            </w:r>
          </w:p>
        </w:tc>
        <w:tc>
          <w:tcPr>
            <w:tcW w:w="900"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194.08</w:t>
            </w:r>
          </w:p>
        </w:tc>
        <w:tc>
          <w:tcPr>
            <w:tcW w:w="900" w:type="dxa"/>
            <w:shd w:val="clear" w:color="auto" w:fill="auto"/>
            <w:vAlign w:val="center"/>
          </w:tcPr>
          <w:p>
            <w:pPr>
              <w:jc w:val="right"/>
              <w:rPr>
                <w:rFonts w:hint="default" w:ascii="宋体" w:hAnsi="宋体"/>
                <w:b/>
                <w:sz w:val="15"/>
                <w:szCs w:val="15"/>
                <w:highlight w:val="none"/>
              </w:rPr>
            </w:pPr>
            <w:r>
              <w:rPr>
                <w:rFonts w:hint="eastAsia" w:ascii="宋体" w:hAnsi="宋体"/>
                <w:b/>
                <w:color w:val="000000"/>
                <w:sz w:val="15"/>
                <w:szCs w:val="15"/>
                <w:highlight w:val="none"/>
              </w:rPr>
              <w:t>302.14</w:t>
            </w: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eastAsia" w:ascii="宋体" w:hAnsi="宋体"/>
                <w:b/>
                <w:color w:val="000000"/>
                <w:sz w:val="18"/>
                <w:szCs w:val="18"/>
                <w:highlight w:val="none"/>
              </w:rPr>
            </w:pPr>
            <w:r>
              <w:rPr>
                <w:rFonts w:hint="eastAsia" w:ascii="宋体" w:hAnsi="宋体"/>
                <w:b/>
                <w:color w:val="000000"/>
                <w:sz w:val="15"/>
                <w:szCs w:val="15"/>
                <w:highlight w:val="none"/>
              </w:rPr>
              <w:t>310.63</w:t>
            </w:r>
          </w:p>
        </w:tc>
        <w:tc>
          <w:tcPr>
            <w:tcW w:w="900" w:type="dxa"/>
            <w:shd w:val="clear" w:color="auto" w:fill="auto"/>
            <w:vAlign w:val="center"/>
          </w:tcPr>
          <w:p>
            <w:pPr>
              <w:jc w:val="right"/>
              <w:rPr>
                <w:rFonts w:hint="eastAsia" w:ascii="宋体" w:hAnsi="宋体"/>
                <w:b/>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215</w:t>
            </w:r>
          </w:p>
        </w:tc>
        <w:tc>
          <w:tcPr>
            <w:tcW w:w="26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05</w:t>
            </w:r>
          </w:p>
        </w:tc>
        <w:tc>
          <w:tcPr>
            <w:tcW w:w="26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08</w:t>
            </w:r>
          </w:p>
        </w:tc>
        <w:tc>
          <w:tcPr>
            <w:tcW w:w="2500" w:type="dxa"/>
            <w:shd w:val="clear" w:color="auto" w:fill="auto"/>
            <w:vAlign w:val="center"/>
          </w:tcPr>
          <w:p>
            <w:pPr>
              <w:jc w:val="left"/>
              <w:rPr>
                <w:rFonts w:hint="default" w:ascii="宋体" w:hAnsi="宋体"/>
                <w:sz w:val="18"/>
                <w:szCs w:val="18"/>
                <w:highlight w:val="none"/>
              </w:rPr>
            </w:pPr>
            <w:r>
              <w:rPr>
                <w:rFonts w:hint="eastAsia" w:ascii="宋体" w:hAnsi="宋体"/>
                <w:color w:val="000000"/>
                <w:sz w:val="15"/>
                <w:szCs w:val="15"/>
                <w:highlight w:val="none"/>
              </w:rPr>
              <w:t xml:space="preserve">    无线电及信息通信监管</w:t>
            </w:r>
          </w:p>
        </w:tc>
        <w:tc>
          <w:tcPr>
            <w:tcW w:w="1140"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806.86</w:t>
            </w:r>
          </w:p>
        </w:tc>
        <w:tc>
          <w:tcPr>
            <w:tcW w:w="900"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496.22</w:t>
            </w:r>
          </w:p>
        </w:tc>
        <w:tc>
          <w:tcPr>
            <w:tcW w:w="900"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194.08</w:t>
            </w:r>
          </w:p>
        </w:tc>
        <w:tc>
          <w:tcPr>
            <w:tcW w:w="900" w:type="dxa"/>
            <w:shd w:val="clear" w:color="auto" w:fill="auto"/>
            <w:vAlign w:val="center"/>
          </w:tcPr>
          <w:p>
            <w:pPr>
              <w:jc w:val="right"/>
              <w:rPr>
                <w:rFonts w:hint="default" w:ascii="宋体" w:hAnsi="宋体"/>
                <w:sz w:val="15"/>
                <w:szCs w:val="15"/>
                <w:highlight w:val="none"/>
              </w:rPr>
            </w:pPr>
            <w:r>
              <w:rPr>
                <w:rFonts w:hint="eastAsia" w:ascii="宋体" w:hAnsi="宋体"/>
                <w:color w:val="000000"/>
                <w:sz w:val="15"/>
                <w:szCs w:val="15"/>
                <w:highlight w:val="none"/>
              </w:rPr>
              <w:t>302.14</w:t>
            </w: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eastAsia" w:ascii="宋体" w:hAnsi="宋体"/>
                <w:color w:val="000000"/>
                <w:sz w:val="18"/>
                <w:szCs w:val="18"/>
                <w:highlight w:val="none"/>
              </w:rPr>
            </w:pPr>
            <w:r>
              <w:rPr>
                <w:rFonts w:hint="eastAsia" w:ascii="宋体" w:hAnsi="宋体"/>
                <w:color w:val="000000"/>
                <w:sz w:val="15"/>
                <w:szCs w:val="15"/>
                <w:highlight w:val="none"/>
              </w:rPr>
              <w:t>310.63</w:t>
            </w:r>
          </w:p>
        </w:tc>
        <w:tc>
          <w:tcPr>
            <w:tcW w:w="900" w:type="dxa"/>
            <w:shd w:val="clear" w:color="auto" w:fill="auto"/>
            <w:vAlign w:val="center"/>
          </w:tcPr>
          <w:p>
            <w:pPr>
              <w:jc w:val="right"/>
              <w:rPr>
                <w:rFonts w:hint="eastAsia"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5"/>
                <w:szCs w:val="15"/>
                <w:highlight w:val="none"/>
              </w:rPr>
              <w:t>221</w:t>
            </w:r>
          </w:p>
        </w:tc>
        <w:tc>
          <w:tcPr>
            <w:tcW w:w="260" w:type="dxa"/>
            <w:shd w:val="clear" w:color="auto" w:fill="auto"/>
            <w:vAlign w:val="center"/>
          </w:tcPr>
          <w:p>
            <w:pPr>
              <w:jc w:val="center"/>
              <w:rPr>
                <w:rFonts w:hint="default" w:ascii="宋体" w:hAnsi="宋体"/>
                <w:b/>
                <w:sz w:val="18"/>
                <w:szCs w:val="18"/>
                <w:highlight w:val="none"/>
              </w:rPr>
            </w:pPr>
          </w:p>
        </w:tc>
        <w:tc>
          <w:tcPr>
            <w:tcW w:w="260" w:type="dxa"/>
            <w:shd w:val="clear" w:color="auto" w:fill="auto"/>
            <w:vAlign w:val="center"/>
          </w:tcPr>
          <w:p>
            <w:pPr>
              <w:jc w:val="center"/>
              <w:rPr>
                <w:rFonts w:hint="default" w:ascii="宋体" w:hAnsi="宋体"/>
                <w:b/>
                <w:sz w:val="18"/>
                <w:szCs w:val="18"/>
                <w:highlight w:val="none"/>
              </w:rPr>
            </w:pPr>
          </w:p>
        </w:tc>
        <w:tc>
          <w:tcPr>
            <w:tcW w:w="2500" w:type="dxa"/>
            <w:shd w:val="clear" w:color="auto" w:fill="auto"/>
            <w:vAlign w:val="center"/>
          </w:tcPr>
          <w:p>
            <w:pPr>
              <w:jc w:val="left"/>
              <w:rPr>
                <w:rFonts w:hint="default" w:ascii="宋体" w:hAnsi="宋体"/>
                <w:b/>
                <w:sz w:val="18"/>
                <w:szCs w:val="18"/>
                <w:highlight w:val="none"/>
              </w:rPr>
            </w:pPr>
            <w:r>
              <w:rPr>
                <w:rFonts w:hint="eastAsia" w:ascii="宋体" w:hAnsi="宋体"/>
                <w:b/>
                <w:color w:val="000000"/>
                <w:sz w:val="15"/>
                <w:szCs w:val="15"/>
                <w:highlight w:val="none"/>
              </w:rPr>
              <w:t>住房保障支出</w:t>
            </w:r>
          </w:p>
        </w:tc>
        <w:tc>
          <w:tcPr>
            <w:tcW w:w="1140"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23.00</w:t>
            </w:r>
          </w:p>
        </w:tc>
        <w:tc>
          <w:tcPr>
            <w:tcW w:w="900"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23.00</w:t>
            </w:r>
          </w:p>
        </w:tc>
        <w:tc>
          <w:tcPr>
            <w:tcW w:w="900"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23.00</w:t>
            </w:r>
          </w:p>
        </w:tc>
        <w:tc>
          <w:tcPr>
            <w:tcW w:w="900" w:type="dxa"/>
            <w:shd w:val="clear" w:color="auto" w:fill="auto"/>
            <w:vAlign w:val="center"/>
          </w:tcPr>
          <w:p>
            <w:pPr>
              <w:jc w:val="right"/>
              <w:rPr>
                <w:rFonts w:hint="default" w:ascii="宋体" w:hAnsi="宋体"/>
                <w:b/>
                <w:sz w:val="15"/>
                <w:szCs w:val="15"/>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eastAsia" w:ascii="宋体" w:hAnsi="宋体"/>
                <w:b/>
                <w:color w:val="000000"/>
                <w:sz w:val="18"/>
                <w:szCs w:val="18"/>
                <w:highlight w:val="none"/>
              </w:rPr>
            </w:pPr>
          </w:p>
        </w:tc>
        <w:tc>
          <w:tcPr>
            <w:tcW w:w="900" w:type="dxa"/>
            <w:shd w:val="clear" w:color="auto" w:fill="auto"/>
            <w:vAlign w:val="center"/>
          </w:tcPr>
          <w:p>
            <w:pPr>
              <w:jc w:val="right"/>
              <w:rPr>
                <w:rFonts w:hint="eastAsia" w:ascii="宋体" w:hAnsi="宋体"/>
                <w:b/>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5"/>
                <w:szCs w:val="15"/>
                <w:highlight w:val="none"/>
              </w:rPr>
              <w:t>221</w:t>
            </w:r>
          </w:p>
        </w:tc>
        <w:tc>
          <w:tcPr>
            <w:tcW w:w="260"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5"/>
                <w:szCs w:val="15"/>
                <w:highlight w:val="none"/>
              </w:rPr>
              <w:t>02</w:t>
            </w:r>
          </w:p>
        </w:tc>
        <w:tc>
          <w:tcPr>
            <w:tcW w:w="260" w:type="dxa"/>
            <w:shd w:val="clear" w:color="auto" w:fill="auto"/>
            <w:vAlign w:val="center"/>
          </w:tcPr>
          <w:p>
            <w:pPr>
              <w:jc w:val="center"/>
              <w:rPr>
                <w:rFonts w:hint="default" w:ascii="宋体" w:hAnsi="宋体"/>
                <w:b/>
                <w:sz w:val="18"/>
                <w:szCs w:val="18"/>
                <w:highlight w:val="none"/>
              </w:rPr>
            </w:pPr>
          </w:p>
        </w:tc>
        <w:tc>
          <w:tcPr>
            <w:tcW w:w="2500" w:type="dxa"/>
            <w:shd w:val="clear" w:color="auto" w:fill="auto"/>
            <w:vAlign w:val="center"/>
          </w:tcPr>
          <w:p>
            <w:pPr>
              <w:jc w:val="left"/>
              <w:rPr>
                <w:rFonts w:hint="default" w:ascii="宋体" w:hAnsi="宋体"/>
                <w:b/>
                <w:sz w:val="18"/>
                <w:szCs w:val="18"/>
                <w:highlight w:val="none"/>
              </w:rPr>
            </w:pPr>
            <w:r>
              <w:rPr>
                <w:rFonts w:hint="eastAsia" w:ascii="宋体" w:hAnsi="宋体"/>
                <w:b/>
                <w:color w:val="000000"/>
                <w:sz w:val="15"/>
                <w:szCs w:val="15"/>
                <w:highlight w:val="none"/>
              </w:rPr>
              <w:t xml:space="preserve">  住房改革支出</w:t>
            </w:r>
          </w:p>
        </w:tc>
        <w:tc>
          <w:tcPr>
            <w:tcW w:w="1140"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23.00</w:t>
            </w:r>
          </w:p>
        </w:tc>
        <w:tc>
          <w:tcPr>
            <w:tcW w:w="900"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23.00</w:t>
            </w:r>
          </w:p>
        </w:tc>
        <w:tc>
          <w:tcPr>
            <w:tcW w:w="900"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23.00</w:t>
            </w:r>
          </w:p>
        </w:tc>
        <w:tc>
          <w:tcPr>
            <w:tcW w:w="900" w:type="dxa"/>
            <w:shd w:val="clear" w:color="auto" w:fill="auto"/>
            <w:vAlign w:val="center"/>
          </w:tcPr>
          <w:p>
            <w:pPr>
              <w:jc w:val="right"/>
              <w:rPr>
                <w:rFonts w:hint="default" w:ascii="宋体" w:hAnsi="宋体"/>
                <w:b/>
                <w:sz w:val="15"/>
                <w:szCs w:val="15"/>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eastAsia" w:ascii="宋体" w:hAnsi="宋体"/>
                <w:b/>
                <w:color w:val="000000"/>
                <w:sz w:val="18"/>
                <w:szCs w:val="18"/>
                <w:highlight w:val="none"/>
              </w:rPr>
            </w:pPr>
          </w:p>
        </w:tc>
        <w:tc>
          <w:tcPr>
            <w:tcW w:w="900" w:type="dxa"/>
            <w:shd w:val="clear" w:color="auto" w:fill="auto"/>
            <w:vAlign w:val="center"/>
          </w:tcPr>
          <w:p>
            <w:pPr>
              <w:jc w:val="right"/>
              <w:rPr>
                <w:rFonts w:hint="eastAsia" w:ascii="宋体" w:hAnsi="宋体"/>
                <w:b/>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221</w:t>
            </w:r>
          </w:p>
        </w:tc>
        <w:tc>
          <w:tcPr>
            <w:tcW w:w="26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02</w:t>
            </w:r>
          </w:p>
        </w:tc>
        <w:tc>
          <w:tcPr>
            <w:tcW w:w="26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01</w:t>
            </w:r>
          </w:p>
        </w:tc>
        <w:tc>
          <w:tcPr>
            <w:tcW w:w="2500" w:type="dxa"/>
            <w:shd w:val="clear" w:color="auto" w:fill="auto"/>
            <w:vAlign w:val="center"/>
          </w:tcPr>
          <w:p>
            <w:pPr>
              <w:jc w:val="left"/>
              <w:rPr>
                <w:rFonts w:hint="default" w:ascii="宋体" w:hAnsi="宋体"/>
                <w:sz w:val="18"/>
                <w:szCs w:val="18"/>
                <w:highlight w:val="none"/>
              </w:rPr>
            </w:pPr>
            <w:r>
              <w:rPr>
                <w:rFonts w:hint="eastAsia" w:ascii="宋体" w:hAnsi="宋体"/>
                <w:color w:val="000000"/>
                <w:sz w:val="15"/>
                <w:szCs w:val="15"/>
                <w:highlight w:val="none"/>
              </w:rPr>
              <w:t xml:space="preserve">    住房公积金</w:t>
            </w:r>
          </w:p>
        </w:tc>
        <w:tc>
          <w:tcPr>
            <w:tcW w:w="1140"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23.00</w:t>
            </w:r>
          </w:p>
        </w:tc>
        <w:tc>
          <w:tcPr>
            <w:tcW w:w="900"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23.00</w:t>
            </w:r>
          </w:p>
        </w:tc>
        <w:tc>
          <w:tcPr>
            <w:tcW w:w="900"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23.00</w:t>
            </w:r>
          </w:p>
        </w:tc>
        <w:tc>
          <w:tcPr>
            <w:tcW w:w="900" w:type="dxa"/>
            <w:shd w:val="clear" w:color="auto" w:fill="auto"/>
            <w:vAlign w:val="center"/>
          </w:tcPr>
          <w:p>
            <w:pPr>
              <w:jc w:val="right"/>
              <w:rPr>
                <w:rFonts w:hint="default" w:ascii="宋体" w:hAnsi="宋体"/>
                <w:sz w:val="15"/>
                <w:szCs w:val="15"/>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eastAsia" w:ascii="宋体" w:hAnsi="宋体"/>
                <w:color w:val="000000"/>
                <w:sz w:val="18"/>
                <w:szCs w:val="18"/>
                <w:highlight w:val="none"/>
              </w:rPr>
            </w:pPr>
          </w:p>
        </w:tc>
        <w:tc>
          <w:tcPr>
            <w:tcW w:w="900" w:type="dxa"/>
            <w:shd w:val="clear" w:color="auto" w:fill="auto"/>
            <w:vAlign w:val="center"/>
          </w:tcPr>
          <w:p>
            <w:pPr>
              <w:jc w:val="right"/>
              <w:rPr>
                <w:rFonts w:hint="eastAsia"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highlight w:val="none"/>
              </w:rPr>
            </w:pPr>
          </w:p>
        </w:tc>
        <w:tc>
          <w:tcPr>
            <w:tcW w:w="260" w:type="dxa"/>
            <w:shd w:val="clear" w:color="auto" w:fill="auto"/>
            <w:vAlign w:val="center"/>
          </w:tcPr>
          <w:p>
            <w:pPr>
              <w:jc w:val="center"/>
              <w:rPr>
                <w:rFonts w:hint="default" w:ascii="宋体" w:hAnsi="宋体"/>
                <w:b/>
                <w:sz w:val="18"/>
                <w:szCs w:val="18"/>
                <w:highlight w:val="none"/>
              </w:rPr>
            </w:pPr>
          </w:p>
        </w:tc>
        <w:tc>
          <w:tcPr>
            <w:tcW w:w="260" w:type="dxa"/>
            <w:shd w:val="clear" w:color="auto" w:fill="auto"/>
            <w:vAlign w:val="center"/>
          </w:tcPr>
          <w:p>
            <w:pPr>
              <w:jc w:val="center"/>
              <w:rPr>
                <w:rFonts w:hint="default" w:ascii="宋体" w:hAnsi="宋体"/>
                <w:b/>
                <w:sz w:val="18"/>
                <w:szCs w:val="18"/>
                <w:highlight w:val="none"/>
              </w:rPr>
            </w:pPr>
          </w:p>
        </w:tc>
        <w:tc>
          <w:tcPr>
            <w:tcW w:w="2500"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5"/>
                <w:szCs w:val="15"/>
                <w:highlight w:val="none"/>
              </w:rPr>
              <w:t>总计</w:t>
            </w:r>
          </w:p>
        </w:tc>
        <w:tc>
          <w:tcPr>
            <w:tcW w:w="1140"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914.14</w:t>
            </w:r>
          </w:p>
        </w:tc>
        <w:tc>
          <w:tcPr>
            <w:tcW w:w="900"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603.51</w:t>
            </w:r>
          </w:p>
        </w:tc>
        <w:tc>
          <w:tcPr>
            <w:tcW w:w="900"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301.37</w:t>
            </w:r>
          </w:p>
        </w:tc>
        <w:tc>
          <w:tcPr>
            <w:tcW w:w="900" w:type="dxa"/>
            <w:shd w:val="clear" w:color="auto" w:fill="auto"/>
            <w:vAlign w:val="center"/>
          </w:tcPr>
          <w:p>
            <w:pPr>
              <w:jc w:val="right"/>
              <w:rPr>
                <w:rFonts w:hint="default" w:ascii="宋体" w:hAnsi="宋体"/>
                <w:b/>
                <w:sz w:val="15"/>
                <w:szCs w:val="15"/>
                <w:highlight w:val="none"/>
              </w:rPr>
            </w:pPr>
            <w:r>
              <w:rPr>
                <w:rFonts w:hint="eastAsia" w:ascii="宋体" w:hAnsi="宋体"/>
                <w:b/>
                <w:color w:val="000000"/>
                <w:sz w:val="15"/>
                <w:szCs w:val="15"/>
                <w:highlight w:val="none"/>
              </w:rPr>
              <w:t>302.14</w:t>
            </w: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eastAsia" w:ascii="宋体" w:hAnsi="宋体"/>
                <w:b/>
                <w:color w:val="000000"/>
                <w:sz w:val="18"/>
                <w:szCs w:val="18"/>
                <w:highlight w:val="none"/>
              </w:rPr>
            </w:pPr>
            <w:r>
              <w:rPr>
                <w:rFonts w:hint="eastAsia" w:ascii="宋体" w:hAnsi="宋体"/>
                <w:b/>
                <w:color w:val="000000"/>
                <w:sz w:val="15"/>
                <w:szCs w:val="15"/>
                <w:highlight w:val="none"/>
              </w:rPr>
              <w:t>310.63</w:t>
            </w:r>
          </w:p>
        </w:tc>
        <w:tc>
          <w:tcPr>
            <w:tcW w:w="900" w:type="dxa"/>
            <w:shd w:val="clear" w:color="auto" w:fill="auto"/>
            <w:vAlign w:val="center"/>
          </w:tcPr>
          <w:p>
            <w:pPr>
              <w:jc w:val="right"/>
              <w:rPr>
                <w:rFonts w:hint="eastAsia" w:ascii="宋体" w:hAnsi="宋体"/>
                <w:b/>
                <w:color w:val="000000"/>
                <w:sz w:val="18"/>
                <w:szCs w:val="18"/>
                <w:highlight w:val="none"/>
              </w:rPr>
            </w:pPr>
          </w:p>
        </w:tc>
      </w:tr>
    </w:tbl>
    <w:p>
      <w:pPr>
        <w:widowControl/>
        <w:jc w:val="left"/>
        <w:rPr>
          <w:rFonts w:hint="default" w:ascii="仿宋" w:eastAsia="仿宋"/>
          <w:b/>
          <w:color w:val="000000"/>
          <w:szCs w:val="21"/>
          <w:highlight w:val="none"/>
        </w:rPr>
        <w:sectPr>
          <w:pgSz w:w="16838" w:h="11906" w:orient="landscape"/>
          <w:pgMar w:top="1134" w:right="1134" w:bottom="1134" w:left="1134" w:header="851" w:footer="992" w:gutter="0"/>
          <w:cols w:space="425" w:num="1"/>
          <w:docGrid w:type="lines" w:linePitch="312" w:charSpace="0"/>
        </w:sectPr>
      </w:pPr>
    </w:p>
    <w:p>
      <w:pPr>
        <w:jc w:val="left"/>
        <w:rPr>
          <w:rFonts w:hint="default" w:ascii="宋体" w:hAnsi="宋体"/>
          <w:color w:val="000000"/>
          <w:sz w:val="18"/>
          <w:szCs w:val="18"/>
          <w:highlight w:val="none"/>
        </w:rPr>
      </w:pPr>
      <w:r>
        <w:rPr>
          <w:rFonts w:hint="eastAsia" w:ascii="宋体" w:hAnsi="宋体"/>
          <w:color w:val="000000"/>
          <w:sz w:val="18"/>
          <w:szCs w:val="18"/>
          <w:highlight w:val="none"/>
        </w:rPr>
        <w:t>表3</w:t>
      </w:r>
    </w:p>
    <w:p>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单位支出总体情况表</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4169"/>
        <w:gridCol w:w="1306"/>
        <w:gridCol w:w="1032"/>
        <w:gridCol w:w="274"/>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8175" w:type="dxa"/>
            <w:gridSpan w:val="6"/>
            <w:tcBorders>
              <w:top w:val="nil"/>
              <w:left w:val="nil"/>
              <w:right w:val="nil"/>
            </w:tcBorders>
            <w:shd w:val="clear" w:color="auto" w:fill="auto"/>
            <w:vAlign w:val="center"/>
          </w:tcPr>
          <w:p>
            <w:pPr>
              <w:jc w:val="left"/>
              <w:rPr>
                <w:sz w:val="18"/>
                <w:szCs w:val="18"/>
                <w:highlight w:val="none"/>
              </w:rPr>
            </w:pPr>
            <w:r>
              <w:rPr>
                <w:rFonts w:hint="eastAsia"/>
                <w:color w:val="000000"/>
                <w:sz w:val="18"/>
                <w:szCs w:val="18"/>
                <w:highlight w:val="none"/>
              </w:rPr>
              <w:t>编制单位：新疆维吾尔自治区无线电监测中心</w:t>
            </w:r>
          </w:p>
        </w:tc>
        <w:tc>
          <w:tcPr>
            <w:tcW w:w="1679" w:type="dxa"/>
            <w:gridSpan w:val="2"/>
            <w:tcBorders>
              <w:top w:val="nil"/>
              <w:left w:val="nil"/>
              <w:right w:val="nil"/>
            </w:tcBorders>
            <w:shd w:val="clear" w:color="auto" w:fill="auto"/>
            <w:vAlign w:val="center"/>
          </w:tcPr>
          <w:p>
            <w:pPr>
              <w:jc w:val="right"/>
              <w:rPr>
                <w:sz w:val="18"/>
                <w:szCs w:val="18"/>
                <w:highlight w:val="none"/>
              </w:rPr>
            </w:pPr>
            <w:r>
              <w:rPr>
                <w:rFonts w:hint="eastAsia"/>
                <w:color w:val="000000"/>
                <w:sz w:val="18"/>
                <w:szCs w:val="18"/>
                <w:highlight w:val="none"/>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5837" w:type="dxa"/>
            <w:gridSpan w:val="4"/>
            <w:shd w:val="clear" w:color="auto" w:fill="auto"/>
            <w:vAlign w:val="center"/>
          </w:tcPr>
          <w:p>
            <w:pPr>
              <w:jc w:val="center"/>
              <w:rPr>
                <w:sz w:val="18"/>
                <w:szCs w:val="18"/>
                <w:highlight w:val="none"/>
              </w:rPr>
            </w:pPr>
            <w:r>
              <w:rPr>
                <w:rFonts w:hint="eastAsia"/>
                <w:sz w:val="18"/>
                <w:szCs w:val="18"/>
                <w:highlight w:val="none"/>
              </w:rPr>
              <w:t>科目</w:t>
            </w:r>
          </w:p>
        </w:tc>
        <w:tc>
          <w:tcPr>
            <w:tcW w:w="4017" w:type="dxa"/>
            <w:gridSpan w:val="4"/>
            <w:shd w:val="clear" w:color="auto" w:fill="auto"/>
            <w:vAlign w:val="center"/>
          </w:tcPr>
          <w:p>
            <w:pPr>
              <w:jc w:val="center"/>
              <w:rPr>
                <w:sz w:val="18"/>
                <w:szCs w:val="18"/>
                <w:highlight w:val="none"/>
              </w:rPr>
            </w:pPr>
            <w:r>
              <w:rPr>
                <w:rFonts w:hint="eastAsia"/>
                <w:sz w:val="18"/>
                <w:szCs w:val="18"/>
                <w:highlight w:val="none"/>
              </w:rPr>
              <w:t>支出预算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04" w:hRule="atLeast"/>
          <w:tblHeader/>
        </w:trPr>
        <w:tc>
          <w:tcPr>
            <w:tcW w:w="1668" w:type="dxa"/>
            <w:gridSpan w:val="3"/>
            <w:shd w:val="clear" w:color="auto" w:fill="auto"/>
            <w:vAlign w:val="center"/>
          </w:tcPr>
          <w:p>
            <w:pPr>
              <w:jc w:val="center"/>
              <w:rPr>
                <w:sz w:val="18"/>
                <w:szCs w:val="18"/>
                <w:highlight w:val="none"/>
              </w:rPr>
            </w:pPr>
            <w:r>
              <w:rPr>
                <w:rFonts w:hint="eastAsia"/>
                <w:sz w:val="18"/>
                <w:szCs w:val="18"/>
                <w:highlight w:val="none"/>
              </w:rPr>
              <w:t>科目代码</w:t>
            </w:r>
          </w:p>
        </w:tc>
        <w:tc>
          <w:tcPr>
            <w:tcW w:w="4169" w:type="dxa"/>
            <w:vMerge w:val="restart"/>
            <w:shd w:val="clear" w:color="auto" w:fill="auto"/>
            <w:vAlign w:val="center"/>
          </w:tcPr>
          <w:p>
            <w:pPr>
              <w:jc w:val="center"/>
              <w:rPr>
                <w:sz w:val="18"/>
                <w:szCs w:val="18"/>
                <w:highlight w:val="none"/>
              </w:rPr>
            </w:pPr>
            <w:r>
              <w:rPr>
                <w:rFonts w:hint="eastAsia"/>
                <w:sz w:val="18"/>
                <w:szCs w:val="18"/>
                <w:highlight w:val="none"/>
              </w:rPr>
              <w:t>科目名称</w:t>
            </w:r>
          </w:p>
        </w:tc>
        <w:tc>
          <w:tcPr>
            <w:tcW w:w="1306" w:type="dxa"/>
            <w:vMerge w:val="restart"/>
            <w:shd w:val="clear" w:color="auto" w:fill="auto"/>
            <w:vAlign w:val="center"/>
          </w:tcPr>
          <w:p>
            <w:pPr>
              <w:jc w:val="center"/>
              <w:rPr>
                <w:sz w:val="18"/>
                <w:szCs w:val="18"/>
                <w:highlight w:val="none"/>
              </w:rPr>
            </w:pPr>
            <w:r>
              <w:rPr>
                <w:rFonts w:hint="eastAsia"/>
                <w:sz w:val="18"/>
                <w:szCs w:val="18"/>
                <w:highlight w:val="none"/>
              </w:rPr>
              <w:t>合计</w:t>
            </w:r>
          </w:p>
        </w:tc>
        <w:tc>
          <w:tcPr>
            <w:tcW w:w="1306" w:type="dxa"/>
            <w:gridSpan w:val="2"/>
            <w:vMerge w:val="restart"/>
            <w:shd w:val="clear" w:color="auto" w:fill="auto"/>
            <w:vAlign w:val="center"/>
          </w:tcPr>
          <w:p>
            <w:pPr>
              <w:jc w:val="center"/>
              <w:rPr>
                <w:sz w:val="18"/>
                <w:szCs w:val="18"/>
                <w:highlight w:val="none"/>
              </w:rPr>
            </w:pPr>
            <w:r>
              <w:rPr>
                <w:rFonts w:hint="eastAsia"/>
                <w:sz w:val="18"/>
                <w:szCs w:val="18"/>
                <w:highlight w:val="none"/>
              </w:rPr>
              <w:t>基本支出</w:t>
            </w:r>
          </w:p>
        </w:tc>
        <w:tc>
          <w:tcPr>
            <w:tcW w:w="1405" w:type="dxa"/>
            <w:vMerge w:val="restart"/>
            <w:shd w:val="clear" w:color="auto" w:fill="auto"/>
            <w:vAlign w:val="center"/>
          </w:tcPr>
          <w:p>
            <w:pPr>
              <w:jc w:val="center"/>
              <w:rPr>
                <w:sz w:val="18"/>
                <w:szCs w:val="18"/>
                <w:highlight w:val="none"/>
              </w:rPr>
            </w:pPr>
            <w:r>
              <w:rPr>
                <w:rFonts w:hint="eastAsia"/>
                <w:sz w:val="18"/>
                <w:szCs w:val="18"/>
                <w:highlight w:val="none"/>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tblHeader/>
        </w:trPr>
        <w:tc>
          <w:tcPr>
            <w:tcW w:w="534" w:type="dxa"/>
            <w:shd w:val="clear" w:color="auto" w:fill="auto"/>
            <w:vAlign w:val="center"/>
          </w:tcPr>
          <w:p>
            <w:pPr>
              <w:jc w:val="center"/>
              <w:rPr>
                <w:sz w:val="18"/>
                <w:szCs w:val="18"/>
                <w:highlight w:val="none"/>
              </w:rPr>
            </w:pPr>
            <w:r>
              <w:rPr>
                <w:rFonts w:hint="eastAsia"/>
                <w:sz w:val="18"/>
                <w:szCs w:val="18"/>
                <w:highlight w:val="none"/>
              </w:rPr>
              <w:t>类</w:t>
            </w:r>
          </w:p>
        </w:tc>
        <w:tc>
          <w:tcPr>
            <w:tcW w:w="567" w:type="dxa"/>
            <w:shd w:val="clear" w:color="auto" w:fill="auto"/>
            <w:vAlign w:val="center"/>
          </w:tcPr>
          <w:p>
            <w:pPr>
              <w:jc w:val="center"/>
              <w:rPr>
                <w:sz w:val="18"/>
                <w:szCs w:val="18"/>
                <w:highlight w:val="none"/>
              </w:rPr>
            </w:pPr>
            <w:r>
              <w:rPr>
                <w:rFonts w:hint="eastAsia"/>
                <w:sz w:val="18"/>
                <w:szCs w:val="18"/>
                <w:highlight w:val="none"/>
              </w:rPr>
              <w:t>款</w:t>
            </w:r>
          </w:p>
        </w:tc>
        <w:tc>
          <w:tcPr>
            <w:tcW w:w="567" w:type="dxa"/>
            <w:shd w:val="clear" w:color="auto" w:fill="auto"/>
            <w:vAlign w:val="center"/>
          </w:tcPr>
          <w:p>
            <w:pPr>
              <w:jc w:val="center"/>
              <w:rPr>
                <w:sz w:val="18"/>
                <w:szCs w:val="18"/>
                <w:highlight w:val="none"/>
              </w:rPr>
            </w:pPr>
            <w:r>
              <w:rPr>
                <w:rFonts w:hint="eastAsia"/>
                <w:sz w:val="18"/>
                <w:szCs w:val="18"/>
                <w:highlight w:val="none"/>
              </w:rPr>
              <w:t>项</w:t>
            </w:r>
          </w:p>
        </w:tc>
        <w:tc>
          <w:tcPr>
            <w:tcW w:w="4169" w:type="dxa"/>
            <w:vMerge w:val="continue"/>
            <w:shd w:val="clear" w:color="auto" w:fill="auto"/>
            <w:vAlign w:val="center"/>
          </w:tcPr>
          <w:p>
            <w:pPr>
              <w:jc w:val="center"/>
              <w:rPr>
                <w:sz w:val="18"/>
                <w:szCs w:val="18"/>
                <w:highlight w:val="none"/>
              </w:rPr>
            </w:pPr>
          </w:p>
        </w:tc>
        <w:tc>
          <w:tcPr>
            <w:tcW w:w="1306" w:type="dxa"/>
            <w:vMerge w:val="continue"/>
            <w:shd w:val="clear" w:color="auto" w:fill="auto"/>
            <w:vAlign w:val="center"/>
          </w:tcPr>
          <w:p>
            <w:pPr>
              <w:jc w:val="center"/>
              <w:rPr>
                <w:sz w:val="18"/>
                <w:szCs w:val="18"/>
                <w:highlight w:val="none"/>
              </w:rPr>
            </w:pPr>
          </w:p>
        </w:tc>
        <w:tc>
          <w:tcPr>
            <w:tcW w:w="1306" w:type="dxa"/>
            <w:gridSpan w:val="2"/>
            <w:vMerge w:val="continue"/>
            <w:shd w:val="clear" w:color="auto" w:fill="auto"/>
            <w:vAlign w:val="center"/>
          </w:tcPr>
          <w:p>
            <w:pPr>
              <w:jc w:val="center"/>
              <w:rPr>
                <w:sz w:val="18"/>
                <w:szCs w:val="18"/>
                <w:highlight w:val="none"/>
              </w:rPr>
            </w:pPr>
          </w:p>
        </w:tc>
        <w:tc>
          <w:tcPr>
            <w:tcW w:w="1405" w:type="dxa"/>
            <w:vMerge w:val="continue"/>
            <w:shd w:val="clear" w:color="auto" w:fill="auto"/>
            <w:vAlign w:val="center"/>
          </w:tcPr>
          <w:p>
            <w:pPr>
              <w:jc w:val="center"/>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8"/>
                <w:szCs w:val="18"/>
                <w:highlight w:val="none"/>
              </w:rPr>
              <w:t>208</w:t>
            </w:r>
          </w:p>
        </w:tc>
        <w:tc>
          <w:tcPr>
            <w:tcW w:w="340" w:type="dxa"/>
            <w:shd w:val="clear" w:color="auto" w:fill="auto"/>
            <w:vAlign w:val="center"/>
          </w:tcPr>
          <w:p>
            <w:pPr>
              <w:jc w:val="center"/>
              <w:rPr>
                <w:rFonts w:hint="default" w:ascii="宋体" w:hAnsi="宋体"/>
                <w:b/>
                <w:sz w:val="18"/>
                <w:szCs w:val="18"/>
                <w:highlight w:val="none"/>
              </w:rPr>
            </w:pPr>
          </w:p>
        </w:tc>
        <w:tc>
          <w:tcPr>
            <w:tcW w:w="340" w:type="dxa"/>
            <w:shd w:val="clear" w:color="auto" w:fill="auto"/>
            <w:vAlign w:val="center"/>
          </w:tcPr>
          <w:p>
            <w:pPr>
              <w:jc w:val="center"/>
              <w:rPr>
                <w:rFonts w:hint="default" w:ascii="宋体" w:hAnsi="宋体"/>
                <w:b/>
                <w:sz w:val="18"/>
                <w:szCs w:val="18"/>
                <w:highlight w:val="none"/>
              </w:rPr>
            </w:pPr>
          </w:p>
        </w:tc>
        <w:tc>
          <w:tcPr>
            <w:tcW w:w="340" w:type="dxa"/>
            <w:shd w:val="clear" w:color="auto" w:fill="auto"/>
            <w:vAlign w:val="center"/>
          </w:tcPr>
          <w:p>
            <w:pPr>
              <w:jc w:val="left"/>
              <w:rPr>
                <w:rFonts w:hint="default" w:ascii="宋体" w:hAnsi="宋体"/>
                <w:b/>
                <w:sz w:val="18"/>
                <w:szCs w:val="18"/>
                <w:highlight w:val="none"/>
              </w:rPr>
            </w:pPr>
            <w:r>
              <w:rPr>
                <w:rFonts w:hint="eastAsia" w:ascii="宋体" w:hAnsi="宋体"/>
                <w:b/>
                <w:color w:val="000000"/>
                <w:sz w:val="18"/>
                <w:szCs w:val="18"/>
                <w:highlight w:val="none"/>
              </w:rPr>
              <w:t>社会保障和就业支出</w:t>
            </w:r>
          </w:p>
        </w:tc>
        <w:tc>
          <w:tcPr>
            <w:tcW w:w="340"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50.08</w:t>
            </w:r>
          </w:p>
        </w:tc>
        <w:tc>
          <w:tcPr>
            <w:tcW w:w="340" w:type="dxa"/>
            <w:gridSpan w:val="2"/>
            <w:shd w:val="clear" w:color="auto" w:fill="auto"/>
            <w:vAlign w:val="center"/>
          </w:tcPr>
          <w:p>
            <w:pPr>
              <w:jc w:val="right"/>
              <w:rPr>
                <w:b/>
                <w:sz w:val="18"/>
                <w:szCs w:val="18"/>
                <w:highlight w:val="none"/>
              </w:rPr>
            </w:pPr>
            <w:r>
              <w:rPr>
                <w:rFonts w:hint="eastAsia" w:ascii="宋体" w:hAnsi="宋体"/>
                <w:b/>
                <w:color w:val="000000"/>
                <w:sz w:val="18"/>
                <w:szCs w:val="18"/>
                <w:highlight w:val="none"/>
              </w:rPr>
              <w:t>50.08</w:t>
            </w:r>
          </w:p>
        </w:tc>
        <w:tc>
          <w:tcPr>
            <w:tcW w:w="340" w:type="dxa"/>
            <w:shd w:val="clear" w:color="auto" w:fill="auto"/>
            <w:vAlign w:val="center"/>
          </w:tcPr>
          <w:p>
            <w:pPr>
              <w:jc w:val="right"/>
              <w:rPr>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8"/>
                <w:szCs w:val="18"/>
                <w:highlight w:val="none"/>
              </w:rPr>
              <w:t>208</w:t>
            </w:r>
          </w:p>
        </w:tc>
        <w:tc>
          <w:tcPr>
            <w:tcW w:w="340"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8"/>
                <w:szCs w:val="18"/>
                <w:highlight w:val="none"/>
              </w:rPr>
              <w:t>05</w:t>
            </w:r>
          </w:p>
        </w:tc>
        <w:tc>
          <w:tcPr>
            <w:tcW w:w="340" w:type="dxa"/>
            <w:shd w:val="clear" w:color="auto" w:fill="auto"/>
            <w:vAlign w:val="center"/>
          </w:tcPr>
          <w:p>
            <w:pPr>
              <w:jc w:val="center"/>
              <w:rPr>
                <w:rFonts w:hint="default" w:ascii="宋体" w:hAnsi="宋体"/>
                <w:b/>
                <w:sz w:val="18"/>
                <w:szCs w:val="18"/>
                <w:highlight w:val="none"/>
              </w:rPr>
            </w:pPr>
          </w:p>
        </w:tc>
        <w:tc>
          <w:tcPr>
            <w:tcW w:w="340" w:type="dxa"/>
            <w:shd w:val="clear" w:color="auto" w:fill="auto"/>
            <w:vAlign w:val="center"/>
          </w:tcPr>
          <w:p>
            <w:pPr>
              <w:jc w:val="left"/>
              <w:rPr>
                <w:rFonts w:hint="default" w:ascii="宋体" w:hAnsi="宋体"/>
                <w:b/>
                <w:sz w:val="18"/>
                <w:szCs w:val="18"/>
                <w:highlight w:val="none"/>
              </w:rPr>
            </w:pPr>
            <w:r>
              <w:rPr>
                <w:rFonts w:hint="eastAsia" w:ascii="宋体" w:hAnsi="宋体"/>
                <w:b/>
                <w:color w:val="000000"/>
                <w:sz w:val="18"/>
                <w:szCs w:val="18"/>
                <w:highlight w:val="none"/>
              </w:rPr>
              <w:t xml:space="preserve">  行政事业单位养老支出</w:t>
            </w:r>
          </w:p>
        </w:tc>
        <w:tc>
          <w:tcPr>
            <w:tcW w:w="340"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50.08</w:t>
            </w:r>
          </w:p>
        </w:tc>
        <w:tc>
          <w:tcPr>
            <w:tcW w:w="340" w:type="dxa"/>
            <w:gridSpan w:val="2"/>
            <w:shd w:val="clear" w:color="auto" w:fill="auto"/>
            <w:vAlign w:val="center"/>
          </w:tcPr>
          <w:p>
            <w:pPr>
              <w:jc w:val="right"/>
              <w:rPr>
                <w:b/>
                <w:sz w:val="18"/>
                <w:szCs w:val="18"/>
                <w:highlight w:val="none"/>
              </w:rPr>
            </w:pPr>
            <w:r>
              <w:rPr>
                <w:rFonts w:hint="eastAsia" w:ascii="宋体" w:hAnsi="宋体"/>
                <w:b/>
                <w:color w:val="000000"/>
                <w:sz w:val="18"/>
                <w:szCs w:val="18"/>
                <w:highlight w:val="none"/>
              </w:rPr>
              <w:t>50.08</w:t>
            </w:r>
          </w:p>
        </w:tc>
        <w:tc>
          <w:tcPr>
            <w:tcW w:w="340" w:type="dxa"/>
            <w:shd w:val="clear" w:color="auto" w:fill="auto"/>
            <w:vAlign w:val="center"/>
          </w:tcPr>
          <w:p>
            <w:pPr>
              <w:jc w:val="right"/>
              <w:rPr>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208</w:t>
            </w:r>
          </w:p>
        </w:tc>
        <w:tc>
          <w:tcPr>
            <w:tcW w:w="34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05</w:t>
            </w:r>
          </w:p>
        </w:tc>
        <w:tc>
          <w:tcPr>
            <w:tcW w:w="34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02</w:t>
            </w:r>
          </w:p>
        </w:tc>
        <w:tc>
          <w:tcPr>
            <w:tcW w:w="340" w:type="dxa"/>
            <w:shd w:val="clear" w:color="auto" w:fill="auto"/>
            <w:vAlign w:val="center"/>
          </w:tcPr>
          <w:p>
            <w:pPr>
              <w:jc w:val="left"/>
              <w:rPr>
                <w:rFonts w:hint="default" w:ascii="宋体" w:hAnsi="宋体"/>
                <w:sz w:val="18"/>
                <w:szCs w:val="18"/>
                <w:highlight w:val="none"/>
              </w:rPr>
            </w:pPr>
            <w:r>
              <w:rPr>
                <w:rFonts w:hint="eastAsia" w:ascii="宋体" w:hAnsi="宋体"/>
                <w:color w:val="000000"/>
                <w:sz w:val="18"/>
                <w:szCs w:val="18"/>
                <w:highlight w:val="none"/>
              </w:rPr>
              <w:t xml:space="preserve">    事业单位离退休</w:t>
            </w:r>
          </w:p>
        </w:tc>
        <w:tc>
          <w:tcPr>
            <w:tcW w:w="340" w:type="dxa"/>
            <w:shd w:val="clear" w:color="auto" w:fill="auto"/>
            <w:vAlign w:val="center"/>
          </w:tcPr>
          <w:p>
            <w:pPr>
              <w:jc w:val="right"/>
              <w:rPr>
                <w:sz w:val="18"/>
                <w:szCs w:val="18"/>
                <w:highlight w:val="none"/>
              </w:rPr>
            </w:pPr>
            <w:r>
              <w:rPr>
                <w:rFonts w:hint="eastAsia" w:ascii="宋体" w:hAnsi="宋体"/>
                <w:color w:val="000000"/>
                <w:sz w:val="18"/>
                <w:szCs w:val="18"/>
                <w:highlight w:val="none"/>
              </w:rPr>
              <w:t>5.08</w:t>
            </w:r>
          </w:p>
        </w:tc>
        <w:tc>
          <w:tcPr>
            <w:tcW w:w="340" w:type="dxa"/>
            <w:gridSpan w:val="2"/>
            <w:shd w:val="clear" w:color="auto" w:fill="auto"/>
            <w:vAlign w:val="center"/>
          </w:tcPr>
          <w:p>
            <w:pPr>
              <w:jc w:val="right"/>
              <w:rPr>
                <w:sz w:val="18"/>
                <w:szCs w:val="18"/>
                <w:highlight w:val="none"/>
              </w:rPr>
            </w:pPr>
            <w:r>
              <w:rPr>
                <w:rFonts w:hint="eastAsia" w:ascii="宋体" w:hAnsi="宋体"/>
                <w:color w:val="000000"/>
                <w:sz w:val="18"/>
                <w:szCs w:val="18"/>
                <w:highlight w:val="none"/>
              </w:rPr>
              <w:t>5.08</w:t>
            </w:r>
          </w:p>
        </w:tc>
        <w:tc>
          <w:tcPr>
            <w:tcW w:w="340"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208</w:t>
            </w:r>
          </w:p>
        </w:tc>
        <w:tc>
          <w:tcPr>
            <w:tcW w:w="34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05</w:t>
            </w:r>
          </w:p>
        </w:tc>
        <w:tc>
          <w:tcPr>
            <w:tcW w:w="34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05</w:t>
            </w:r>
          </w:p>
        </w:tc>
        <w:tc>
          <w:tcPr>
            <w:tcW w:w="340" w:type="dxa"/>
            <w:shd w:val="clear" w:color="auto" w:fill="auto"/>
            <w:vAlign w:val="center"/>
          </w:tcPr>
          <w:p>
            <w:pPr>
              <w:jc w:val="left"/>
              <w:rPr>
                <w:rFonts w:hint="default" w:ascii="宋体" w:hAnsi="宋体"/>
                <w:sz w:val="18"/>
                <w:szCs w:val="18"/>
                <w:highlight w:val="none"/>
              </w:rPr>
            </w:pPr>
            <w:r>
              <w:rPr>
                <w:rFonts w:hint="eastAsia" w:ascii="宋体" w:hAnsi="宋体"/>
                <w:color w:val="000000"/>
                <w:sz w:val="18"/>
                <w:szCs w:val="18"/>
                <w:highlight w:val="none"/>
              </w:rPr>
              <w:t xml:space="preserve">    机关事业单位基本养老保险缴费支出</w:t>
            </w:r>
          </w:p>
        </w:tc>
        <w:tc>
          <w:tcPr>
            <w:tcW w:w="340" w:type="dxa"/>
            <w:shd w:val="clear" w:color="auto" w:fill="auto"/>
            <w:vAlign w:val="center"/>
          </w:tcPr>
          <w:p>
            <w:pPr>
              <w:jc w:val="right"/>
              <w:rPr>
                <w:sz w:val="18"/>
                <w:szCs w:val="18"/>
                <w:highlight w:val="none"/>
              </w:rPr>
            </w:pPr>
            <w:r>
              <w:rPr>
                <w:rFonts w:hint="eastAsia" w:ascii="宋体" w:hAnsi="宋体"/>
                <w:color w:val="000000"/>
                <w:sz w:val="18"/>
                <w:szCs w:val="18"/>
                <w:highlight w:val="none"/>
              </w:rPr>
              <w:t>30.00</w:t>
            </w:r>
          </w:p>
        </w:tc>
        <w:tc>
          <w:tcPr>
            <w:tcW w:w="340" w:type="dxa"/>
            <w:gridSpan w:val="2"/>
            <w:shd w:val="clear" w:color="auto" w:fill="auto"/>
            <w:vAlign w:val="center"/>
          </w:tcPr>
          <w:p>
            <w:pPr>
              <w:jc w:val="right"/>
              <w:rPr>
                <w:sz w:val="18"/>
                <w:szCs w:val="18"/>
                <w:highlight w:val="none"/>
              </w:rPr>
            </w:pPr>
            <w:r>
              <w:rPr>
                <w:rFonts w:hint="eastAsia" w:ascii="宋体" w:hAnsi="宋体"/>
                <w:color w:val="000000"/>
                <w:sz w:val="18"/>
                <w:szCs w:val="18"/>
                <w:highlight w:val="none"/>
              </w:rPr>
              <w:t>30.00</w:t>
            </w:r>
          </w:p>
        </w:tc>
        <w:tc>
          <w:tcPr>
            <w:tcW w:w="340"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208</w:t>
            </w:r>
          </w:p>
        </w:tc>
        <w:tc>
          <w:tcPr>
            <w:tcW w:w="34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05</w:t>
            </w:r>
          </w:p>
        </w:tc>
        <w:tc>
          <w:tcPr>
            <w:tcW w:w="34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06</w:t>
            </w:r>
          </w:p>
        </w:tc>
        <w:tc>
          <w:tcPr>
            <w:tcW w:w="340" w:type="dxa"/>
            <w:shd w:val="clear" w:color="auto" w:fill="auto"/>
            <w:vAlign w:val="center"/>
          </w:tcPr>
          <w:p>
            <w:pPr>
              <w:jc w:val="left"/>
              <w:rPr>
                <w:rFonts w:hint="default" w:ascii="宋体" w:hAnsi="宋体"/>
                <w:sz w:val="18"/>
                <w:szCs w:val="18"/>
                <w:highlight w:val="none"/>
              </w:rPr>
            </w:pPr>
            <w:r>
              <w:rPr>
                <w:rFonts w:hint="eastAsia" w:ascii="宋体" w:hAnsi="宋体"/>
                <w:color w:val="000000"/>
                <w:sz w:val="18"/>
                <w:szCs w:val="18"/>
                <w:highlight w:val="none"/>
              </w:rPr>
              <w:t xml:space="preserve">    机关事业单位职业年金缴费支出</w:t>
            </w:r>
          </w:p>
        </w:tc>
        <w:tc>
          <w:tcPr>
            <w:tcW w:w="340" w:type="dxa"/>
            <w:shd w:val="clear" w:color="auto" w:fill="auto"/>
            <w:vAlign w:val="center"/>
          </w:tcPr>
          <w:p>
            <w:pPr>
              <w:jc w:val="right"/>
              <w:rPr>
                <w:sz w:val="18"/>
                <w:szCs w:val="18"/>
                <w:highlight w:val="none"/>
              </w:rPr>
            </w:pPr>
            <w:r>
              <w:rPr>
                <w:rFonts w:hint="eastAsia" w:ascii="宋体" w:hAnsi="宋体"/>
                <w:color w:val="000000"/>
                <w:sz w:val="18"/>
                <w:szCs w:val="18"/>
                <w:highlight w:val="none"/>
              </w:rPr>
              <w:t>15.00</w:t>
            </w:r>
          </w:p>
        </w:tc>
        <w:tc>
          <w:tcPr>
            <w:tcW w:w="340" w:type="dxa"/>
            <w:gridSpan w:val="2"/>
            <w:shd w:val="clear" w:color="auto" w:fill="auto"/>
            <w:vAlign w:val="center"/>
          </w:tcPr>
          <w:p>
            <w:pPr>
              <w:jc w:val="right"/>
              <w:rPr>
                <w:sz w:val="18"/>
                <w:szCs w:val="18"/>
                <w:highlight w:val="none"/>
              </w:rPr>
            </w:pPr>
            <w:r>
              <w:rPr>
                <w:rFonts w:hint="eastAsia" w:ascii="宋体" w:hAnsi="宋体"/>
                <w:color w:val="000000"/>
                <w:sz w:val="18"/>
                <w:szCs w:val="18"/>
                <w:highlight w:val="none"/>
              </w:rPr>
              <w:t>15.00</w:t>
            </w:r>
          </w:p>
        </w:tc>
        <w:tc>
          <w:tcPr>
            <w:tcW w:w="340"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8"/>
                <w:szCs w:val="18"/>
                <w:highlight w:val="none"/>
              </w:rPr>
              <w:t>210</w:t>
            </w:r>
          </w:p>
        </w:tc>
        <w:tc>
          <w:tcPr>
            <w:tcW w:w="340" w:type="dxa"/>
            <w:shd w:val="clear" w:color="auto" w:fill="auto"/>
            <w:vAlign w:val="center"/>
          </w:tcPr>
          <w:p>
            <w:pPr>
              <w:jc w:val="center"/>
              <w:rPr>
                <w:rFonts w:hint="default" w:ascii="宋体" w:hAnsi="宋体"/>
                <w:b/>
                <w:sz w:val="18"/>
                <w:szCs w:val="18"/>
                <w:highlight w:val="none"/>
              </w:rPr>
            </w:pPr>
          </w:p>
        </w:tc>
        <w:tc>
          <w:tcPr>
            <w:tcW w:w="340" w:type="dxa"/>
            <w:shd w:val="clear" w:color="auto" w:fill="auto"/>
            <w:vAlign w:val="center"/>
          </w:tcPr>
          <w:p>
            <w:pPr>
              <w:jc w:val="center"/>
              <w:rPr>
                <w:rFonts w:hint="default" w:ascii="宋体" w:hAnsi="宋体"/>
                <w:b/>
                <w:sz w:val="18"/>
                <w:szCs w:val="18"/>
                <w:highlight w:val="none"/>
              </w:rPr>
            </w:pPr>
          </w:p>
        </w:tc>
        <w:tc>
          <w:tcPr>
            <w:tcW w:w="340" w:type="dxa"/>
            <w:shd w:val="clear" w:color="auto" w:fill="auto"/>
            <w:vAlign w:val="center"/>
          </w:tcPr>
          <w:p>
            <w:pPr>
              <w:jc w:val="left"/>
              <w:rPr>
                <w:rFonts w:hint="default" w:ascii="宋体" w:hAnsi="宋体"/>
                <w:b/>
                <w:sz w:val="18"/>
                <w:szCs w:val="18"/>
                <w:highlight w:val="none"/>
              </w:rPr>
            </w:pPr>
            <w:r>
              <w:rPr>
                <w:rFonts w:hint="eastAsia" w:ascii="宋体" w:hAnsi="宋体"/>
                <w:b/>
                <w:color w:val="000000"/>
                <w:sz w:val="18"/>
                <w:szCs w:val="18"/>
                <w:highlight w:val="none"/>
              </w:rPr>
              <w:t>卫生健康支出</w:t>
            </w:r>
          </w:p>
        </w:tc>
        <w:tc>
          <w:tcPr>
            <w:tcW w:w="340"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34.20</w:t>
            </w:r>
          </w:p>
        </w:tc>
        <w:tc>
          <w:tcPr>
            <w:tcW w:w="340" w:type="dxa"/>
            <w:gridSpan w:val="2"/>
            <w:shd w:val="clear" w:color="auto" w:fill="auto"/>
            <w:vAlign w:val="center"/>
          </w:tcPr>
          <w:p>
            <w:pPr>
              <w:jc w:val="right"/>
              <w:rPr>
                <w:b/>
                <w:sz w:val="18"/>
                <w:szCs w:val="18"/>
                <w:highlight w:val="none"/>
              </w:rPr>
            </w:pPr>
            <w:r>
              <w:rPr>
                <w:rFonts w:hint="eastAsia" w:ascii="宋体" w:hAnsi="宋体"/>
                <w:b/>
                <w:color w:val="000000"/>
                <w:sz w:val="18"/>
                <w:szCs w:val="18"/>
                <w:highlight w:val="none"/>
              </w:rPr>
              <w:t>34.20</w:t>
            </w:r>
          </w:p>
        </w:tc>
        <w:tc>
          <w:tcPr>
            <w:tcW w:w="340" w:type="dxa"/>
            <w:shd w:val="clear" w:color="auto" w:fill="auto"/>
            <w:vAlign w:val="center"/>
          </w:tcPr>
          <w:p>
            <w:pPr>
              <w:jc w:val="right"/>
              <w:rPr>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8"/>
                <w:szCs w:val="18"/>
                <w:highlight w:val="none"/>
              </w:rPr>
              <w:t>210</w:t>
            </w:r>
          </w:p>
        </w:tc>
        <w:tc>
          <w:tcPr>
            <w:tcW w:w="340"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8"/>
                <w:szCs w:val="18"/>
                <w:highlight w:val="none"/>
              </w:rPr>
              <w:t>11</w:t>
            </w:r>
          </w:p>
        </w:tc>
        <w:tc>
          <w:tcPr>
            <w:tcW w:w="340" w:type="dxa"/>
            <w:shd w:val="clear" w:color="auto" w:fill="auto"/>
            <w:vAlign w:val="center"/>
          </w:tcPr>
          <w:p>
            <w:pPr>
              <w:jc w:val="center"/>
              <w:rPr>
                <w:rFonts w:hint="default" w:ascii="宋体" w:hAnsi="宋体"/>
                <w:b/>
                <w:sz w:val="18"/>
                <w:szCs w:val="18"/>
                <w:highlight w:val="none"/>
              </w:rPr>
            </w:pPr>
          </w:p>
        </w:tc>
        <w:tc>
          <w:tcPr>
            <w:tcW w:w="340" w:type="dxa"/>
            <w:shd w:val="clear" w:color="auto" w:fill="auto"/>
            <w:vAlign w:val="center"/>
          </w:tcPr>
          <w:p>
            <w:pPr>
              <w:jc w:val="left"/>
              <w:rPr>
                <w:rFonts w:hint="default" w:ascii="宋体" w:hAnsi="宋体"/>
                <w:b/>
                <w:sz w:val="18"/>
                <w:szCs w:val="18"/>
                <w:highlight w:val="none"/>
              </w:rPr>
            </w:pPr>
            <w:r>
              <w:rPr>
                <w:rFonts w:hint="eastAsia" w:ascii="宋体" w:hAnsi="宋体"/>
                <w:b/>
                <w:color w:val="000000"/>
                <w:sz w:val="18"/>
                <w:szCs w:val="18"/>
                <w:highlight w:val="none"/>
              </w:rPr>
              <w:t xml:space="preserve">  行政事业单位医疗</w:t>
            </w:r>
          </w:p>
        </w:tc>
        <w:tc>
          <w:tcPr>
            <w:tcW w:w="340"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34.20</w:t>
            </w:r>
          </w:p>
        </w:tc>
        <w:tc>
          <w:tcPr>
            <w:tcW w:w="340" w:type="dxa"/>
            <w:gridSpan w:val="2"/>
            <w:shd w:val="clear" w:color="auto" w:fill="auto"/>
            <w:vAlign w:val="center"/>
          </w:tcPr>
          <w:p>
            <w:pPr>
              <w:jc w:val="right"/>
              <w:rPr>
                <w:b/>
                <w:sz w:val="18"/>
                <w:szCs w:val="18"/>
                <w:highlight w:val="none"/>
              </w:rPr>
            </w:pPr>
            <w:r>
              <w:rPr>
                <w:rFonts w:hint="eastAsia" w:ascii="宋体" w:hAnsi="宋体"/>
                <w:b/>
                <w:color w:val="000000"/>
                <w:sz w:val="18"/>
                <w:szCs w:val="18"/>
                <w:highlight w:val="none"/>
              </w:rPr>
              <w:t>34.20</w:t>
            </w:r>
          </w:p>
        </w:tc>
        <w:tc>
          <w:tcPr>
            <w:tcW w:w="340" w:type="dxa"/>
            <w:shd w:val="clear" w:color="auto" w:fill="auto"/>
            <w:vAlign w:val="center"/>
          </w:tcPr>
          <w:p>
            <w:pPr>
              <w:jc w:val="right"/>
              <w:rPr>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210</w:t>
            </w:r>
          </w:p>
        </w:tc>
        <w:tc>
          <w:tcPr>
            <w:tcW w:w="34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11</w:t>
            </w:r>
          </w:p>
        </w:tc>
        <w:tc>
          <w:tcPr>
            <w:tcW w:w="34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02</w:t>
            </w:r>
          </w:p>
        </w:tc>
        <w:tc>
          <w:tcPr>
            <w:tcW w:w="340" w:type="dxa"/>
            <w:shd w:val="clear" w:color="auto" w:fill="auto"/>
            <w:vAlign w:val="center"/>
          </w:tcPr>
          <w:p>
            <w:pPr>
              <w:jc w:val="left"/>
              <w:rPr>
                <w:rFonts w:hint="default" w:ascii="宋体" w:hAnsi="宋体"/>
                <w:sz w:val="18"/>
                <w:szCs w:val="18"/>
                <w:highlight w:val="none"/>
              </w:rPr>
            </w:pPr>
            <w:r>
              <w:rPr>
                <w:rFonts w:hint="eastAsia" w:ascii="宋体" w:hAnsi="宋体"/>
                <w:color w:val="000000"/>
                <w:sz w:val="18"/>
                <w:szCs w:val="18"/>
                <w:highlight w:val="none"/>
              </w:rPr>
              <w:t xml:space="preserve">    事业单位医疗</w:t>
            </w:r>
          </w:p>
        </w:tc>
        <w:tc>
          <w:tcPr>
            <w:tcW w:w="340" w:type="dxa"/>
            <w:shd w:val="clear" w:color="auto" w:fill="auto"/>
            <w:vAlign w:val="center"/>
          </w:tcPr>
          <w:p>
            <w:pPr>
              <w:jc w:val="right"/>
              <w:rPr>
                <w:sz w:val="18"/>
                <w:szCs w:val="18"/>
                <w:highlight w:val="none"/>
              </w:rPr>
            </w:pPr>
            <w:r>
              <w:rPr>
                <w:rFonts w:hint="eastAsia" w:ascii="宋体" w:hAnsi="宋体"/>
                <w:color w:val="000000"/>
                <w:sz w:val="18"/>
                <w:szCs w:val="18"/>
                <w:highlight w:val="none"/>
              </w:rPr>
              <w:t>20.20</w:t>
            </w:r>
          </w:p>
        </w:tc>
        <w:tc>
          <w:tcPr>
            <w:tcW w:w="340" w:type="dxa"/>
            <w:gridSpan w:val="2"/>
            <w:shd w:val="clear" w:color="auto" w:fill="auto"/>
            <w:vAlign w:val="center"/>
          </w:tcPr>
          <w:p>
            <w:pPr>
              <w:jc w:val="right"/>
              <w:rPr>
                <w:sz w:val="18"/>
                <w:szCs w:val="18"/>
                <w:highlight w:val="none"/>
              </w:rPr>
            </w:pPr>
            <w:r>
              <w:rPr>
                <w:rFonts w:hint="eastAsia" w:ascii="宋体" w:hAnsi="宋体"/>
                <w:color w:val="000000"/>
                <w:sz w:val="18"/>
                <w:szCs w:val="18"/>
                <w:highlight w:val="none"/>
              </w:rPr>
              <w:t>20.20</w:t>
            </w:r>
          </w:p>
        </w:tc>
        <w:tc>
          <w:tcPr>
            <w:tcW w:w="340"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210</w:t>
            </w:r>
          </w:p>
        </w:tc>
        <w:tc>
          <w:tcPr>
            <w:tcW w:w="34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11</w:t>
            </w:r>
          </w:p>
        </w:tc>
        <w:tc>
          <w:tcPr>
            <w:tcW w:w="34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03</w:t>
            </w:r>
          </w:p>
        </w:tc>
        <w:tc>
          <w:tcPr>
            <w:tcW w:w="340" w:type="dxa"/>
            <w:shd w:val="clear" w:color="auto" w:fill="auto"/>
            <w:vAlign w:val="center"/>
          </w:tcPr>
          <w:p>
            <w:pPr>
              <w:jc w:val="left"/>
              <w:rPr>
                <w:rFonts w:hint="default" w:ascii="宋体" w:hAnsi="宋体"/>
                <w:sz w:val="18"/>
                <w:szCs w:val="18"/>
                <w:highlight w:val="none"/>
              </w:rPr>
            </w:pPr>
            <w:r>
              <w:rPr>
                <w:rFonts w:hint="eastAsia" w:ascii="宋体" w:hAnsi="宋体"/>
                <w:color w:val="000000"/>
                <w:sz w:val="18"/>
                <w:szCs w:val="18"/>
                <w:highlight w:val="none"/>
              </w:rPr>
              <w:t xml:space="preserve">    公务员医疗补助</w:t>
            </w:r>
          </w:p>
        </w:tc>
        <w:tc>
          <w:tcPr>
            <w:tcW w:w="340" w:type="dxa"/>
            <w:shd w:val="clear" w:color="auto" w:fill="auto"/>
            <w:vAlign w:val="center"/>
          </w:tcPr>
          <w:p>
            <w:pPr>
              <w:jc w:val="right"/>
              <w:rPr>
                <w:sz w:val="18"/>
                <w:szCs w:val="18"/>
                <w:highlight w:val="none"/>
              </w:rPr>
            </w:pPr>
            <w:r>
              <w:rPr>
                <w:rFonts w:hint="eastAsia" w:ascii="宋体" w:hAnsi="宋体"/>
                <w:color w:val="000000"/>
                <w:sz w:val="18"/>
                <w:szCs w:val="18"/>
                <w:highlight w:val="none"/>
              </w:rPr>
              <w:t>14.00</w:t>
            </w:r>
          </w:p>
        </w:tc>
        <w:tc>
          <w:tcPr>
            <w:tcW w:w="340" w:type="dxa"/>
            <w:gridSpan w:val="2"/>
            <w:shd w:val="clear" w:color="auto" w:fill="auto"/>
            <w:vAlign w:val="center"/>
          </w:tcPr>
          <w:p>
            <w:pPr>
              <w:jc w:val="right"/>
              <w:rPr>
                <w:sz w:val="18"/>
                <w:szCs w:val="18"/>
                <w:highlight w:val="none"/>
              </w:rPr>
            </w:pPr>
            <w:r>
              <w:rPr>
                <w:rFonts w:hint="eastAsia" w:ascii="宋体" w:hAnsi="宋体"/>
                <w:color w:val="000000"/>
                <w:sz w:val="18"/>
                <w:szCs w:val="18"/>
                <w:highlight w:val="none"/>
              </w:rPr>
              <w:t>14.00</w:t>
            </w:r>
          </w:p>
        </w:tc>
        <w:tc>
          <w:tcPr>
            <w:tcW w:w="340"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8"/>
                <w:szCs w:val="18"/>
                <w:highlight w:val="none"/>
              </w:rPr>
              <w:t>215</w:t>
            </w:r>
          </w:p>
        </w:tc>
        <w:tc>
          <w:tcPr>
            <w:tcW w:w="340" w:type="dxa"/>
            <w:shd w:val="clear" w:color="auto" w:fill="auto"/>
            <w:vAlign w:val="center"/>
          </w:tcPr>
          <w:p>
            <w:pPr>
              <w:jc w:val="center"/>
              <w:rPr>
                <w:rFonts w:hint="default" w:ascii="宋体" w:hAnsi="宋体"/>
                <w:b/>
                <w:sz w:val="18"/>
                <w:szCs w:val="18"/>
                <w:highlight w:val="none"/>
              </w:rPr>
            </w:pPr>
          </w:p>
        </w:tc>
        <w:tc>
          <w:tcPr>
            <w:tcW w:w="340" w:type="dxa"/>
            <w:shd w:val="clear" w:color="auto" w:fill="auto"/>
            <w:vAlign w:val="center"/>
          </w:tcPr>
          <w:p>
            <w:pPr>
              <w:jc w:val="center"/>
              <w:rPr>
                <w:rFonts w:hint="default" w:ascii="宋体" w:hAnsi="宋体"/>
                <w:b/>
                <w:sz w:val="18"/>
                <w:szCs w:val="18"/>
                <w:highlight w:val="none"/>
              </w:rPr>
            </w:pPr>
          </w:p>
        </w:tc>
        <w:tc>
          <w:tcPr>
            <w:tcW w:w="340" w:type="dxa"/>
            <w:shd w:val="clear" w:color="auto" w:fill="auto"/>
            <w:vAlign w:val="center"/>
          </w:tcPr>
          <w:p>
            <w:pPr>
              <w:jc w:val="left"/>
              <w:rPr>
                <w:rFonts w:hint="default" w:ascii="宋体" w:hAnsi="宋体"/>
                <w:b/>
                <w:sz w:val="18"/>
                <w:szCs w:val="18"/>
                <w:highlight w:val="none"/>
              </w:rPr>
            </w:pPr>
            <w:r>
              <w:rPr>
                <w:rFonts w:hint="eastAsia" w:ascii="宋体" w:hAnsi="宋体"/>
                <w:b/>
                <w:color w:val="000000"/>
                <w:sz w:val="18"/>
                <w:szCs w:val="18"/>
                <w:highlight w:val="none"/>
              </w:rPr>
              <w:t>资源勘探工业信息等支出</w:t>
            </w:r>
          </w:p>
        </w:tc>
        <w:tc>
          <w:tcPr>
            <w:tcW w:w="340"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806.86</w:t>
            </w:r>
          </w:p>
        </w:tc>
        <w:tc>
          <w:tcPr>
            <w:tcW w:w="340" w:type="dxa"/>
            <w:gridSpan w:val="2"/>
            <w:shd w:val="clear" w:color="auto" w:fill="auto"/>
            <w:vAlign w:val="center"/>
          </w:tcPr>
          <w:p>
            <w:pPr>
              <w:jc w:val="right"/>
              <w:rPr>
                <w:b/>
                <w:sz w:val="18"/>
                <w:szCs w:val="18"/>
                <w:highlight w:val="none"/>
              </w:rPr>
            </w:pPr>
            <w:r>
              <w:rPr>
                <w:rFonts w:hint="eastAsia" w:ascii="宋体" w:hAnsi="宋体"/>
                <w:b/>
                <w:color w:val="000000"/>
                <w:sz w:val="18"/>
                <w:szCs w:val="18"/>
                <w:highlight w:val="none"/>
              </w:rPr>
              <w:t>194.08</w:t>
            </w:r>
          </w:p>
        </w:tc>
        <w:tc>
          <w:tcPr>
            <w:tcW w:w="340"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612.77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8"/>
                <w:szCs w:val="18"/>
                <w:highlight w:val="none"/>
              </w:rPr>
              <w:t>215</w:t>
            </w:r>
          </w:p>
        </w:tc>
        <w:tc>
          <w:tcPr>
            <w:tcW w:w="340"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8"/>
                <w:szCs w:val="18"/>
                <w:highlight w:val="none"/>
              </w:rPr>
              <w:t>05</w:t>
            </w:r>
          </w:p>
        </w:tc>
        <w:tc>
          <w:tcPr>
            <w:tcW w:w="340" w:type="dxa"/>
            <w:shd w:val="clear" w:color="auto" w:fill="auto"/>
            <w:vAlign w:val="center"/>
          </w:tcPr>
          <w:p>
            <w:pPr>
              <w:jc w:val="center"/>
              <w:rPr>
                <w:rFonts w:hint="default" w:ascii="宋体" w:hAnsi="宋体"/>
                <w:b/>
                <w:sz w:val="18"/>
                <w:szCs w:val="18"/>
                <w:highlight w:val="none"/>
              </w:rPr>
            </w:pPr>
          </w:p>
        </w:tc>
        <w:tc>
          <w:tcPr>
            <w:tcW w:w="340" w:type="dxa"/>
            <w:shd w:val="clear" w:color="auto" w:fill="auto"/>
            <w:vAlign w:val="center"/>
          </w:tcPr>
          <w:p>
            <w:pPr>
              <w:jc w:val="left"/>
              <w:rPr>
                <w:rFonts w:hint="default" w:ascii="宋体" w:hAnsi="宋体"/>
                <w:b/>
                <w:sz w:val="18"/>
                <w:szCs w:val="18"/>
                <w:highlight w:val="none"/>
              </w:rPr>
            </w:pPr>
            <w:r>
              <w:rPr>
                <w:rFonts w:hint="eastAsia" w:ascii="宋体" w:hAnsi="宋体"/>
                <w:b/>
                <w:color w:val="000000"/>
                <w:sz w:val="18"/>
                <w:szCs w:val="18"/>
                <w:highlight w:val="none"/>
              </w:rPr>
              <w:t xml:space="preserve">  工业和信息产业</w:t>
            </w:r>
          </w:p>
        </w:tc>
        <w:tc>
          <w:tcPr>
            <w:tcW w:w="340"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806.86</w:t>
            </w:r>
          </w:p>
        </w:tc>
        <w:tc>
          <w:tcPr>
            <w:tcW w:w="340" w:type="dxa"/>
            <w:gridSpan w:val="2"/>
            <w:shd w:val="clear" w:color="auto" w:fill="auto"/>
            <w:vAlign w:val="center"/>
          </w:tcPr>
          <w:p>
            <w:pPr>
              <w:jc w:val="right"/>
              <w:rPr>
                <w:b/>
                <w:sz w:val="18"/>
                <w:szCs w:val="18"/>
                <w:highlight w:val="none"/>
              </w:rPr>
            </w:pPr>
            <w:r>
              <w:rPr>
                <w:rFonts w:hint="eastAsia" w:ascii="宋体" w:hAnsi="宋体"/>
                <w:b/>
                <w:color w:val="000000"/>
                <w:sz w:val="18"/>
                <w:szCs w:val="18"/>
                <w:highlight w:val="none"/>
              </w:rPr>
              <w:t>194.08</w:t>
            </w:r>
          </w:p>
        </w:tc>
        <w:tc>
          <w:tcPr>
            <w:tcW w:w="340"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612.77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215</w:t>
            </w:r>
          </w:p>
        </w:tc>
        <w:tc>
          <w:tcPr>
            <w:tcW w:w="34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05</w:t>
            </w:r>
          </w:p>
        </w:tc>
        <w:tc>
          <w:tcPr>
            <w:tcW w:w="34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08</w:t>
            </w:r>
          </w:p>
        </w:tc>
        <w:tc>
          <w:tcPr>
            <w:tcW w:w="340" w:type="dxa"/>
            <w:shd w:val="clear" w:color="auto" w:fill="auto"/>
            <w:vAlign w:val="center"/>
          </w:tcPr>
          <w:p>
            <w:pPr>
              <w:jc w:val="left"/>
              <w:rPr>
                <w:rFonts w:hint="default" w:ascii="宋体" w:hAnsi="宋体"/>
                <w:sz w:val="18"/>
                <w:szCs w:val="18"/>
                <w:highlight w:val="none"/>
              </w:rPr>
            </w:pPr>
            <w:r>
              <w:rPr>
                <w:rFonts w:hint="eastAsia" w:ascii="宋体" w:hAnsi="宋体"/>
                <w:color w:val="000000"/>
                <w:sz w:val="18"/>
                <w:szCs w:val="18"/>
                <w:highlight w:val="none"/>
              </w:rPr>
              <w:t xml:space="preserve">    无线电及信息通信监管</w:t>
            </w:r>
          </w:p>
        </w:tc>
        <w:tc>
          <w:tcPr>
            <w:tcW w:w="340" w:type="dxa"/>
            <w:shd w:val="clear" w:color="auto" w:fill="auto"/>
            <w:vAlign w:val="center"/>
          </w:tcPr>
          <w:p>
            <w:pPr>
              <w:jc w:val="right"/>
              <w:rPr>
                <w:sz w:val="18"/>
                <w:szCs w:val="18"/>
                <w:highlight w:val="none"/>
              </w:rPr>
            </w:pPr>
            <w:r>
              <w:rPr>
                <w:rFonts w:hint="eastAsia" w:ascii="宋体" w:hAnsi="宋体"/>
                <w:color w:val="000000"/>
                <w:sz w:val="18"/>
                <w:szCs w:val="18"/>
                <w:highlight w:val="none"/>
              </w:rPr>
              <w:t>806.86</w:t>
            </w:r>
          </w:p>
        </w:tc>
        <w:tc>
          <w:tcPr>
            <w:tcW w:w="340" w:type="dxa"/>
            <w:gridSpan w:val="2"/>
            <w:shd w:val="clear" w:color="auto" w:fill="auto"/>
            <w:vAlign w:val="center"/>
          </w:tcPr>
          <w:p>
            <w:pPr>
              <w:jc w:val="right"/>
              <w:rPr>
                <w:sz w:val="18"/>
                <w:szCs w:val="18"/>
                <w:highlight w:val="none"/>
              </w:rPr>
            </w:pPr>
            <w:r>
              <w:rPr>
                <w:rFonts w:hint="eastAsia" w:ascii="宋体" w:hAnsi="宋体"/>
                <w:color w:val="000000"/>
                <w:sz w:val="18"/>
                <w:szCs w:val="18"/>
                <w:highlight w:val="none"/>
              </w:rPr>
              <w:t>194.08</w:t>
            </w:r>
          </w:p>
        </w:tc>
        <w:tc>
          <w:tcPr>
            <w:tcW w:w="340" w:type="dxa"/>
            <w:shd w:val="clear" w:color="auto" w:fill="auto"/>
            <w:vAlign w:val="center"/>
          </w:tcPr>
          <w:p>
            <w:pPr>
              <w:jc w:val="right"/>
              <w:rPr>
                <w:sz w:val="18"/>
                <w:szCs w:val="18"/>
                <w:highlight w:val="none"/>
              </w:rPr>
            </w:pPr>
            <w:r>
              <w:rPr>
                <w:rFonts w:hint="eastAsia" w:ascii="宋体" w:hAnsi="宋体"/>
                <w:color w:val="000000"/>
                <w:sz w:val="18"/>
                <w:szCs w:val="18"/>
                <w:highlight w:val="none"/>
              </w:rPr>
              <w:t>612.77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8"/>
                <w:szCs w:val="18"/>
                <w:highlight w:val="none"/>
              </w:rPr>
              <w:t>221</w:t>
            </w:r>
          </w:p>
        </w:tc>
        <w:tc>
          <w:tcPr>
            <w:tcW w:w="340" w:type="dxa"/>
            <w:shd w:val="clear" w:color="auto" w:fill="auto"/>
            <w:vAlign w:val="center"/>
          </w:tcPr>
          <w:p>
            <w:pPr>
              <w:jc w:val="center"/>
              <w:rPr>
                <w:rFonts w:hint="default" w:ascii="宋体" w:hAnsi="宋体"/>
                <w:b/>
                <w:sz w:val="18"/>
                <w:szCs w:val="18"/>
                <w:highlight w:val="none"/>
              </w:rPr>
            </w:pPr>
          </w:p>
        </w:tc>
        <w:tc>
          <w:tcPr>
            <w:tcW w:w="340" w:type="dxa"/>
            <w:shd w:val="clear" w:color="auto" w:fill="auto"/>
            <w:vAlign w:val="center"/>
          </w:tcPr>
          <w:p>
            <w:pPr>
              <w:jc w:val="center"/>
              <w:rPr>
                <w:rFonts w:hint="default" w:ascii="宋体" w:hAnsi="宋体"/>
                <w:b/>
                <w:sz w:val="18"/>
                <w:szCs w:val="18"/>
                <w:highlight w:val="none"/>
              </w:rPr>
            </w:pPr>
          </w:p>
        </w:tc>
        <w:tc>
          <w:tcPr>
            <w:tcW w:w="340" w:type="dxa"/>
            <w:shd w:val="clear" w:color="auto" w:fill="auto"/>
            <w:vAlign w:val="center"/>
          </w:tcPr>
          <w:p>
            <w:pPr>
              <w:jc w:val="left"/>
              <w:rPr>
                <w:rFonts w:hint="default" w:ascii="宋体" w:hAnsi="宋体"/>
                <w:b/>
                <w:sz w:val="18"/>
                <w:szCs w:val="18"/>
                <w:highlight w:val="none"/>
              </w:rPr>
            </w:pPr>
            <w:r>
              <w:rPr>
                <w:rFonts w:hint="eastAsia" w:ascii="宋体" w:hAnsi="宋体"/>
                <w:b/>
                <w:color w:val="000000"/>
                <w:sz w:val="18"/>
                <w:szCs w:val="18"/>
                <w:highlight w:val="none"/>
              </w:rPr>
              <w:t>住房保障支出</w:t>
            </w:r>
          </w:p>
        </w:tc>
        <w:tc>
          <w:tcPr>
            <w:tcW w:w="340"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23.00</w:t>
            </w:r>
          </w:p>
        </w:tc>
        <w:tc>
          <w:tcPr>
            <w:tcW w:w="340" w:type="dxa"/>
            <w:gridSpan w:val="2"/>
            <w:shd w:val="clear" w:color="auto" w:fill="auto"/>
            <w:vAlign w:val="center"/>
          </w:tcPr>
          <w:p>
            <w:pPr>
              <w:jc w:val="right"/>
              <w:rPr>
                <w:b/>
                <w:sz w:val="18"/>
                <w:szCs w:val="18"/>
                <w:highlight w:val="none"/>
              </w:rPr>
            </w:pPr>
            <w:r>
              <w:rPr>
                <w:rFonts w:hint="eastAsia" w:ascii="宋体" w:hAnsi="宋体"/>
                <w:b/>
                <w:color w:val="000000"/>
                <w:sz w:val="18"/>
                <w:szCs w:val="18"/>
                <w:highlight w:val="none"/>
              </w:rPr>
              <w:t>23.00</w:t>
            </w:r>
          </w:p>
        </w:tc>
        <w:tc>
          <w:tcPr>
            <w:tcW w:w="340" w:type="dxa"/>
            <w:shd w:val="clear" w:color="auto" w:fill="auto"/>
            <w:vAlign w:val="center"/>
          </w:tcPr>
          <w:p>
            <w:pPr>
              <w:jc w:val="right"/>
              <w:rPr>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8"/>
                <w:szCs w:val="18"/>
                <w:highlight w:val="none"/>
              </w:rPr>
              <w:t>221</w:t>
            </w:r>
          </w:p>
        </w:tc>
        <w:tc>
          <w:tcPr>
            <w:tcW w:w="340"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8"/>
                <w:szCs w:val="18"/>
                <w:highlight w:val="none"/>
              </w:rPr>
              <w:t>02</w:t>
            </w:r>
          </w:p>
        </w:tc>
        <w:tc>
          <w:tcPr>
            <w:tcW w:w="340" w:type="dxa"/>
            <w:shd w:val="clear" w:color="auto" w:fill="auto"/>
            <w:vAlign w:val="center"/>
          </w:tcPr>
          <w:p>
            <w:pPr>
              <w:jc w:val="center"/>
              <w:rPr>
                <w:rFonts w:hint="default" w:ascii="宋体" w:hAnsi="宋体"/>
                <w:b/>
                <w:sz w:val="18"/>
                <w:szCs w:val="18"/>
                <w:highlight w:val="none"/>
              </w:rPr>
            </w:pPr>
          </w:p>
        </w:tc>
        <w:tc>
          <w:tcPr>
            <w:tcW w:w="340" w:type="dxa"/>
            <w:shd w:val="clear" w:color="auto" w:fill="auto"/>
            <w:vAlign w:val="center"/>
          </w:tcPr>
          <w:p>
            <w:pPr>
              <w:jc w:val="left"/>
              <w:rPr>
                <w:rFonts w:hint="default" w:ascii="宋体" w:hAnsi="宋体"/>
                <w:b/>
                <w:sz w:val="18"/>
                <w:szCs w:val="18"/>
                <w:highlight w:val="none"/>
              </w:rPr>
            </w:pPr>
            <w:r>
              <w:rPr>
                <w:rFonts w:hint="eastAsia" w:ascii="宋体" w:hAnsi="宋体"/>
                <w:b/>
                <w:color w:val="000000"/>
                <w:sz w:val="18"/>
                <w:szCs w:val="18"/>
                <w:highlight w:val="none"/>
              </w:rPr>
              <w:t xml:space="preserve">  住房改革支出</w:t>
            </w:r>
          </w:p>
        </w:tc>
        <w:tc>
          <w:tcPr>
            <w:tcW w:w="340"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23.00</w:t>
            </w:r>
          </w:p>
        </w:tc>
        <w:tc>
          <w:tcPr>
            <w:tcW w:w="340" w:type="dxa"/>
            <w:gridSpan w:val="2"/>
            <w:shd w:val="clear" w:color="auto" w:fill="auto"/>
            <w:vAlign w:val="center"/>
          </w:tcPr>
          <w:p>
            <w:pPr>
              <w:jc w:val="right"/>
              <w:rPr>
                <w:b/>
                <w:sz w:val="18"/>
                <w:szCs w:val="18"/>
                <w:highlight w:val="none"/>
              </w:rPr>
            </w:pPr>
            <w:r>
              <w:rPr>
                <w:rFonts w:hint="eastAsia" w:ascii="宋体" w:hAnsi="宋体"/>
                <w:b/>
                <w:color w:val="000000"/>
                <w:sz w:val="18"/>
                <w:szCs w:val="18"/>
                <w:highlight w:val="none"/>
              </w:rPr>
              <w:t>23.00</w:t>
            </w:r>
          </w:p>
        </w:tc>
        <w:tc>
          <w:tcPr>
            <w:tcW w:w="340" w:type="dxa"/>
            <w:shd w:val="clear" w:color="auto" w:fill="auto"/>
            <w:vAlign w:val="center"/>
          </w:tcPr>
          <w:p>
            <w:pPr>
              <w:jc w:val="right"/>
              <w:rPr>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221</w:t>
            </w:r>
          </w:p>
        </w:tc>
        <w:tc>
          <w:tcPr>
            <w:tcW w:w="34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02</w:t>
            </w:r>
          </w:p>
        </w:tc>
        <w:tc>
          <w:tcPr>
            <w:tcW w:w="340"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01</w:t>
            </w:r>
          </w:p>
        </w:tc>
        <w:tc>
          <w:tcPr>
            <w:tcW w:w="340" w:type="dxa"/>
            <w:shd w:val="clear" w:color="auto" w:fill="auto"/>
            <w:vAlign w:val="center"/>
          </w:tcPr>
          <w:p>
            <w:pPr>
              <w:jc w:val="left"/>
              <w:rPr>
                <w:rFonts w:hint="default" w:ascii="宋体" w:hAnsi="宋体"/>
                <w:sz w:val="18"/>
                <w:szCs w:val="18"/>
                <w:highlight w:val="none"/>
              </w:rPr>
            </w:pPr>
            <w:r>
              <w:rPr>
                <w:rFonts w:hint="eastAsia" w:ascii="宋体" w:hAnsi="宋体"/>
                <w:color w:val="000000"/>
                <w:sz w:val="18"/>
                <w:szCs w:val="18"/>
                <w:highlight w:val="none"/>
              </w:rPr>
              <w:t xml:space="preserve">    住房公积金</w:t>
            </w:r>
          </w:p>
        </w:tc>
        <w:tc>
          <w:tcPr>
            <w:tcW w:w="340" w:type="dxa"/>
            <w:shd w:val="clear" w:color="auto" w:fill="auto"/>
            <w:vAlign w:val="center"/>
          </w:tcPr>
          <w:p>
            <w:pPr>
              <w:jc w:val="right"/>
              <w:rPr>
                <w:sz w:val="18"/>
                <w:szCs w:val="18"/>
                <w:highlight w:val="none"/>
              </w:rPr>
            </w:pPr>
            <w:r>
              <w:rPr>
                <w:rFonts w:hint="eastAsia" w:ascii="宋体" w:hAnsi="宋体"/>
                <w:color w:val="000000"/>
                <w:sz w:val="18"/>
                <w:szCs w:val="18"/>
                <w:highlight w:val="none"/>
              </w:rPr>
              <w:t>23.00</w:t>
            </w:r>
          </w:p>
        </w:tc>
        <w:tc>
          <w:tcPr>
            <w:tcW w:w="340" w:type="dxa"/>
            <w:gridSpan w:val="2"/>
            <w:shd w:val="clear" w:color="auto" w:fill="auto"/>
            <w:vAlign w:val="center"/>
          </w:tcPr>
          <w:p>
            <w:pPr>
              <w:jc w:val="right"/>
              <w:rPr>
                <w:sz w:val="18"/>
                <w:szCs w:val="18"/>
                <w:highlight w:val="none"/>
              </w:rPr>
            </w:pPr>
            <w:r>
              <w:rPr>
                <w:rFonts w:hint="eastAsia" w:ascii="宋体" w:hAnsi="宋体"/>
                <w:color w:val="000000"/>
                <w:sz w:val="18"/>
                <w:szCs w:val="18"/>
                <w:highlight w:val="none"/>
              </w:rPr>
              <w:t>23.00</w:t>
            </w:r>
          </w:p>
        </w:tc>
        <w:tc>
          <w:tcPr>
            <w:tcW w:w="340"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highlight w:val="none"/>
              </w:rPr>
            </w:pPr>
          </w:p>
        </w:tc>
        <w:tc>
          <w:tcPr>
            <w:tcW w:w="340" w:type="dxa"/>
            <w:shd w:val="clear" w:color="auto" w:fill="auto"/>
            <w:vAlign w:val="center"/>
          </w:tcPr>
          <w:p>
            <w:pPr>
              <w:jc w:val="center"/>
              <w:rPr>
                <w:rFonts w:hint="default" w:ascii="宋体" w:hAnsi="宋体"/>
                <w:b/>
                <w:sz w:val="18"/>
                <w:szCs w:val="18"/>
                <w:highlight w:val="none"/>
              </w:rPr>
            </w:pPr>
          </w:p>
        </w:tc>
        <w:tc>
          <w:tcPr>
            <w:tcW w:w="340" w:type="dxa"/>
            <w:shd w:val="clear" w:color="auto" w:fill="auto"/>
            <w:vAlign w:val="center"/>
          </w:tcPr>
          <w:p>
            <w:pPr>
              <w:jc w:val="center"/>
              <w:rPr>
                <w:rFonts w:hint="default" w:ascii="宋体" w:hAnsi="宋体"/>
                <w:b/>
                <w:sz w:val="18"/>
                <w:szCs w:val="18"/>
                <w:highlight w:val="none"/>
              </w:rPr>
            </w:pPr>
          </w:p>
        </w:tc>
        <w:tc>
          <w:tcPr>
            <w:tcW w:w="340"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8"/>
                <w:szCs w:val="18"/>
                <w:highlight w:val="none"/>
              </w:rPr>
              <w:t>总计</w:t>
            </w:r>
          </w:p>
        </w:tc>
        <w:tc>
          <w:tcPr>
            <w:tcW w:w="340"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914.14</w:t>
            </w:r>
          </w:p>
        </w:tc>
        <w:tc>
          <w:tcPr>
            <w:tcW w:w="340" w:type="dxa"/>
            <w:gridSpan w:val="2"/>
            <w:shd w:val="clear" w:color="auto" w:fill="auto"/>
            <w:vAlign w:val="center"/>
          </w:tcPr>
          <w:p>
            <w:pPr>
              <w:jc w:val="right"/>
              <w:rPr>
                <w:b/>
                <w:sz w:val="18"/>
                <w:szCs w:val="18"/>
                <w:highlight w:val="none"/>
              </w:rPr>
            </w:pPr>
            <w:r>
              <w:rPr>
                <w:rFonts w:hint="eastAsia" w:ascii="宋体" w:hAnsi="宋体"/>
                <w:b/>
                <w:color w:val="000000"/>
                <w:sz w:val="18"/>
                <w:szCs w:val="18"/>
                <w:highlight w:val="none"/>
              </w:rPr>
              <w:t>301.37</w:t>
            </w:r>
          </w:p>
        </w:tc>
        <w:tc>
          <w:tcPr>
            <w:tcW w:w="340"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612.77</w:t>
            </w:r>
          </w:p>
        </w:tc>
      </w:tr>
    </w:tbl>
    <w:p>
      <w:pPr>
        <w:widowControl/>
        <w:jc w:val="left"/>
        <w:rPr>
          <w:rFonts w:hint="default" w:ascii="仿宋" w:eastAsia="仿宋"/>
          <w:b/>
          <w:color w:val="000000"/>
          <w:szCs w:val="21"/>
          <w:highlight w:val="none"/>
        </w:rPr>
        <w:sectPr>
          <w:pgSz w:w="11906" w:h="16838"/>
          <w:pgMar w:top="1134" w:right="1134" w:bottom="1134" w:left="1134" w:header="851" w:footer="992" w:gutter="0"/>
          <w:cols w:space="425" w:num="1"/>
          <w:docGrid w:type="lines" w:linePitch="312" w:charSpace="0"/>
        </w:sectPr>
      </w:pPr>
    </w:p>
    <w:p>
      <w:pPr>
        <w:jc w:val="left"/>
        <w:rPr>
          <w:rFonts w:hint="default" w:ascii="宋体" w:hAnsi="宋体"/>
          <w:color w:val="000000"/>
          <w:sz w:val="18"/>
          <w:szCs w:val="18"/>
          <w:highlight w:val="none"/>
        </w:rPr>
      </w:pPr>
      <w:r>
        <w:rPr>
          <w:rFonts w:hint="eastAsia" w:ascii="宋体" w:hAnsi="宋体"/>
          <w:color w:val="000000"/>
          <w:sz w:val="18"/>
          <w:szCs w:val="18"/>
          <w:highlight w:val="none"/>
        </w:rPr>
        <w:t>表4</w:t>
      </w:r>
    </w:p>
    <w:p>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财政拨款收支预算总体情况表</w:t>
      </w:r>
    </w:p>
    <w:tbl>
      <w:tblPr>
        <w:tblW w:w="9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1982"/>
        <w:gridCol w:w="1117"/>
        <w:gridCol w:w="2434"/>
        <w:gridCol w:w="1117"/>
        <w:gridCol w:w="52"/>
        <w:gridCol w:w="1011"/>
        <w:gridCol w:w="108"/>
        <w:gridCol w:w="955"/>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6702" w:type="dxa"/>
            <w:gridSpan w:val="5"/>
            <w:tcBorders>
              <w:top w:val="nil"/>
              <w:left w:val="nil"/>
              <w:right w:val="nil"/>
            </w:tcBorders>
            <w:shd w:val="clear" w:color="auto" w:fill="auto"/>
            <w:vAlign w:val="center"/>
          </w:tcPr>
          <w:p>
            <w:pPr>
              <w:jc w:val="left"/>
              <w:rPr>
                <w:color w:val="000000"/>
                <w:sz w:val="18"/>
                <w:szCs w:val="18"/>
                <w:highlight w:val="none"/>
              </w:rPr>
            </w:pPr>
            <w:r>
              <w:rPr>
                <w:rFonts w:hint="eastAsia"/>
                <w:color w:val="000000"/>
                <w:sz w:val="18"/>
                <w:szCs w:val="18"/>
                <w:highlight w:val="none"/>
              </w:rPr>
              <w:t>编制单位：新疆维吾尔自治区无线电监测中心</w:t>
            </w:r>
          </w:p>
        </w:tc>
        <w:tc>
          <w:tcPr>
            <w:tcW w:w="1119" w:type="dxa"/>
            <w:gridSpan w:val="2"/>
            <w:tcBorders>
              <w:top w:val="nil"/>
              <w:left w:val="nil"/>
              <w:right w:val="nil"/>
            </w:tcBorders>
            <w:shd w:val="clear" w:color="auto" w:fill="auto"/>
          </w:tcPr>
          <w:p>
            <w:pPr>
              <w:jc w:val="right"/>
              <w:rPr>
                <w:color w:val="000000"/>
                <w:sz w:val="18"/>
                <w:szCs w:val="18"/>
                <w:highlight w:val="none"/>
              </w:rPr>
            </w:pPr>
          </w:p>
        </w:tc>
        <w:tc>
          <w:tcPr>
            <w:tcW w:w="2006" w:type="dxa"/>
            <w:gridSpan w:val="2"/>
            <w:tcBorders>
              <w:top w:val="nil"/>
              <w:left w:val="nil"/>
              <w:right w:val="nil"/>
            </w:tcBorders>
            <w:shd w:val="clear" w:color="auto" w:fill="auto"/>
            <w:vAlign w:val="center"/>
          </w:tcPr>
          <w:p>
            <w:pPr>
              <w:jc w:val="right"/>
              <w:rPr>
                <w:color w:val="000000"/>
                <w:sz w:val="18"/>
                <w:szCs w:val="18"/>
                <w:highlight w:val="none"/>
              </w:rPr>
            </w:pPr>
            <w:r>
              <w:rPr>
                <w:rFonts w:hint="eastAsia"/>
                <w:color w:val="000000"/>
                <w:sz w:val="18"/>
                <w:szCs w:val="18"/>
                <w:highlight w:val="none"/>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3099" w:type="dxa"/>
            <w:gridSpan w:val="2"/>
            <w:shd w:val="clear" w:color="auto" w:fill="auto"/>
            <w:vAlign w:val="center"/>
          </w:tcPr>
          <w:p>
            <w:pPr>
              <w:jc w:val="center"/>
              <w:rPr>
                <w:b/>
                <w:color w:val="000000"/>
                <w:sz w:val="18"/>
                <w:szCs w:val="18"/>
                <w:highlight w:val="none"/>
              </w:rPr>
            </w:pPr>
            <w:r>
              <w:rPr>
                <w:rFonts w:hint="eastAsia"/>
                <w:b/>
                <w:color w:val="000000"/>
                <w:sz w:val="18"/>
                <w:szCs w:val="18"/>
                <w:highlight w:val="none"/>
              </w:rPr>
              <w:t>财政拨款收入</w:t>
            </w:r>
          </w:p>
        </w:tc>
        <w:tc>
          <w:tcPr>
            <w:tcW w:w="6728" w:type="dxa"/>
            <w:gridSpan w:val="7"/>
            <w:shd w:val="clear" w:color="auto" w:fill="auto"/>
            <w:vAlign w:val="center"/>
          </w:tcPr>
          <w:p>
            <w:pPr>
              <w:jc w:val="center"/>
              <w:rPr>
                <w:b/>
                <w:color w:val="000000"/>
                <w:sz w:val="18"/>
                <w:szCs w:val="18"/>
                <w:highlight w:val="none"/>
              </w:rPr>
            </w:pPr>
            <w:r>
              <w:rPr>
                <w:rFonts w:hint="eastAsia"/>
                <w:b/>
                <w:color w:val="000000"/>
                <w:sz w:val="18"/>
                <w:szCs w:val="18"/>
                <w:highlight w:val="none"/>
              </w:rPr>
              <w:t>财政拨款支出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1982" w:type="dxa"/>
            <w:shd w:val="clear" w:color="auto" w:fill="auto"/>
            <w:vAlign w:val="center"/>
          </w:tcPr>
          <w:p>
            <w:pPr>
              <w:jc w:val="center"/>
              <w:rPr>
                <w:color w:val="000000"/>
                <w:sz w:val="18"/>
                <w:szCs w:val="18"/>
                <w:highlight w:val="none"/>
              </w:rPr>
            </w:pPr>
            <w:r>
              <w:rPr>
                <w:rFonts w:hint="eastAsia"/>
                <w:b/>
                <w:color w:val="000000"/>
                <w:sz w:val="18"/>
                <w:szCs w:val="18"/>
                <w:highlight w:val="none"/>
              </w:rPr>
              <w:t>项目</w:t>
            </w:r>
          </w:p>
        </w:tc>
        <w:tc>
          <w:tcPr>
            <w:tcW w:w="1117" w:type="dxa"/>
            <w:shd w:val="clear" w:color="auto" w:fill="auto"/>
            <w:vAlign w:val="center"/>
          </w:tcPr>
          <w:p>
            <w:pPr>
              <w:jc w:val="center"/>
              <w:rPr>
                <w:color w:val="000000"/>
                <w:sz w:val="18"/>
                <w:szCs w:val="18"/>
                <w:highlight w:val="none"/>
              </w:rPr>
            </w:pPr>
            <w:r>
              <w:rPr>
                <w:rFonts w:hint="eastAsia"/>
                <w:b/>
                <w:color w:val="000000"/>
                <w:sz w:val="18"/>
                <w:szCs w:val="18"/>
                <w:highlight w:val="none"/>
              </w:rPr>
              <w:t>合计</w:t>
            </w:r>
          </w:p>
        </w:tc>
        <w:tc>
          <w:tcPr>
            <w:tcW w:w="2434" w:type="dxa"/>
            <w:shd w:val="clear" w:color="auto" w:fill="auto"/>
            <w:vAlign w:val="center"/>
          </w:tcPr>
          <w:p>
            <w:pPr>
              <w:jc w:val="center"/>
              <w:rPr>
                <w:color w:val="000000"/>
                <w:sz w:val="18"/>
                <w:szCs w:val="18"/>
                <w:highlight w:val="none"/>
              </w:rPr>
            </w:pPr>
            <w:r>
              <w:rPr>
                <w:rFonts w:hint="eastAsia"/>
                <w:b/>
                <w:color w:val="000000"/>
                <w:sz w:val="18"/>
                <w:szCs w:val="18"/>
                <w:highlight w:val="none"/>
              </w:rPr>
              <w:t>科目名称</w:t>
            </w:r>
          </w:p>
        </w:tc>
        <w:tc>
          <w:tcPr>
            <w:tcW w:w="1117" w:type="dxa"/>
            <w:shd w:val="clear" w:color="auto" w:fill="auto"/>
            <w:vAlign w:val="center"/>
          </w:tcPr>
          <w:p>
            <w:pPr>
              <w:jc w:val="center"/>
              <w:rPr>
                <w:color w:val="000000"/>
                <w:sz w:val="18"/>
                <w:szCs w:val="18"/>
                <w:highlight w:val="none"/>
              </w:rPr>
            </w:pPr>
            <w:r>
              <w:rPr>
                <w:rFonts w:hint="eastAsia"/>
                <w:b/>
                <w:color w:val="000000"/>
                <w:sz w:val="18"/>
                <w:szCs w:val="18"/>
                <w:highlight w:val="none"/>
              </w:rPr>
              <w:t>合计</w:t>
            </w:r>
          </w:p>
        </w:tc>
        <w:tc>
          <w:tcPr>
            <w:tcW w:w="1063" w:type="dxa"/>
            <w:gridSpan w:val="2"/>
            <w:shd w:val="clear" w:color="auto" w:fill="auto"/>
            <w:vAlign w:val="center"/>
          </w:tcPr>
          <w:p>
            <w:pPr>
              <w:jc w:val="center"/>
              <w:rPr>
                <w:color w:val="000000"/>
                <w:sz w:val="18"/>
                <w:szCs w:val="18"/>
                <w:highlight w:val="none"/>
              </w:rPr>
            </w:pPr>
            <w:r>
              <w:rPr>
                <w:rFonts w:hint="eastAsia"/>
                <w:b/>
                <w:color w:val="000000"/>
                <w:sz w:val="18"/>
                <w:szCs w:val="18"/>
                <w:highlight w:val="none"/>
              </w:rPr>
              <w:t>一般公共预算</w:t>
            </w:r>
          </w:p>
        </w:tc>
        <w:tc>
          <w:tcPr>
            <w:tcW w:w="1063" w:type="dxa"/>
            <w:gridSpan w:val="2"/>
            <w:shd w:val="clear" w:color="auto" w:fill="auto"/>
            <w:vAlign w:val="center"/>
          </w:tcPr>
          <w:p>
            <w:pPr>
              <w:jc w:val="center"/>
              <w:rPr>
                <w:color w:val="000000"/>
                <w:sz w:val="18"/>
                <w:szCs w:val="18"/>
                <w:highlight w:val="none"/>
              </w:rPr>
            </w:pPr>
            <w:r>
              <w:rPr>
                <w:rFonts w:hint="eastAsia"/>
                <w:b/>
                <w:color w:val="000000"/>
                <w:sz w:val="18"/>
                <w:szCs w:val="18"/>
                <w:highlight w:val="none"/>
              </w:rPr>
              <w:t>政府性基金预算</w:t>
            </w:r>
          </w:p>
        </w:tc>
        <w:tc>
          <w:tcPr>
            <w:tcW w:w="1051" w:type="dxa"/>
            <w:shd w:val="clear" w:color="auto" w:fill="auto"/>
            <w:vAlign w:val="center"/>
          </w:tcPr>
          <w:p>
            <w:pPr>
              <w:jc w:val="center"/>
              <w:rPr>
                <w:color w:val="000000"/>
                <w:sz w:val="18"/>
                <w:szCs w:val="18"/>
                <w:highlight w:val="none"/>
              </w:rPr>
            </w:pPr>
            <w:r>
              <w:rPr>
                <w:rFonts w:hint="eastAsia"/>
                <w:b/>
                <w:color w:val="000000"/>
                <w:sz w:val="18"/>
                <w:szCs w:val="18"/>
                <w:highlight w:val="none"/>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vAlign w:val="center"/>
          </w:tcPr>
          <w:p>
            <w:pPr>
              <w:rPr>
                <w:rFonts w:hint="default" w:ascii="宋体" w:hAnsi="宋体" w:cs="宋体"/>
                <w:color w:val="000000"/>
                <w:sz w:val="18"/>
                <w:szCs w:val="18"/>
                <w:highlight w:val="none"/>
              </w:rPr>
            </w:pPr>
            <w:r>
              <w:rPr>
                <w:rFonts w:hint="eastAsia"/>
                <w:b/>
                <w:color w:val="000000"/>
                <w:sz w:val="18"/>
                <w:szCs w:val="18"/>
                <w:highlight w:val="none"/>
              </w:rPr>
              <w:t>一、财政拨款（补助）</w:t>
            </w:r>
          </w:p>
        </w:tc>
        <w:tc>
          <w:tcPr>
            <w:tcW w:w="1117" w:type="dxa"/>
            <w:shd w:val="clear" w:color="auto" w:fill="auto"/>
          </w:tcPr>
          <w:p>
            <w:pPr>
              <w:jc w:val="right"/>
              <w:rPr>
                <w:rFonts w:hint="default" w:ascii="宋体" w:hAnsi="宋体"/>
                <w:color w:val="000000"/>
                <w:sz w:val="18"/>
                <w:szCs w:val="18"/>
                <w:highlight w:val="none"/>
              </w:rPr>
            </w:pPr>
            <w:r>
              <w:rPr>
                <w:rFonts w:hint="eastAsia" w:ascii="宋体" w:hAnsi="宋体"/>
                <w:b/>
                <w:color w:val="000000"/>
                <w:sz w:val="18"/>
                <w:szCs w:val="18"/>
                <w:highlight w:val="none"/>
              </w:rPr>
              <w:t>603.51</w:t>
            </w: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201 一般公共服务支出</w:t>
            </w:r>
          </w:p>
        </w:tc>
        <w:tc>
          <w:tcPr>
            <w:tcW w:w="1117" w:type="dxa"/>
            <w:shd w:val="clear" w:color="auto" w:fill="auto"/>
          </w:tcPr>
          <w:p>
            <w:pPr>
              <w:jc w:val="right"/>
              <w:rPr>
                <w:rFonts w:hint="default" w:ascii="宋体" w:hAnsi="宋体"/>
                <w:color w:val="000000"/>
                <w:sz w:val="18"/>
                <w:szCs w:val="18"/>
                <w:highlight w:val="none"/>
              </w:rPr>
            </w:pPr>
          </w:p>
        </w:tc>
        <w:tc>
          <w:tcPr>
            <w:tcW w:w="1063" w:type="dxa"/>
            <w:gridSpan w:val="2"/>
            <w:shd w:val="clear" w:color="auto" w:fill="auto"/>
          </w:tcPr>
          <w:p>
            <w:pPr>
              <w:jc w:val="right"/>
              <w:rPr>
                <w:rFonts w:hint="default" w:ascii="宋体" w:hAnsi="宋体"/>
                <w:color w:val="000000"/>
                <w:sz w:val="18"/>
                <w:szCs w:val="18"/>
                <w:highlight w:val="none"/>
              </w:rPr>
            </w:pPr>
          </w:p>
        </w:tc>
        <w:tc>
          <w:tcPr>
            <w:tcW w:w="1063" w:type="dxa"/>
            <w:gridSpan w:val="2"/>
            <w:shd w:val="clear" w:color="auto" w:fill="auto"/>
          </w:tcPr>
          <w:p>
            <w:pPr>
              <w:jc w:val="right"/>
              <w:rPr>
                <w:rFonts w:hint="default" w:ascii="宋体" w:hAnsi="宋体"/>
                <w:color w:val="000000"/>
                <w:sz w:val="18"/>
                <w:szCs w:val="18"/>
                <w:highlight w:val="none"/>
              </w:rPr>
            </w:pPr>
          </w:p>
        </w:tc>
        <w:tc>
          <w:tcPr>
            <w:tcW w:w="1051" w:type="dxa"/>
            <w:shd w:val="clear" w:color="auto" w:fill="auto"/>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ind w:firstLine="360" w:firstLineChars="200"/>
              <w:rPr>
                <w:rFonts w:hint="default" w:ascii="宋体" w:hAnsi="宋体" w:cs="宋体"/>
                <w:color w:val="000000"/>
                <w:sz w:val="18"/>
                <w:szCs w:val="18"/>
                <w:highlight w:val="none"/>
              </w:rPr>
            </w:pPr>
            <w:r>
              <w:rPr>
                <w:rFonts w:hint="eastAsia"/>
                <w:color w:val="000000"/>
                <w:sz w:val="18"/>
                <w:szCs w:val="18"/>
                <w:highlight w:val="none"/>
              </w:rPr>
              <w:t>一般公共预算</w:t>
            </w:r>
          </w:p>
        </w:tc>
        <w:tc>
          <w:tcPr>
            <w:tcW w:w="1117" w:type="dxa"/>
            <w:shd w:val="clear" w:color="auto" w:fill="auto"/>
          </w:tcPr>
          <w:p>
            <w:pPr>
              <w:jc w:val="right"/>
              <w:rPr>
                <w:rFonts w:hint="default" w:ascii="宋体" w:hAnsi="宋体"/>
                <w:color w:val="000000"/>
                <w:sz w:val="18"/>
                <w:szCs w:val="18"/>
                <w:highlight w:val="none"/>
              </w:rPr>
            </w:pPr>
            <w:r>
              <w:rPr>
                <w:rFonts w:hint="eastAsia" w:ascii="宋体" w:hAnsi="宋体"/>
                <w:color w:val="000000"/>
                <w:sz w:val="18"/>
                <w:szCs w:val="18"/>
                <w:highlight w:val="none"/>
              </w:rPr>
              <w:t>603.51</w:t>
            </w: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202 外交支出</w:t>
            </w:r>
          </w:p>
        </w:tc>
        <w:tc>
          <w:tcPr>
            <w:tcW w:w="1117" w:type="dxa"/>
            <w:shd w:val="clear" w:color="auto" w:fill="auto"/>
          </w:tcPr>
          <w:p>
            <w:pPr>
              <w:jc w:val="right"/>
              <w:rPr>
                <w:rFonts w:hint="default" w:ascii="宋体" w:hAnsi="宋体"/>
                <w:color w:val="000000"/>
                <w:sz w:val="18"/>
                <w:szCs w:val="18"/>
                <w:highlight w:val="none"/>
              </w:rPr>
            </w:pPr>
          </w:p>
        </w:tc>
        <w:tc>
          <w:tcPr>
            <w:tcW w:w="1063" w:type="dxa"/>
            <w:gridSpan w:val="2"/>
            <w:shd w:val="clear" w:color="auto" w:fill="auto"/>
          </w:tcPr>
          <w:p>
            <w:pPr>
              <w:jc w:val="right"/>
              <w:rPr>
                <w:rFonts w:hint="default" w:ascii="宋体" w:hAnsi="宋体"/>
                <w:color w:val="000000"/>
                <w:sz w:val="18"/>
                <w:szCs w:val="18"/>
                <w:highlight w:val="none"/>
              </w:rPr>
            </w:pPr>
          </w:p>
        </w:tc>
        <w:tc>
          <w:tcPr>
            <w:tcW w:w="1063" w:type="dxa"/>
            <w:gridSpan w:val="2"/>
            <w:shd w:val="clear" w:color="auto" w:fill="auto"/>
          </w:tcPr>
          <w:p>
            <w:pPr>
              <w:jc w:val="right"/>
              <w:rPr>
                <w:rFonts w:hint="default" w:ascii="宋体" w:hAnsi="宋体"/>
                <w:color w:val="000000"/>
                <w:sz w:val="18"/>
                <w:szCs w:val="18"/>
                <w:highlight w:val="none"/>
              </w:rPr>
            </w:pPr>
          </w:p>
        </w:tc>
        <w:tc>
          <w:tcPr>
            <w:tcW w:w="1051" w:type="dxa"/>
            <w:shd w:val="clear" w:color="auto" w:fill="auto"/>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ind w:firstLine="360" w:firstLineChars="200"/>
              <w:rPr>
                <w:rFonts w:hint="default" w:ascii="宋体" w:hAnsi="宋体" w:cs="宋体"/>
                <w:color w:val="000000"/>
                <w:sz w:val="18"/>
                <w:szCs w:val="18"/>
                <w:highlight w:val="none"/>
              </w:rPr>
            </w:pPr>
            <w:r>
              <w:rPr>
                <w:rFonts w:hint="eastAsia"/>
                <w:color w:val="000000"/>
                <w:sz w:val="18"/>
                <w:szCs w:val="18"/>
                <w:highlight w:val="none"/>
              </w:rPr>
              <w:t>政府性基金预算</w:t>
            </w:r>
          </w:p>
        </w:tc>
        <w:tc>
          <w:tcPr>
            <w:tcW w:w="1117" w:type="dxa"/>
            <w:shd w:val="clear" w:color="auto" w:fill="auto"/>
          </w:tcPr>
          <w:p>
            <w:pPr>
              <w:jc w:val="right"/>
              <w:rPr>
                <w:rFonts w:hint="default" w:ascii="宋体" w:hAnsi="宋体"/>
                <w:color w:val="000000"/>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203 国防支出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ind w:firstLine="360" w:firstLineChars="200"/>
              <w:rPr>
                <w:rFonts w:hint="default" w:ascii="宋体" w:hAnsi="宋体" w:cs="宋体"/>
                <w:color w:val="000000"/>
                <w:sz w:val="18"/>
                <w:szCs w:val="18"/>
                <w:highlight w:val="none"/>
              </w:rPr>
            </w:pPr>
            <w:r>
              <w:rPr>
                <w:rFonts w:hint="eastAsia"/>
                <w:color w:val="000000"/>
                <w:sz w:val="18"/>
                <w:szCs w:val="18"/>
                <w:highlight w:val="none"/>
              </w:rPr>
              <w:t>国有资本经营预算</w:t>
            </w:r>
          </w:p>
        </w:tc>
        <w:tc>
          <w:tcPr>
            <w:tcW w:w="1117" w:type="dxa"/>
            <w:shd w:val="clear" w:color="auto" w:fill="auto"/>
          </w:tcPr>
          <w:p>
            <w:pPr>
              <w:jc w:val="right"/>
              <w:rPr>
                <w:rFonts w:hint="default" w:ascii="宋体" w:hAnsi="宋体"/>
                <w:color w:val="000000"/>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204 公共安全支出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vAlign w:val="center"/>
          </w:tcPr>
          <w:p>
            <w:pPr>
              <w:rPr>
                <w:rFonts w:hint="default" w:ascii="宋体" w:hAnsi="宋体" w:cs="宋体"/>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205 教育支出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rPr>
                <w:rFonts w:hint="default" w:ascii="宋体" w:hAnsi="宋体" w:cs="宋体"/>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206 科学技术支出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rPr>
                <w:rFonts w:hint="default" w:ascii="宋体" w:hAnsi="宋体" w:cs="宋体"/>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207 文化旅游体育与传媒支出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rPr>
                <w:rFonts w:hint="default" w:ascii="宋体" w:hAnsi="宋体" w:cs="宋体"/>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208 社会保障和就业支出</w:t>
            </w:r>
          </w:p>
        </w:tc>
        <w:tc>
          <w:tcPr>
            <w:tcW w:w="1117" w:type="dxa"/>
            <w:shd w:val="clear" w:color="auto" w:fill="auto"/>
            <w:vAlign w:val="center"/>
          </w:tcPr>
          <w:p>
            <w:pPr>
              <w:jc w:val="right"/>
              <w:rPr>
                <w:rFonts w:hint="default" w:ascii="宋体" w:hAnsi="宋体"/>
                <w:color w:val="000000"/>
                <w:sz w:val="18"/>
                <w:szCs w:val="18"/>
                <w:highlight w:val="none"/>
              </w:rPr>
            </w:pPr>
            <w:r>
              <w:rPr>
                <w:rFonts w:hint="eastAsia" w:ascii="宋体" w:hAnsi="宋体"/>
                <w:color w:val="000000"/>
                <w:sz w:val="18"/>
                <w:szCs w:val="18"/>
                <w:highlight w:val="none"/>
              </w:rPr>
              <w:t>50.08</w:t>
            </w:r>
          </w:p>
        </w:tc>
        <w:tc>
          <w:tcPr>
            <w:tcW w:w="1063" w:type="dxa"/>
            <w:gridSpan w:val="2"/>
            <w:shd w:val="clear" w:color="auto" w:fill="auto"/>
            <w:vAlign w:val="center"/>
          </w:tcPr>
          <w:p>
            <w:pPr>
              <w:jc w:val="right"/>
              <w:rPr>
                <w:rFonts w:hint="default" w:ascii="宋体" w:hAnsi="宋体"/>
                <w:color w:val="000000"/>
                <w:sz w:val="18"/>
                <w:szCs w:val="18"/>
                <w:highlight w:val="none"/>
              </w:rPr>
            </w:pPr>
            <w:r>
              <w:rPr>
                <w:rFonts w:hint="eastAsia" w:ascii="宋体" w:hAnsi="宋体"/>
                <w:color w:val="000000"/>
                <w:sz w:val="18"/>
                <w:szCs w:val="18"/>
                <w:highlight w:val="none"/>
              </w:rPr>
              <w:t>50.08</w:t>
            </w: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vAlign w:val="center"/>
          </w:tcPr>
          <w:p>
            <w:pPr>
              <w:rPr>
                <w:rFonts w:hint="default" w:ascii="宋体" w:hAnsi="宋体" w:cs="宋体"/>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209 社会保险基金支出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210 卫生健康支出</w:t>
            </w:r>
          </w:p>
        </w:tc>
        <w:tc>
          <w:tcPr>
            <w:tcW w:w="1117" w:type="dxa"/>
            <w:shd w:val="clear" w:color="auto" w:fill="auto"/>
            <w:vAlign w:val="center"/>
          </w:tcPr>
          <w:p>
            <w:pPr>
              <w:jc w:val="right"/>
              <w:rPr>
                <w:rFonts w:hint="default" w:ascii="宋体" w:hAnsi="宋体"/>
                <w:color w:val="000000"/>
                <w:sz w:val="18"/>
                <w:szCs w:val="18"/>
                <w:highlight w:val="none"/>
              </w:rPr>
            </w:pPr>
            <w:r>
              <w:rPr>
                <w:rFonts w:hint="eastAsia" w:ascii="宋体" w:hAnsi="宋体"/>
                <w:color w:val="000000"/>
                <w:sz w:val="18"/>
                <w:szCs w:val="18"/>
                <w:highlight w:val="none"/>
              </w:rPr>
              <w:t>34.20</w:t>
            </w:r>
          </w:p>
        </w:tc>
        <w:tc>
          <w:tcPr>
            <w:tcW w:w="1063" w:type="dxa"/>
            <w:gridSpan w:val="2"/>
            <w:shd w:val="clear" w:color="auto" w:fill="auto"/>
            <w:vAlign w:val="center"/>
          </w:tcPr>
          <w:p>
            <w:pPr>
              <w:jc w:val="right"/>
              <w:rPr>
                <w:rFonts w:hint="default" w:ascii="宋体" w:hAnsi="宋体"/>
                <w:color w:val="000000"/>
                <w:sz w:val="18"/>
                <w:szCs w:val="18"/>
                <w:highlight w:val="none"/>
              </w:rPr>
            </w:pPr>
            <w:r>
              <w:rPr>
                <w:rFonts w:hint="eastAsia" w:ascii="宋体" w:hAnsi="宋体"/>
                <w:color w:val="000000"/>
                <w:sz w:val="18"/>
                <w:szCs w:val="18"/>
                <w:highlight w:val="none"/>
              </w:rPr>
              <w:t>34.20</w:t>
            </w: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211 节能环保支出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212 城乡社区支出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213 农林水支出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214 交通运输支出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215 资源勘探工业信息等支出</w:t>
            </w:r>
          </w:p>
        </w:tc>
        <w:tc>
          <w:tcPr>
            <w:tcW w:w="1117" w:type="dxa"/>
            <w:shd w:val="clear" w:color="auto" w:fill="auto"/>
            <w:vAlign w:val="center"/>
          </w:tcPr>
          <w:p>
            <w:pPr>
              <w:jc w:val="right"/>
              <w:rPr>
                <w:rFonts w:hint="default" w:ascii="宋体" w:hAnsi="宋体"/>
                <w:color w:val="000000"/>
                <w:sz w:val="18"/>
                <w:szCs w:val="18"/>
                <w:highlight w:val="none"/>
              </w:rPr>
            </w:pPr>
            <w:r>
              <w:rPr>
                <w:rFonts w:hint="eastAsia" w:ascii="宋体" w:hAnsi="宋体"/>
                <w:color w:val="000000"/>
                <w:sz w:val="18"/>
                <w:szCs w:val="18"/>
                <w:highlight w:val="none"/>
              </w:rPr>
              <w:t>496.22</w:t>
            </w:r>
          </w:p>
        </w:tc>
        <w:tc>
          <w:tcPr>
            <w:tcW w:w="1063" w:type="dxa"/>
            <w:gridSpan w:val="2"/>
            <w:shd w:val="clear" w:color="auto" w:fill="auto"/>
            <w:vAlign w:val="center"/>
          </w:tcPr>
          <w:p>
            <w:pPr>
              <w:jc w:val="right"/>
              <w:rPr>
                <w:rFonts w:hint="default" w:ascii="宋体" w:hAnsi="宋体"/>
                <w:color w:val="000000"/>
                <w:sz w:val="18"/>
                <w:szCs w:val="18"/>
                <w:highlight w:val="none"/>
              </w:rPr>
            </w:pPr>
            <w:r>
              <w:rPr>
                <w:rFonts w:hint="eastAsia" w:ascii="宋体" w:hAnsi="宋体"/>
                <w:color w:val="000000"/>
                <w:sz w:val="18"/>
                <w:szCs w:val="18"/>
                <w:highlight w:val="none"/>
              </w:rPr>
              <w:t>496.22</w:t>
            </w: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216 商业服务业等支出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217 金融支出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219 援助其他地区支出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220 自然资源海洋气象等支出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221 住房保障支出</w:t>
            </w:r>
          </w:p>
        </w:tc>
        <w:tc>
          <w:tcPr>
            <w:tcW w:w="1117" w:type="dxa"/>
            <w:shd w:val="clear" w:color="auto" w:fill="auto"/>
            <w:vAlign w:val="center"/>
          </w:tcPr>
          <w:p>
            <w:pPr>
              <w:jc w:val="right"/>
              <w:rPr>
                <w:rFonts w:hint="default" w:ascii="宋体" w:hAnsi="宋体"/>
                <w:color w:val="000000"/>
                <w:sz w:val="18"/>
                <w:szCs w:val="18"/>
                <w:highlight w:val="none"/>
              </w:rPr>
            </w:pPr>
            <w:r>
              <w:rPr>
                <w:rFonts w:hint="eastAsia" w:ascii="宋体" w:hAnsi="宋体"/>
                <w:color w:val="000000"/>
                <w:sz w:val="18"/>
                <w:szCs w:val="18"/>
                <w:highlight w:val="none"/>
              </w:rPr>
              <w:t>23.00</w:t>
            </w:r>
          </w:p>
        </w:tc>
        <w:tc>
          <w:tcPr>
            <w:tcW w:w="1063" w:type="dxa"/>
            <w:gridSpan w:val="2"/>
            <w:shd w:val="clear" w:color="auto" w:fill="auto"/>
            <w:vAlign w:val="center"/>
          </w:tcPr>
          <w:p>
            <w:pPr>
              <w:jc w:val="right"/>
              <w:rPr>
                <w:rFonts w:hint="default" w:ascii="宋体" w:hAnsi="宋体"/>
                <w:color w:val="000000"/>
                <w:sz w:val="18"/>
                <w:szCs w:val="18"/>
                <w:highlight w:val="none"/>
              </w:rPr>
            </w:pPr>
            <w:r>
              <w:rPr>
                <w:rFonts w:hint="eastAsia" w:ascii="宋体" w:hAnsi="宋体"/>
                <w:color w:val="000000"/>
                <w:sz w:val="18"/>
                <w:szCs w:val="18"/>
                <w:highlight w:val="none"/>
              </w:rPr>
              <w:t>23.00</w:t>
            </w: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222 粮油物资储备支出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223 国有资本经营预算支出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224 灾害防治及应急管理支出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227 预备费</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229 其他支出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230 转移性支出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231 债务还本支出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232 债务付息支出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233 债务发行费用支出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234 抗疫特别国债安排的支出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jc w:val="center"/>
              <w:rPr>
                <w:color w:val="000000"/>
                <w:sz w:val="18"/>
                <w:szCs w:val="18"/>
                <w:highlight w:val="none"/>
              </w:rPr>
            </w:pPr>
            <w:r>
              <w:rPr>
                <w:rFonts w:hint="eastAsia"/>
                <w:b/>
                <w:color w:val="000000"/>
                <w:sz w:val="18"/>
                <w:szCs w:val="18"/>
                <w:highlight w:val="none"/>
              </w:rPr>
              <w:t>收入总计</w:t>
            </w:r>
          </w:p>
        </w:tc>
        <w:tc>
          <w:tcPr>
            <w:tcW w:w="1117" w:type="dxa"/>
            <w:shd w:val="clear" w:color="auto" w:fill="auto"/>
          </w:tcPr>
          <w:p>
            <w:pPr>
              <w:jc w:val="right"/>
              <w:rPr>
                <w:sz w:val="18"/>
                <w:szCs w:val="18"/>
                <w:highlight w:val="none"/>
              </w:rPr>
            </w:pPr>
            <w:r>
              <w:rPr>
                <w:rFonts w:hint="eastAsia" w:ascii="宋体" w:hAnsi="宋体"/>
                <w:b/>
                <w:color w:val="000000"/>
                <w:sz w:val="18"/>
                <w:szCs w:val="18"/>
                <w:highlight w:val="none"/>
              </w:rPr>
              <w:t>603.51</w:t>
            </w:r>
          </w:p>
        </w:tc>
        <w:tc>
          <w:tcPr>
            <w:tcW w:w="2434" w:type="dxa"/>
            <w:shd w:val="clear" w:color="auto" w:fill="auto"/>
          </w:tcPr>
          <w:p>
            <w:pPr>
              <w:jc w:val="center"/>
              <w:rPr>
                <w:rFonts w:hint="default" w:ascii="宋体" w:hAnsi="宋体" w:cs="宋体"/>
                <w:color w:val="000000"/>
                <w:sz w:val="18"/>
                <w:szCs w:val="18"/>
                <w:highlight w:val="none"/>
              </w:rPr>
            </w:pPr>
            <w:r>
              <w:rPr>
                <w:rFonts w:hint="eastAsia"/>
                <w:b/>
                <w:color w:val="000000"/>
                <w:sz w:val="18"/>
                <w:szCs w:val="18"/>
                <w:highlight w:val="none"/>
              </w:rPr>
              <w:t>支出总计</w:t>
            </w:r>
          </w:p>
        </w:tc>
        <w:tc>
          <w:tcPr>
            <w:tcW w:w="1117" w:type="dxa"/>
            <w:shd w:val="clear" w:color="auto" w:fill="auto"/>
          </w:tcPr>
          <w:p>
            <w:pPr>
              <w:jc w:val="right"/>
              <w:rPr>
                <w:sz w:val="18"/>
                <w:szCs w:val="18"/>
                <w:highlight w:val="none"/>
              </w:rPr>
            </w:pPr>
            <w:r>
              <w:rPr>
                <w:rFonts w:hint="eastAsia" w:ascii="宋体" w:hAnsi="宋体"/>
                <w:b/>
                <w:color w:val="000000"/>
                <w:sz w:val="18"/>
                <w:szCs w:val="18"/>
                <w:highlight w:val="none"/>
              </w:rPr>
              <w:t>603.51</w:t>
            </w:r>
          </w:p>
        </w:tc>
        <w:tc>
          <w:tcPr>
            <w:tcW w:w="1063" w:type="dxa"/>
            <w:gridSpan w:val="2"/>
            <w:shd w:val="clear" w:color="auto" w:fill="auto"/>
          </w:tcPr>
          <w:p>
            <w:pPr>
              <w:jc w:val="right"/>
              <w:rPr>
                <w:sz w:val="18"/>
                <w:szCs w:val="18"/>
                <w:highlight w:val="none"/>
              </w:rPr>
            </w:pPr>
            <w:r>
              <w:rPr>
                <w:rFonts w:hint="eastAsia" w:ascii="宋体" w:hAnsi="宋体"/>
                <w:b/>
                <w:color w:val="000000"/>
                <w:sz w:val="18"/>
                <w:szCs w:val="18"/>
                <w:highlight w:val="none"/>
              </w:rPr>
              <w:t>603.51</w:t>
            </w:r>
          </w:p>
        </w:tc>
        <w:tc>
          <w:tcPr>
            <w:tcW w:w="1063" w:type="dxa"/>
            <w:gridSpan w:val="2"/>
            <w:shd w:val="clear" w:color="auto" w:fill="auto"/>
          </w:tcPr>
          <w:p>
            <w:pPr>
              <w:jc w:val="right"/>
              <w:rPr>
                <w:sz w:val="18"/>
                <w:szCs w:val="18"/>
                <w:highlight w:val="none"/>
              </w:rPr>
            </w:pPr>
          </w:p>
        </w:tc>
        <w:tc>
          <w:tcPr>
            <w:tcW w:w="1051" w:type="dxa"/>
            <w:shd w:val="clear" w:color="auto" w:fill="auto"/>
          </w:tcPr>
          <w:p>
            <w:pPr>
              <w:jc w:val="right"/>
              <w:rPr>
                <w:sz w:val="18"/>
                <w:szCs w:val="18"/>
                <w:highlight w:val="none"/>
              </w:rPr>
            </w:pPr>
          </w:p>
        </w:tc>
      </w:tr>
    </w:tbl>
    <w:p>
      <w:pPr>
        <w:widowControl/>
        <w:jc w:val="left"/>
        <w:rPr>
          <w:rFonts w:hint="default" w:ascii="仿宋" w:eastAsia="仿宋"/>
          <w:b/>
          <w:color w:val="000000"/>
          <w:szCs w:val="21"/>
          <w:highlight w:val="none"/>
        </w:rPr>
        <w:sectPr>
          <w:pgSz w:w="11906" w:h="16838"/>
          <w:pgMar w:top="1134" w:right="1134" w:bottom="1134" w:left="1134" w:header="851" w:footer="992" w:gutter="0"/>
          <w:cols w:space="425" w:num="1"/>
          <w:docGrid w:type="lines" w:linePitch="312" w:charSpace="0"/>
        </w:sectPr>
      </w:pPr>
    </w:p>
    <w:p>
      <w:pPr>
        <w:rPr>
          <w:highlight w:val="none"/>
        </w:rPr>
      </w:pPr>
      <w:r>
        <w:rPr>
          <w:rFonts w:hint="eastAsia" w:ascii="宋体" w:hAnsi="宋体"/>
          <w:color w:val="000000"/>
          <w:sz w:val="18"/>
          <w:szCs w:val="18"/>
          <w:highlight w:val="none"/>
        </w:rPr>
        <w:t>表5</w:t>
      </w:r>
    </w:p>
    <w:p>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一般公共预算支出情况表</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4026"/>
        <w:gridCol w:w="1367"/>
        <w:gridCol w:w="1085"/>
        <w:gridCol w:w="281"/>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42" w:hRule="atLeast"/>
          <w:tblHeader/>
        </w:trPr>
        <w:tc>
          <w:tcPr>
            <w:tcW w:w="8146" w:type="dxa"/>
            <w:gridSpan w:val="6"/>
            <w:tcBorders>
              <w:top w:val="nil"/>
              <w:left w:val="nil"/>
              <w:right w:val="nil"/>
            </w:tcBorders>
            <w:shd w:val="clear" w:color="auto" w:fill="auto"/>
            <w:vAlign w:val="center"/>
          </w:tcPr>
          <w:p>
            <w:pPr>
              <w:jc w:val="left"/>
              <w:rPr>
                <w:sz w:val="18"/>
                <w:szCs w:val="18"/>
                <w:highlight w:val="none"/>
              </w:rPr>
            </w:pPr>
            <w:r>
              <w:rPr>
                <w:rFonts w:hint="eastAsia"/>
                <w:color w:val="000000"/>
                <w:sz w:val="18"/>
                <w:szCs w:val="18"/>
                <w:highlight w:val="none"/>
              </w:rPr>
              <w:t>编制单位：新疆维吾尔自治区无线电监测中心</w:t>
            </w:r>
          </w:p>
        </w:tc>
        <w:tc>
          <w:tcPr>
            <w:tcW w:w="1708" w:type="dxa"/>
            <w:gridSpan w:val="2"/>
            <w:tcBorders>
              <w:top w:val="nil"/>
              <w:left w:val="nil"/>
              <w:right w:val="nil"/>
            </w:tcBorders>
            <w:shd w:val="clear" w:color="auto" w:fill="auto"/>
            <w:vAlign w:val="center"/>
          </w:tcPr>
          <w:p>
            <w:pPr>
              <w:jc w:val="right"/>
              <w:rPr>
                <w:sz w:val="18"/>
                <w:szCs w:val="18"/>
                <w:highlight w:val="none"/>
              </w:rPr>
            </w:pPr>
            <w:r>
              <w:rPr>
                <w:rFonts w:hint="eastAsia"/>
                <w:color w:val="000000"/>
                <w:sz w:val="18"/>
                <w:szCs w:val="18"/>
                <w:highlight w:val="none"/>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42" w:hRule="atLeast"/>
          <w:tblHeader/>
        </w:trPr>
        <w:tc>
          <w:tcPr>
            <w:tcW w:w="5694" w:type="dxa"/>
            <w:gridSpan w:val="4"/>
            <w:shd w:val="clear" w:color="auto" w:fill="auto"/>
            <w:vAlign w:val="center"/>
          </w:tcPr>
          <w:p>
            <w:pPr>
              <w:jc w:val="center"/>
              <w:rPr>
                <w:sz w:val="18"/>
                <w:szCs w:val="18"/>
                <w:highlight w:val="none"/>
              </w:rPr>
            </w:pPr>
            <w:r>
              <w:rPr>
                <w:rFonts w:hint="eastAsia"/>
                <w:sz w:val="18"/>
                <w:szCs w:val="18"/>
                <w:highlight w:val="none"/>
              </w:rPr>
              <w:t>科目</w:t>
            </w:r>
          </w:p>
        </w:tc>
        <w:tc>
          <w:tcPr>
            <w:tcW w:w="4160" w:type="dxa"/>
            <w:gridSpan w:val="4"/>
            <w:shd w:val="clear" w:color="auto" w:fill="auto"/>
            <w:vAlign w:val="center"/>
          </w:tcPr>
          <w:p>
            <w:pPr>
              <w:jc w:val="center"/>
              <w:rPr>
                <w:sz w:val="18"/>
                <w:szCs w:val="18"/>
                <w:highlight w:val="none"/>
              </w:rPr>
            </w:pPr>
            <w:r>
              <w:rPr>
                <w:rFonts w:hint="eastAsia"/>
                <w:sz w:val="18"/>
                <w:szCs w:val="18"/>
                <w:highlight w:val="none"/>
              </w:rPr>
              <w:t>一般公共预算支出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04" w:hRule="atLeast"/>
          <w:tblHeader/>
        </w:trPr>
        <w:tc>
          <w:tcPr>
            <w:tcW w:w="1668" w:type="dxa"/>
            <w:gridSpan w:val="3"/>
            <w:shd w:val="clear" w:color="auto" w:fill="auto"/>
            <w:vAlign w:val="center"/>
          </w:tcPr>
          <w:p>
            <w:pPr>
              <w:jc w:val="center"/>
              <w:rPr>
                <w:sz w:val="18"/>
                <w:szCs w:val="18"/>
                <w:highlight w:val="none"/>
              </w:rPr>
            </w:pPr>
            <w:r>
              <w:rPr>
                <w:rFonts w:hint="eastAsia"/>
                <w:sz w:val="18"/>
                <w:szCs w:val="18"/>
                <w:highlight w:val="none"/>
              </w:rPr>
              <w:t>科目代码</w:t>
            </w:r>
          </w:p>
        </w:tc>
        <w:tc>
          <w:tcPr>
            <w:tcW w:w="4026" w:type="dxa"/>
            <w:vMerge w:val="restart"/>
            <w:shd w:val="clear" w:color="auto" w:fill="auto"/>
            <w:vAlign w:val="center"/>
          </w:tcPr>
          <w:p>
            <w:pPr>
              <w:jc w:val="center"/>
              <w:rPr>
                <w:sz w:val="18"/>
                <w:szCs w:val="18"/>
                <w:highlight w:val="none"/>
              </w:rPr>
            </w:pPr>
            <w:r>
              <w:rPr>
                <w:rFonts w:hint="eastAsia"/>
                <w:sz w:val="18"/>
                <w:szCs w:val="18"/>
                <w:highlight w:val="none"/>
              </w:rPr>
              <w:t>科目名称</w:t>
            </w:r>
          </w:p>
        </w:tc>
        <w:tc>
          <w:tcPr>
            <w:tcW w:w="1367" w:type="dxa"/>
            <w:vMerge w:val="restart"/>
            <w:shd w:val="clear" w:color="auto" w:fill="auto"/>
            <w:vAlign w:val="center"/>
          </w:tcPr>
          <w:p>
            <w:pPr>
              <w:jc w:val="center"/>
              <w:rPr>
                <w:sz w:val="18"/>
                <w:szCs w:val="18"/>
                <w:highlight w:val="none"/>
              </w:rPr>
            </w:pPr>
            <w:r>
              <w:rPr>
                <w:rFonts w:hint="eastAsia"/>
                <w:sz w:val="18"/>
                <w:szCs w:val="18"/>
                <w:highlight w:val="none"/>
              </w:rPr>
              <w:t>合计</w:t>
            </w:r>
          </w:p>
        </w:tc>
        <w:tc>
          <w:tcPr>
            <w:tcW w:w="1366" w:type="dxa"/>
            <w:gridSpan w:val="2"/>
            <w:vMerge w:val="restart"/>
            <w:shd w:val="clear" w:color="auto" w:fill="auto"/>
            <w:vAlign w:val="center"/>
          </w:tcPr>
          <w:p>
            <w:pPr>
              <w:jc w:val="center"/>
              <w:rPr>
                <w:sz w:val="18"/>
                <w:szCs w:val="18"/>
                <w:highlight w:val="none"/>
              </w:rPr>
            </w:pPr>
            <w:r>
              <w:rPr>
                <w:rFonts w:hint="eastAsia"/>
                <w:sz w:val="18"/>
                <w:szCs w:val="18"/>
                <w:highlight w:val="none"/>
              </w:rPr>
              <w:t>基本支出</w:t>
            </w:r>
          </w:p>
        </w:tc>
        <w:tc>
          <w:tcPr>
            <w:tcW w:w="1427" w:type="dxa"/>
            <w:vMerge w:val="restart"/>
            <w:shd w:val="clear" w:color="auto" w:fill="auto"/>
            <w:vAlign w:val="center"/>
          </w:tcPr>
          <w:p>
            <w:pPr>
              <w:jc w:val="center"/>
              <w:rPr>
                <w:sz w:val="18"/>
                <w:szCs w:val="18"/>
                <w:highlight w:val="none"/>
              </w:rPr>
            </w:pPr>
            <w:r>
              <w:rPr>
                <w:rFonts w:hint="eastAsia"/>
                <w:sz w:val="18"/>
                <w:szCs w:val="18"/>
                <w:highlight w:val="none"/>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70" w:hRule="atLeast"/>
          <w:tblHeader/>
        </w:trPr>
        <w:tc>
          <w:tcPr>
            <w:tcW w:w="534" w:type="dxa"/>
            <w:shd w:val="clear" w:color="auto" w:fill="auto"/>
            <w:vAlign w:val="center"/>
          </w:tcPr>
          <w:p>
            <w:pPr>
              <w:jc w:val="center"/>
              <w:rPr>
                <w:sz w:val="18"/>
                <w:szCs w:val="18"/>
                <w:highlight w:val="none"/>
              </w:rPr>
            </w:pPr>
            <w:r>
              <w:rPr>
                <w:rFonts w:hint="eastAsia"/>
                <w:sz w:val="18"/>
                <w:szCs w:val="18"/>
                <w:highlight w:val="none"/>
              </w:rPr>
              <w:t>类</w:t>
            </w:r>
          </w:p>
        </w:tc>
        <w:tc>
          <w:tcPr>
            <w:tcW w:w="567" w:type="dxa"/>
            <w:shd w:val="clear" w:color="auto" w:fill="auto"/>
            <w:vAlign w:val="center"/>
          </w:tcPr>
          <w:p>
            <w:pPr>
              <w:jc w:val="center"/>
              <w:rPr>
                <w:sz w:val="18"/>
                <w:szCs w:val="18"/>
                <w:highlight w:val="none"/>
              </w:rPr>
            </w:pPr>
            <w:r>
              <w:rPr>
                <w:rFonts w:hint="eastAsia"/>
                <w:sz w:val="18"/>
                <w:szCs w:val="18"/>
                <w:highlight w:val="none"/>
              </w:rPr>
              <w:t>款</w:t>
            </w:r>
          </w:p>
        </w:tc>
        <w:tc>
          <w:tcPr>
            <w:tcW w:w="567" w:type="dxa"/>
            <w:shd w:val="clear" w:color="auto" w:fill="auto"/>
            <w:vAlign w:val="center"/>
          </w:tcPr>
          <w:p>
            <w:pPr>
              <w:jc w:val="center"/>
              <w:rPr>
                <w:sz w:val="18"/>
                <w:szCs w:val="18"/>
                <w:highlight w:val="none"/>
              </w:rPr>
            </w:pPr>
            <w:r>
              <w:rPr>
                <w:rFonts w:hint="eastAsia"/>
                <w:sz w:val="18"/>
                <w:szCs w:val="18"/>
                <w:highlight w:val="none"/>
              </w:rPr>
              <w:t>项</w:t>
            </w:r>
          </w:p>
        </w:tc>
        <w:tc>
          <w:tcPr>
            <w:tcW w:w="4026" w:type="dxa"/>
            <w:vMerge w:val="continue"/>
            <w:shd w:val="clear" w:color="auto" w:fill="auto"/>
            <w:vAlign w:val="center"/>
          </w:tcPr>
          <w:p>
            <w:pPr>
              <w:jc w:val="center"/>
              <w:rPr>
                <w:sz w:val="18"/>
                <w:szCs w:val="18"/>
                <w:highlight w:val="none"/>
              </w:rPr>
            </w:pPr>
          </w:p>
        </w:tc>
        <w:tc>
          <w:tcPr>
            <w:tcW w:w="1367" w:type="dxa"/>
            <w:vMerge w:val="continue"/>
            <w:shd w:val="clear" w:color="auto" w:fill="auto"/>
            <w:vAlign w:val="center"/>
          </w:tcPr>
          <w:p>
            <w:pPr>
              <w:jc w:val="center"/>
              <w:rPr>
                <w:sz w:val="18"/>
                <w:szCs w:val="18"/>
                <w:highlight w:val="none"/>
              </w:rPr>
            </w:pPr>
          </w:p>
        </w:tc>
        <w:tc>
          <w:tcPr>
            <w:tcW w:w="1366" w:type="dxa"/>
            <w:gridSpan w:val="2"/>
            <w:vMerge w:val="continue"/>
            <w:shd w:val="clear" w:color="auto" w:fill="auto"/>
            <w:vAlign w:val="center"/>
          </w:tcPr>
          <w:p>
            <w:pPr>
              <w:jc w:val="center"/>
              <w:rPr>
                <w:sz w:val="18"/>
                <w:szCs w:val="18"/>
                <w:highlight w:val="none"/>
              </w:rPr>
            </w:pPr>
          </w:p>
        </w:tc>
        <w:tc>
          <w:tcPr>
            <w:tcW w:w="1427" w:type="dxa"/>
            <w:vMerge w:val="continue"/>
            <w:shd w:val="clear" w:color="auto" w:fill="auto"/>
            <w:vAlign w:val="center"/>
          </w:tcPr>
          <w:p>
            <w:pPr>
              <w:jc w:val="center"/>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highlight w:val="none"/>
              </w:rPr>
            </w:pPr>
            <w:r>
              <w:rPr>
                <w:rFonts w:hint="eastAsia" w:ascii="宋体" w:hAnsi="宋体"/>
                <w:b/>
                <w:color w:val="000000"/>
                <w:sz w:val="18"/>
                <w:szCs w:val="18"/>
                <w:highlight w:val="none"/>
              </w:rPr>
              <w:t>208</w:t>
            </w:r>
          </w:p>
        </w:tc>
        <w:tc>
          <w:tcPr>
            <w:tcW w:w="567" w:type="dxa"/>
            <w:shd w:val="clear" w:color="auto" w:fill="auto"/>
            <w:vAlign w:val="center"/>
          </w:tcPr>
          <w:p>
            <w:pPr>
              <w:jc w:val="center"/>
              <w:rPr>
                <w:b/>
                <w:sz w:val="18"/>
                <w:szCs w:val="18"/>
                <w:highlight w:val="none"/>
              </w:rPr>
            </w:pPr>
          </w:p>
        </w:tc>
        <w:tc>
          <w:tcPr>
            <w:tcW w:w="567" w:type="dxa"/>
            <w:shd w:val="clear" w:color="auto" w:fill="auto"/>
            <w:vAlign w:val="center"/>
          </w:tcPr>
          <w:p>
            <w:pPr>
              <w:jc w:val="center"/>
              <w:rPr>
                <w:b/>
                <w:sz w:val="18"/>
                <w:szCs w:val="18"/>
                <w:highlight w:val="none"/>
              </w:rPr>
            </w:pPr>
          </w:p>
        </w:tc>
        <w:tc>
          <w:tcPr>
            <w:tcW w:w="4026" w:type="dxa"/>
            <w:shd w:val="clear" w:color="auto" w:fill="auto"/>
            <w:vAlign w:val="center"/>
          </w:tcPr>
          <w:p>
            <w:pPr>
              <w:jc w:val="left"/>
              <w:rPr>
                <w:b/>
                <w:sz w:val="18"/>
                <w:szCs w:val="18"/>
                <w:highlight w:val="none"/>
              </w:rPr>
            </w:pPr>
            <w:r>
              <w:rPr>
                <w:rFonts w:hint="eastAsia" w:ascii="宋体" w:hAnsi="宋体"/>
                <w:b/>
                <w:color w:val="000000"/>
                <w:sz w:val="18"/>
                <w:szCs w:val="18"/>
                <w:highlight w:val="none"/>
              </w:rPr>
              <w:t>社会保障和就业支出</w:t>
            </w:r>
          </w:p>
        </w:tc>
        <w:tc>
          <w:tcPr>
            <w:tcW w:w="1367"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50.08</w:t>
            </w:r>
          </w:p>
        </w:tc>
        <w:tc>
          <w:tcPr>
            <w:tcW w:w="1366" w:type="dxa"/>
            <w:gridSpan w:val="2"/>
            <w:shd w:val="clear" w:color="auto" w:fill="auto"/>
            <w:vAlign w:val="center"/>
          </w:tcPr>
          <w:p>
            <w:pPr>
              <w:jc w:val="right"/>
              <w:rPr>
                <w:b/>
                <w:sz w:val="18"/>
                <w:szCs w:val="18"/>
                <w:highlight w:val="none"/>
              </w:rPr>
            </w:pPr>
            <w:r>
              <w:rPr>
                <w:rFonts w:hint="eastAsia" w:ascii="宋体" w:hAnsi="宋体"/>
                <w:b/>
                <w:color w:val="000000"/>
                <w:sz w:val="18"/>
                <w:szCs w:val="18"/>
                <w:highlight w:val="none"/>
              </w:rPr>
              <w:t>50.08</w:t>
            </w:r>
          </w:p>
        </w:tc>
        <w:tc>
          <w:tcPr>
            <w:tcW w:w="1427" w:type="dxa"/>
            <w:shd w:val="clear" w:color="auto" w:fill="auto"/>
            <w:vAlign w:val="center"/>
          </w:tcPr>
          <w:p>
            <w:pPr>
              <w:jc w:val="right"/>
              <w:rPr>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highlight w:val="none"/>
              </w:rPr>
            </w:pPr>
            <w:r>
              <w:rPr>
                <w:rFonts w:hint="eastAsia" w:ascii="宋体" w:hAnsi="宋体"/>
                <w:b/>
                <w:color w:val="000000"/>
                <w:sz w:val="18"/>
                <w:szCs w:val="18"/>
                <w:highlight w:val="none"/>
              </w:rPr>
              <w:t>208</w:t>
            </w:r>
          </w:p>
        </w:tc>
        <w:tc>
          <w:tcPr>
            <w:tcW w:w="567" w:type="dxa"/>
            <w:shd w:val="clear" w:color="auto" w:fill="auto"/>
            <w:vAlign w:val="center"/>
          </w:tcPr>
          <w:p>
            <w:pPr>
              <w:jc w:val="center"/>
              <w:rPr>
                <w:b/>
                <w:sz w:val="18"/>
                <w:szCs w:val="18"/>
                <w:highlight w:val="none"/>
              </w:rPr>
            </w:pPr>
            <w:r>
              <w:rPr>
                <w:rFonts w:hint="eastAsia" w:ascii="宋体" w:hAnsi="宋体"/>
                <w:b/>
                <w:color w:val="000000"/>
                <w:sz w:val="18"/>
                <w:szCs w:val="18"/>
                <w:highlight w:val="none"/>
              </w:rPr>
              <w:t>05</w:t>
            </w:r>
          </w:p>
        </w:tc>
        <w:tc>
          <w:tcPr>
            <w:tcW w:w="567" w:type="dxa"/>
            <w:shd w:val="clear" w:color="auto" w:fill="auto"/>
            <w:vAlign w:val="center"/>
          </w:tcPr>
          <w:p>
            <w:pPr>
              <w:jc w:val="center"/>
              <w:rPr>
                <w:b/>
                <w:sz w:val="18"/>
                <w:szCs w:val="18"/>
                <w:highlight w:val="none"/>
              </w:rPr>
            </w:pPr>
          </w:p>
        </w:tc>
        <w:tc>
          <w:tcPr>
            <w:tcW w:w="4026" w:type="dxa"/>
            <w:shd w:val="clear" w:color="auto" w:fill="auto"/>
            <w:vAlign w:val="center"/>
          </w:tcPr>
          <w:p>
            <w:pPr>
              <w:jc w:val="left"/>
              <w:rPr>
                <w:b/>
                <w:sz w:val="18"/>
                <w:szCs w:val="18"/>
                <w:highlight w:val="none"/>
              </w:rPr>
            </w:pPr>
            <w:r>
              <w:rPr>
                <w:rFonts w:hint="eastAsia" w:ascii="宋体" w:hAnsi="宋体"/>
                <w:b/>
                <w:color w:val="000000"/>
                <w:sz w:val="18"/>
                <w:szCs w:val="18"/>
                <w:highlight w:val="none"/>
              </w:rPr>
              <w:t xml:space="preserve">  行政事业单位养老支出</w:t>
            </w:r>
          </w:p>
        </w:tc>
        <w:tc>
          <w:tcPr>
            <w:tcW w:w="1367"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50.08</w:t>
            </w:r>
          </w:p>
        </w:tc>
        <w:tc>
          <w:tcPr>
            <w:tcW w:w="1366" w:type="dxa"/>
            <w:gridSpan w:val="2"/>
            <w:shd w:val="clear" w:color="auto" w:fill="auto"/>
            <w:vAlign w:val="center"/>
          </w:tcPr>
          <w:p>
            <w:pPr>
              <w:jc w:val="right"/>
              <w:rPr>
                <w:b/>
                <w:sz w:val="18"/>
                <w:szCs w:val="18"/>
                <w:highlight w:val="none"/>
              </w:rPr>
            </w:pPr>
            <w:r>
              <w:rPr>
                <w:rFonts w:hint="eastAsia" w:ascii="宋体" w:hAnsi="宋体"/>
                <w:b/>
                <w:color w:val="000000"/>
                <w:sz w:val="18"/>
                <w:szCs w:val="18"/>
                <w:highlight w:val="none"/>
              </w:rPr>
              <w:t>50.08</w:t>
            </w:r>
          </w:p>
        </w:tc>
        <w:tc>
          <w:tcPr>
            <w:tcW w:w="1427" w:type="dxa"/>
            <w:shd w:val="clear" w:color="auto" w:fill="auto"/>
            <w:vAlign w:val="center"/>
          </w:tcPr>
          <w:p>
            <w:pPr>
              <w:jc w:val="right"/>
              <w:rPr>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highlight w:val="none"/>
              </w:rPr>
            </w:pPr>
            <w:r>
              <w:rPr>
                <w:rFonts w:hint="eastAsia" w:ascii="宋体" w:hAnsi="宋体"/>
                <w:color w:val="000000"/>
                <w:sz w:val="18"/>
                <w:szCs w:val="18"/>
                <w:highlight w:val="none"/>
              </w:rPr>
              <w:t>208</w:t>
            </w:r>
          </w:p>
        </w:tc>
        <w:tc>
          <w:tcPr>
            <w:tcW w:w="567" w:type="dxa"/>
            <w:shd w:val="clear" w:color="auto" w:fill="auto"/>
            <w:vAlign w:val="center"/>
          </w:tcPr>
          <w:p>
            <w:pPr>
              <w:jc w:val="center"/>
              <w:rPr>
                <w:sz w:val="18"/>
                <w:szCs w:val="18"/>
                <w:highlight w:val="none"/>
              </w:rPr>
            </w:pPr>
            <w:r>
              <w:rPr>
                <w:rFonts w:hint="eastAsia" w:ascii="宋体" w:hAnsi="宋体"/>
                <w:color w:val="000000"/>
                <w:sz w:val="18"/>
                <w:szCs w:val="18"/>
                <w:highlight w:val="none"/>
              </w:rPr>
              <w:t>05</w:t>
            </w:r>
          </w:p>
        </w:tc>
        <w:tc>
          <w:tcPr>
            <w:tcW w:w="567" w:type="dxa"/>
            <w:shd w:val="clear" w:color="auto" w:fill="auto"/>
            <w:vAlign w:val="center"/>
          </w:tcPr>
          <w:p>
            <w:pPr>
              <w:jc w:val="center"/>
              <w:rPr>
                <w:sz w:val="18"/>
                <w:szCs w:val="18"/>
                <w:highlight w:val="none"/>
              </w:rPr>
            </w:pPr>
            <w:r>
              <w:rPr>
                <w:rFonts w:hint="eastAsia" w:ascii="宋体" w:hAnsi="宋体"/>
                <w:color w:val="000000"/>
                <w:sz w:val="18"/>
                <w:szCs w:val="18"/>
                <w:highlight w:val="none"/>
              </w:rPr>
              <w:t>02</w:t>
            </w:r>
          </w:p>
        </w:tc>
        <w:tc>
          <w:tcPr>
            <w:tcW w:w="4026" w:type="dxa"/>
            <w:shd w:val="clear" w:color="auto" w:fill="auto"/>
            <w:vAlign w:val="center"/>
          </w:tcPr>
          <w:p>
            <w:pPr>
              <w:jc w:val="left"/>
              <w:rPr>
                <w:sz w:val="18"/>
                <w:szCs w:val="18"/>
                <w:highlight w:val="none"/>
              </w:rPr>
            </w:pPr>
            <w:r>
              <w:rPr>
                <w:rFonts w:hint="eastAsia" w:ascii="宋体" w:hAnsi="宋体"/>
                <w:color w:val="000000"/>
                <w:sz w:val="18"/>
                <w:szCs w:val="18"/>
                <w:highlight w:val="none"/>
              </w:rPr>
              <w:t xml:space="preserve">    事业单位离退休</w:t>
            </w:r>
          </w:p>
        </w:tc>
        <w:tc>
          <w:tcPr>
            <w:tcW w:w="1367" w:type="dxa"/>
            <w:shd w:val="clear" w:color="auto" w:fill="auto"/>
            <w:vAlign w:val="center"/>
          </w:tcPr>
          <w:p>
            <w:pPr>
              <w:jc w:val="right"/>
              <w:rPr>
                <w:sz w:val="18"/>
                <w:szCs w:val="18"/>
                <w:highlight w:val="none"/>
              </w:rPr>
            </w:pPr>
            <w:r>
              <w:rPr>
                <w:rFonts w:hint="eastAsia" w:ascii="宋体" w:hAnsi="宋体"/>
                <w:color w:val="000000"/>
                <w:sz w:val="18"/>
                <w:szCs w:val="18"/>
                <w:highlight w:val="none"/>
              </w:rPr>
              <w:t>5.08</w:t>
            </w:r>
          </w:p>
        </w:tc>
        <w:tc>
          <w:tcPr>
            <w:tcW w:w="1366" w:type="dxa"/>
            <w:gridSpan w:val="2"/>
            <w:shd w:val="clear" w:color="auto" w:fill="auto"/>
            <w:vAlign w:val="center"/>
          </w:tcPr>
          <w:p>
            <w:pPr>
              <w:jc w:val="right"/>
              <w:rPr>
                <w:sz w:val="18"/>
                <w:szCs w:val="18"/>
                <w:highlight w:val="none"/>
              </w:rPr>
            </w:pPr>
            <w:r>
              <w:rPr>
                <w:rFonts w:hint="eastAsia" w:ascii="宋体" w:hAnsi="宋体"/>
                <w:color w:val="000000"/>
                <w:sz w:val="18"/>
                <w:szCs w:val="18"/>
                <w:highlight w:val="none"/>
              </w:rPr>
              <w:t>5.08</w:t>
            </w:r>
          </w:p>
        </w:tc>
        <w:tc>
          <w:tcPr>
            <w:tcW w:w="1427"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highlight w:val="none"/>
              </w:rPr>
            </w:pPr>
            <w:r>
              <w:rPr>
                <w:rFonts w:hint="eastAsia" w:ascii="宋体" w:hAnsi="宋体"/>
                <w:color w:val="000000"/>
                <w:sz w:val="18"/>
                <w:szCs w:val="18"/>
                <w:highlight w:val="none"/>
              </w:rPr>
              <w:t>208</w:t>
            </w:r>
          </w:p>
        </w:tc>
        <w:tc>
          <w:tcPr>
            <w:tcW w:w="567" w:type="dxa"/>
            <w:shd w:val="clear" w:color="auto" w:fill="auto"/>
            <w:vAlign w:val="center"/>
          </w:tcPr>
          <w:p>
            <w:pPr>
              <w:jc w:val="center"/>
              <w:rPr>
                <w:sz w:val="18"/>
                <w:szCs w:val="18"/>
                <w:highlight w:val="none"/>
              </w:rPr>
            </w:pPr>
            <w:r>
              <w:rPr>
                <w:rFonts w:hint="eastAsia" w:ascii="宋体" w:hAnsi="宋体"/>
                <w:color w:val="000000"/>
                <w:sz w:val="18"/>
                <w:szCs w:val="18"/>
                <w:highlight w:val="none"/>
              </w:rPr>
              <w:t>05</w:t>
            </w:r>
          </w:p>
        </w:tc>
        <w:tc>
          <w:tcPr>
            <w:tcW w:w="567" w:type="dxa"/>
            <w:shd w:val="clear" w:color="auto" w:fill="auto"/>
            <w:vAlign w:val="center"/>
          </w:tcPr>
          <w:p>
            <w:pPr>
              <w:jc w:val="center"/>
              <w:rPr>
                <w:sz w:val="18"/>
                <w:szCs w:val="18"/>
                <w:highlight w:val="none"/>
              </w:rPr>
            </w:pPr>
            <w:r>
              <w:rPr>
                <w:rFonts w:hint="eastAsia" w:ascii="宋体" w:hAnsi="宋体"/>
                <w:color w:val="000000"/>
                <w:sz w:val="18"/>
                <w:szCs w:val="18"/>
                <w:highlight w:val="none"/>
              </w:rPr>
              <w:t>05</w:t>
            </w:r>
          </w:p>
        </w:tc>
        <w:tc>
          <w:tcPr>
            <w:tcW w:w="4026" w:type="dxa"/>
            <w:shd w:val="clear" w:color="auto" w:fill="auto"/>
            <w:vAlign w:val="center"/>
          </w:tcPr>
          <w:p>
            <w:pPr>
              <w:jc w:val="left"/>
              <w:rPr>
                <w:sz w:val="18"/>
                <w:szCs w:val="18"/>
                <w:highlight w:val="none"/>
              </w:rPr>
            </w:pPr>
            <w:r>
              <w:rPr>
                <w:rFonts w:hint="eastAsia" w:ascii="宋体" w:hAnsi="宋体"/>
                <w:color w:val="000000"/>
                <w:sz w:val="18"/>
                <w:szCs w:val="18"/>
                <w:highlight w:val="none"/>
              </w:rPr>
              <w:t xml:space="preserve">    机关事业单位基本养老保险缴费支出</w:t>
            </w:r>
          </w:p>
        </w:tc>
        <w:tc>
          <w:tcPr>
            <w:tcW w:w="1367" w:type="dxa"/>
            <w:shd w:val="clear" w:color="auto" w:fill="auto"/>
            <w:vAlign w:val="center"/>
          </w:tcPr>
          <w:p>
            <w:pPr>
              <w:jc w:val="right"/>
              <w:rPr>
                <w:sz w:val="18"/>
                <w:szCs w:val="18"/>
                <w:highlight w:val="none"/>
              </w:rPr>
            </w:pPr>
            <w:r>
              <w:rPr>
                <w:rFonts w:hint="eastAsia" w:ascii="宋体" w:hAnsi="宋体"/>
                <w:color w:val="000000"/>
                <w:sz w:val="18"/>
                <w:szCs w:val="18"/>
                <w:highlight w:val="none"/>
              </w:rPr>
              <w:t>30.00</w:t>
            </w:r>
          </w:p>
        </w:tc>
        <w:tc>
          <w:tcPr>
            <w:tcW w:w="1366" w:type="dxa"/>
            <w:gridSpan w:val="2"/>
            <w:shd w:val="clear" w:color="auto" w:fill="auto"/>
            <w:vAlign w:val="center"/>
          </w:tcPr>
          <w:p>
            <w:pPr>
              <w:jc w:val="right"/>
              <w:rPr>
                <w:sz w:val="18"/>
                <w:szCs w:val="18"/>
                <w:highlight w:val="none"/>
              </w:rPr>
            </w:pPr>
            <w:r>
              <w:rPr>
                <w:rFonts w:hint="eastAsia" w:ascii="宋体" w:hAnsi="宋体"/>
                <w:color w:val="000000"/>
                <w:sz w:val="18"/>
                <w:szCs w:val="18"/>
                <w:highlight w:val="none"/>
              </w:rPr>
              <w:t>30.00</w:t>
            </w:r>
          </w:p>
        </w:tc>
        <w:tc>
          <w:tcPr>
            <w:tcW w:w="1427"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highlight w:val="none"/>
              </w:rPr>
            </w:pPr>
            <w:r>
              <w:rPr>
                <w:rFonts w:hint="eastAsia" w:ascii="宋体" w:hAnsi="宋体"/>
                <w:color w:val="000000"/>
                <w:sz w:val="18"/>
                <w:szCs w:val="18"/>
                <w:highlight w:val="none"/>
              </w:rPr>
              <w:t>208</w:t>
            </w:r>
          </w:p>
        </w:tc>
        <w:tc>
          <w:tcPr>
            <w:tcW w:w="567" w:type="dxa"/>
            <w:shd w:val="clear" w:color="auto" w:fill="auto"/>
            <w:vAlign w:val="center"/>
          </w:tcPr>
          <w:p>
            <w:pPr>
              <w:jc w:val="center"/>
              <w:rPr>
                <w:sz w:val="18"/>
                <w:szCs w:val="18"/>
                <w:highlight w:val="none"/>
              </w:rPr>
            </w:pPr>
            <w:r>
              <w:rPr>
                <w:rFonts w:hint="eastAsia" w:ascii="宋体" w:hAnsi="宋体"/>
                <w:color w:val="000000"/>
                <w:sz w:val="18"/>
                <w:szCs w:val="18"/>
                <w:highlight w:val="none"/>
              </w:rPr>
              <w:t>05</w:t>
            </w:r>
          </w:p>
        </w:tc>
        <w:tc>
          <w:tcPr>
            <w:tcW w:w="567" w:type="dxa"/>
            <w:shd w:val="clear" w:color="auto" w:fill="auto"/>
            <w:vAlign w:val="center"/>
          </w:tcPr>
          <w:p>
            <w:pPr>
              <w:jc w:val="center"/>
              <w:rPr>
                <w:sz w:val="18"/>
                <w:szCs w:val="18"/>
                <w:highlight w:val="none"/>
              </w:rPr>
            </w:pPr>
            <w:r>
              <w:rPr>
                <w:rFonts w:hint="eastAsia" w:ascii="宋体" w:hAnsi="宋体"/>
                <w:color w:val="000000"/>
                <w:sz w:val="18"/>
                <w:szCs w:val="18"/>
                <w:highlight w:val="none"/>
              </w:rPr>
              <w:t>06</w:t>
            </w:r>
          </w:p>
        </w:tc>
        <w:tc>
          <w:tcPr>
            <w:tcW w:w="4026" w:type="dxa"/>
            <w:shd w:val="clear" w:color="auto" w:fill="auto"/>
            <w:vAlign w:val="center"/>
          </w:tcPr>
          <w:p>
            <w:pPr>
              <w:jc w:val="left"/>
              <w:rPr>
                <w:sz w:val="18"/>
                <w:szCs w:val="18"/>
                <w:highlight w:val="none"/>
              </w:rPr>
            </w:pPr>
            <w:r>
              <w:rPr>
                <w:rFonts w:hint="eastAsia" w:ascii="宋体" w:hAnsi="宋体"/>
                <w:color w:val="000000"/>
                <w:sz w:val="18"/>
                <w:szCs w:val="18"/>
                <w:highlight w:val="none"/>
              </w:rPr>
              <w:t xml:space="preserve">    机关事业单位职业年金缴费支出</w:t>
            </w:r>
          </w:p>
        </w:tc>
        <w:tc>
          <w:tcPr>
            <w:tcW w:w="1367" w:type="dxa"/>
            <w:shd w:val="clear" w:color="auto" w:fill="auto"/>
            <w:vAlign w:val="center"/>
          </w:tcPr>
          <w:p>
            <w:pPr>
              <w:jc w:val="right"/>
              <w:rPr>
                <w:sz w:val="18"/>
                <w:szCs w:val="18"/>
                <w:highlight w:val="none"/>
              </w:rPr>
            </w:pPr>
            <w:r>
              <w:rPr>
                <w:rFonts w:hint="eastAsia" w:ascii="宋体" w:hAnsi="宋体"/>
                <w:color w:val="000000"/>
                <w:sz w:val="18"/>
                <w:szCs w:val="18"/>
                <w:highlight w:val="none"/>
              </w:rPr>
              <w:t>15.00</w:t>
            </w:r>
          </w:p>
        </w:tc>
        <w:tc>
          <w:tcPr>
            <w:tcW w:w="1366" w:type="dxa"/>
            <w:gridSpan w:val="2"/>
            <w:shd w:val="clear" w:color="auto" w:fill="auto"/>
            <w:vAlign w:val="center"/>
          </w:tcPr>
          <w:p>
            <w:pPr>
              <w:jc w:val="right"/>
              <w:rPr>
                <w:sz w:val="18"/>
                <w:szCs w:val="18"/>
                <w:highlight w:val="none"/>
              </w:rPr>
            </w:pPr>
            <w:r>
              <w:rPr>
                <w:rFonts w:hint="eastAsia" w:ascii="宋体" w:hAnsi="宋体"/>
                <w:color w:val="000000"/>
                <w:sz w:val="18"/>
                <w:szCs w:val="18"/>
                <w:highlight w:val="none"/>
              </w:rPr>
              <w:t>15.00</w:t>
            </w:r>
          </w:p>
        </w:tc>
        <w:tc>
          <w:tcPr>
            <w:tcW w:w="1427"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highlight w:val="none"/>
              </w:rPr>
            </w:pPr>
            <w:r>
              <w:rPr>
                <w:rFonts w:hint="eastAsia" w:ascii="宋体" w:hAnsi="宋体"/>
                <w:b/>
                <w:color w:val="000000"/>
                <w:sz w:val="18"/>
                <w:szCs w:val="18"/>
                <w:highlight w:val="none"/>
              </w:rPr>
              <w:t>210</w:t>
            </w:r>
          </w:p>
        </w:tc>
        <w:tc>
          <w:tcPr>
            <w:tcW w:w="567" w:type="dxa"/>
            <w:shd w:val="clear" w:color="auto" w:fill="auto"/>
            <w:vAlign w:val="center"/>
          </w:tcPr>
          <w:p>
            <w:pPr>
              <w:jc w:val="center"/>
              <w:rPr>
                <w:b/>
                <w:sz w:val="18"/>
                <w:szCs w:val="18"/>
                <w:highlight w:val="none"/>
              </w:rPr>
            </w:pPr>
          </w:p>
        </w:tc>
        <w:tc>
          <w:tcPr>
            <w:tcW w:w="567" w:type="dxa"/>
            <w:shd w:val="clear" w:color="auto" w:fill="auto"/>
            <w:vAlign w:val="center"/>
          </w:tcPr>
          <w:p>
            <w:pPr>
              <w:jc w:val="center"/>
              <w:rPr>
                <w:b/>
                <w:sz w:val="18"/>
                <w:szCs w:val="18"/>
                <w:highlight w:val="none"/>
              </w:rPr>
            </w:pPr>
          </w:p>
        </w:tc>
        <w:tc>
          <w:tcPr>
            <w:tcW w:w="4026" w:type="dxa"/>
            <w:shd w:val="clear" w:color="auto" w:fill="auto"/>
            <w:vAlign w:val="center"/>
          </w:tcPr>
          <w:p>
            <w:pPr>
              <w:jc w:val="left"/>
              <w:rPr>
                <w:b/>
                <w:sz w:val="18"/>
                <w:szCs w:val="18"/>
                <w:highlight w:val="none"/>
              </w:rPr>
            </w:pPr>
            <w:r>
              <w:rPr>
                <w:rFonts w:hint="eastAsia" w:ascii="宋体" w:hAnsi="宋体"/>
                <w:b/>
                <w:color w:val="000000"/>
                <w:sz w:val="18"/>
                <w:szCs w:val="18"/>
                <w:highlight w:val="none"/>
              </w:rPr>
              <w:t>卫生健康支出</w:t>
            </w:r>
          </w:p>
        </w:tc>
        <w:tc>
          <w:tcPr>
            <w:tcW w:w="1367"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34.20</w:t>
            </w:r>
          </w:p>
        </w:tc>
        <w:tc>
          <w:tcPr>
            <w:tcW w:w="1366" w:type="dxa"/>
            <w:gridSpan w:val="2"/>
            <w:shd w:val="clear" w:color="auto" w:fill="auto"/>
            <w:vAlign w:val="center"/>
          </w:tcPr>
          <w:p>
            <w:pPr>
              <w:jc w:val="right"/>
              <w:rPr>
                <w:b/>
                <w:sz w:val="18"/>
                <w:szCs w:val="18"/>
                <w:highlight w:val="none"/>
              </w:rPr>
            </w:pPr>
            <w:r>
              <w:rPr>
                <w:rFonts w:hint="eastAsia" w:ascii="宋体" w:hAnsi="宋体"/>
                <w:b/>
                <w:color w:val="000000"/>
                <w:sz w:val="18"/>
                <w:szCs w:val="18"/>
                <w:highlight w:val="none"/>
              </w:rPr>
              <w:t>34.20</w:t>
            </w:r>
          </w:p>
        </w:tc>
        <w:tc>
          <w:tcPr>
            <w:tcW w:w="1427" w:type="dxa"/>
            <w:shd w:val="clear" w:color="auto" w:fill="auto"/>
            <w:vAlign w:val="center"/>
          </w:tcPr>
          <w:p>
            <w:pPr>
              <w:jc w:val="right"/>
              <w:rPr>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highlight w:val="none"/>
              </w:rPr>
            </w:pPr>
            <w:r>
              <w:rPr>
                <w:rFonts w:hint="eastAsia" w:ascii="宋体" w:hAnsi="宋体"/>
                <w:b/>
                <w:color w:val="000000"/>
                <w:sz w:val="18"/>
                <w:szCs w:val="18"/>
                <w:highlight w:val="none"/>
              </w:rPr>
              <w:t>210</w:t>
            </w:r>
          </w:p>
        </w:tc>
        <w:tc>
          <w:tcPr>
            <w:tcW w:w="567" w:type="dxa"/>
            <w:shd w:val="clear" w:color="auto" w:fill="auto"/>
            <w:vAlign w:val="center"/>
          </w:tcPr>
          <w:p>
            <w:pPr>
              <w:jc w:val="center"/>
              <w:rPr>
                <w:b/>
                <w:sz w:val="18"/>
                <w:szCs w:val="18"/>
                <w:highlight w:val="none"/>
              </w:rPr>
            </w:pPr>
            <w:r>
              <w:rPr>
                <w:rFonts w:hint="eastAsia" w:ascii="宋体" w:hAnsi="宋体"/>
                <w:b/>
                <w:color w:val="000000"/>
                <w:sz w:val="18"/>
                <w:szCs w:val="18"/>
                <w:highlight w:val="none"/>
              </w:rPr>
              <w:t>11</w:t>
            </w:r>
          </w:p>
        </w:tc>
        <w:tc>
          <w:tcPr>
            <w:tcW w:w="567" w:type="dxa"/>
            <w:shd w:val="clear" w:color="auto" w:fill="auto"/>
            <w:vAlign w:val="center"/>
          </w:tcPr>
          <w:p>
            <w:pPr>
              <w:jc w:val="center"/>
              <w:rPr>
                <w:b/>
                <w:sz w:val="18"/>
                <w:szCs w:val="18"/>
                <w:highlight w:val="none"/>
              </w:rPr>
            </w:pPr>
          </w:p>
        </w:tc>
        <w:tc>
          <w:tcPr>
            <w:tcW w:w="4026" w:type="dxa"/>
            <w:shd w:val="clear" w:color="auto" w:fill="auto"/>
            <w:vAlign w:val="center"/>
          </w:tcPr>
          <w:p>
            <w:pPr>
              <w:jc w:val="left"/>
              <w:rPr>
                <w:b/>
                <w:sz w:val="18"/>
                <w:szCs w:val="18"/>
                <w:highlight w:val="none"/>
              </w:rPr>
            </w:pPr>
            <w:r>
              <w:rPr>
                <w:rFonts w:hint="eastAsia" w:ascii="宋体" w:hAnsi="宋体"/>
                <w:b/>
                <w:color w:val="000000"/>
                <w:sz w:val="18"/>
                <w:szCs w:val="18"/>
                <w:highlight w:val="none"/>
              </w:rPr>
              <w:t xml:space="preserve">  行政事业单位医疗</w:t>
            </w:r>
          </w:p>
        </w:tc>
        <w:tc>
          <w:tcPr>
            <w:tcW w:w="1367"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34.20</w:t>
            </w:r>
          </w:p>
        </w:tc>
        <w:tc>
          <w:tcPr>
            <w:tcW w:w="1366" w:type="dxa"/>
            <w:gridSpan w:val="2"/>
            <w:shd w:val="clear" w:color="auto" w:fill="auto"/>
            <w:vAlign w:val="center"/>
          </w:tcPr>
          <w:p>
            <w:pPr>
              <w:jc w:val="right"/>
              <w:rPr>
                <w:b/>
                <w:sz w:val="18"/>
                <w:szCs w:val="18"/>
                <w:highlight w:val="none"/>
              </w:rPr>
            </w:pPr>
            <w:r>
              <w:rPr>
                <w:rFonts w:hint="eastAsia" w:ascii="宋体" w:hAnsi="宋体"/>
                <w:b/>
                <w:color w:val="000000"/>
                <w:sz w:val="18"/>
                <w:szCs w:val="18"/>
                <w:highlight w:val="none"/>
              </w:rPr>
              <w:t>34.20</w:t>
            </w:r>
          </w:p>
        </w:tc>
        <w:tc>
          <w:tcPr>
            <w:tcW w:w="1427" w:type="dxa"/>
            <w:shd w:val="clear" w:color="auto" w:fill="auto"/>
            <w:vAlign w:val="center"/>
          </w:tcPr>
          <w:p>
            <w:pPr>
              <w:jc w:val="right"/>
              <w:rPr>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highlight w:val="none"/>
              </w:rPr>
            </w:pPr>
            <w:r>
              <w:rPr>
                <w:rFonts w:hint="eastAsia" w:ascii="宋体" w:hAnsi="宋体"/>
                <w:color w:val="000000"/>
                <w:sz w:val="18"/>
                <w:szCs w:val="18"/>
                <w:highlight w:val="none"/>
              </w:rPr>
              <w:t>210</w:t>
            </w:r>
          </w:p>
        </w:tc>
        <w:tc>
          <w:tcPr>
            <w:tcW w:w="567" w:type="dxa"/>
            <w:shd w:val="clear" w:color="auto" w:fill="auto"/>
            <w:vAlign w:val="center"/>
          </w:tcPr>
          <w:p>
            <w:pPr>
              <w:jc w:val="center"/>
              <w:rPr>
                <w:sz w:val="18"/>
                <w:szCs w:val="18"/>
                <w:highlight w:val="none"/>
              </w:rPr>
            </w:pPr>
            <w:r>
              <w:rPr>
                <w:rFonts w:hint="eastAsia" w:ascii="宋体" w:hAnsi="宋体"/>
                <w:color w:val="000000"/>
                <w:sz w:val="18"/>
                <w:szCs w:val="18"/>
                <w:highlight w:val="none"/>
              </w:rPr>
              <w:t>11</w:t>
            </w:r>
          </w:p>
        </w:tc>
        <w:tc>
          <w:tcPr>
            <w:tcW w:w="567" w:type="dxa"/>
            <w:shd w:val="clear" w:color="auto" w:fill="auto"/>
            <w:vAlign w:val="center"/>
          </w:tcPr>
          <w:p>
            <w:pPr>
              <w:jc w:val="center"/>
              <w:rPr>
                <w:sz w:val="18"/>
                <w:szCs w:val="18"/>
                <w:highlight w:val="none"/>
              </w:rPr>
            </w:pPr>
            <w:r>
              <w:rPr>
                <w:rFonts w:hint="eastAsia" w:ascii="宋体" w:hAnsi="宋体"/>
                <w:color w:val="000000"/>
                <w:sz w:val="18"/>
                <w:szCs w:val="18"/>
                <w:highlight w:val="none"/>
              </w:rPr>
              <w:t>02</w:t>
            </w:r>
          </w:p>
        </w:tc>
        <w:tc>
          <w:tcPr>
            <w:tcW w:w="4026" w:type="dxa"/>
            <w:shd w:val="clear" w:color="auto" w:fill="auto"/>
            <w:vAlign w:val="center"/>
          </w:tcPr>
          <w:p>
            <w:pPr>
              <w:jc w:val="left"/>
              <w:rPr>
                <w:sz w:val="18"/>
                <w:szCs w:val="18"/>
                <w:highlight w:val="none"/>
              </w:rPr>
            </w:pPr>
            <w:r>
              <w:rPr>
                <w:rFonts w:hint="eastAsia" w:ascii="宋体" w:hAnsi="宋体"/>
                <w:color w:val="000000"/>
                <w:sz w:val="18"/>
                <w:szCs w:val="18"/>
                <w:highlight w:val="none"/>
              </w:rPr>
              <w:t xml:space="preserve">    事业单位医疗</w:t>
            </w:r>
          </w:p>
        </w:tc>
        <w:tc>
          <w:tcPr>
            <w:tcW w:w="1367" w:type="dxa"/>
            <w:shd w:val="clear" w:color="auto" w:fill="auto"/>
            <w:vAlign w:val="center"/>
          </w:tcPr>
          <w:p>
            <w:pPr>
              <w:jc w:val="right"/>
              <w:rPr>
                <w:sz w:val="18"/>
                <w:szCs w:val="18"/>
                <w:highlight w:val="none"/>
              </w:rPr>
            </w:pPr>
            <w:r>
              <w:rPr>
                <w:rFonts w:hint="eastAsia" w:ascii="宋体" w:hAnsi="宋体"/>
                <w:color w:val="000000"/>
                <w:sz w:val="18"/>
                <w:szCs w:val="18"/>
                <w:highlight w:val="none"/>
              </w:rPr>
              <w:t>20.20</w:t>
            </w:r>
          </w:p>
        </w:tc>
        <w:tc>
          <w:tcPr>
            <w:tcW w:w="1366" w:type="dxa"/>
            <w:gridSpan w:val="2"/>
            <w:shd w:val="clear" w:color="auto" w:fill="auto"/>
            <w:vAlign w:val="center"/>
          </w:tcPr>
          <w:p>
            <w:pPr>
              <w:jc w:val="right"/>
              <w:rPr>
                <w:sz w:val="18"/>
                <w:szCs w:val="18"/>
                <w:highlight w:val="none"/>
              </w:rPr>
            </w:pPr>
            <w:r>
              <w:rPr>
                <w:rFonts w:hint="eastAsia" w:ascii="宋体" w:hAnsi="宋体"/>
                <w:color w:val="000000"/>
                <w:sz w:val="18"/>
                <w:szCs w:val="18"/>
                <w:highlight w:val="none"/>
              </w:rPr>
              <w:t>20.20</w:t>
            </w:r>
          </w:p>
        </w:tc>
        <w:tc>
          <w:tcPr>
            <w:tcW w:w="1427"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highlight w:val="none"/>
              </w:rPr>
            </w:pPr>
            <w:r>
              <w:rPr>
                <w:rFonts w:hint="eastAsia" w:ascii="宋体" w:hAnsi="宋体"/>
                <w:color w:val="000000"/>
                <w:sz w:val="18"/>
                <w:szCs w:val="18"/>
                <w:highlight w:val="none"/>
              </w:rPr>
              <w:t>210</w:t>
            </w:r>
          </w:p>
        </w:tc>
        <w:tc>
          <w:tcPr>
            <w:tcW w:w="567" w:type="dxa"/>
            <w:shd w:val="clear" w:color="auto" w:fill="auto"/>
            <w:vAlign w:val="center"/>
          </w:tcPr>
          <w:p>
            <w:pPr>
              <w:jc w:val="center"/>
              <w:rPr>
                <w:sz w:val="18"/>
                <w:szCs w:val="18"/>
                <w:highlight w:val="none"/>
              </w:rPr>
            </w:pPr>
            <w:r>
              <w:rPr>
                <w:rFonts w:hint="eastAsia" w:ascii="宋体" w:hAnsi="宋体"/>
                <w:color w:val="000000"/>
                <w:sz w:val="18"/>
                <w:szCs w:val="18"/>
                <w:highlight w:val="none"/>
              </w:rPr>
              <w:t>11</w:t>
            </w:r>
          </w:p>
        </w:tc>
        <w:tc>
          <w:tcPr>
            <w:tcW w:w="567" w:type="dxa"/>
            <w:shd w:val="clear" w:color="auto" w:fill="auto"/>
            <w:vAlign w:val="center"/>
          </w:tcPr>
          <w:p>
            <w:pPr>
              <w:jc w:val="center"/>
              <w:rPr>
                <w:sz w:val="18"/>
                <w:szCs w:val="18"/>
                <w:highlight w:val="none"/>
              </w:rPr>
            </w:pPr>
            <w:r>
              <w:rPr>
                <w:rFonts w:hint="eastAsia" w:ascii="宋体" w:hAnsi="宋体"/>
                <w:color w:val="000000"/>
                <w:sz w:val="18"/>
                <w:szCs w:val="18"/>
                <w:highlight w:val="none"/>
              </w:rPr>
              <w:t>03</w:t>
            </w:r>
          </w:p>
        </w:tc>
        <w:tc>
          <w:tcPr>
            <w:tcW w:w="4026" w:type="dxa"/>
            <w:shd w:val="clear" w:color="auto" w:fill="auto"/>
            <w:vAlign w:val="center"/>
          </w:tcPr>
          <w:p>
            <w:pPr>
              <w:jc w:val="left"/>
              <w:rPr>
                <w:sz w:val="18"/>
                <w:szCs w:val="18"/>
                <w:highlight w:val="none"/>
              </w:rPr>
            </w:pPr>
            <w:r>
              <w:rPr>
                <w:rFonts w:hint="eastAsia" w:ascii="宋体" w:hAnsi="宋体"/>
                <w:color w:val="000000"/>
                <w:sz w:val="18"/>
                <w:szCs w:val="18"/>
                <w:highlight w:val="none"/>
              </w:rPr>
              <w:t xml:space="preserve">    公务员医疗补助</w:t>
            </w:r>
          </w:p>
        </w:tc>
        <w:tc>
          <w:tcPr>
            <w:tcW w:w="1367" w:type="dxa"/>
            <w:shd w:val="clear" w:color="auto" w:fill="auto"/>
            <w:vAlign w:val="center"/>
          </w:tcPr>
          <w:p>
            <w:pPr>
              <w:jc w:val="right"/>
              <w:rPr>
                <w:sz w:val="18"/>
                <w:szCs w:val="18"/>
                <w:highlight w:val="none"/>
              </w:rPr>
            </w:pPr>
            <w:r>
              <w:rPr>
                <w:rFonts w:hint="eastAsia" w:ascii="宋体" w:hAnsi="宋体"/>
                <w:color w:val="000000"/>
                <w:sz w:val="18"/>
                <w:szCs w:val="18"/>
                <w:highlight w:val="none"/>
              </w:rPr>
              <w:t>14.00</w:t>
            </w:r>
          </w:p>
        </w:tc>
        <w:tc>
          <w:tcPr>
            <w:tcW w:w="1366" w:type="dxa"/>
            <w:gridSpan w:val="2"/>
            <w:shd w:val="clear" w:color="auto" w:fill="auto"/>
            <w:vAlign w:val="center"/>
          </w:tcPr>
          <w:p>
            <w:pPr>
              <w:jc w:val="right"/>
              <w:rPr>
                <w:sz w:val="18"/>
                <w:szCs w:val="18"/>
                <w:highlight w:val="none"/>
              </w:rPr>
            </w:pPr>
            <w:r>
              <w:rPr>
                <w:rFonts w:hint="eastAsia" w:ascii="宋体" w:hAnsi="宋体"/>
                <w:color w:val="000000"/>
                <w:sz w:val="18"/>
                <w:szCs w:val="18"/>
                <w:highlight w:val="none"/>
              </w:rPr>
              <w:t>14.00</w:t>
            </w:r>
          </w:p>
        </w:tc>
        <w:tc>
          <w:tcPr>
            <w:tcW w:w="1427"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highlight w:val="none"/>
              </w:rPr>
            </w:pPr>
            <w:r>
              <w:rPr>
                <w:rFonts w:hint="eastAsia" w:ascii="宋体" w:hAnsi="宋体"/>
                <w:b/>
                <w:color w:val="000000"/>
                <w:sz w:val="18"/>
                <w:szCs w:val="18"/>
                <w:highlight w:val="none"/>
              </w:rPr>
              <w:t>215</w:t>
            </w:r>
          </w:p>
        </w:tc>
        <w:tc>
          <w:tcPr>
            <w:tcW w:w="567" w:type="dxa"/>
            <w:shd w:val="clear" w:color="auto" w:fill="auto"/>
            <w:vAlign w:val="center"/>
          </w:tcPr>
          <w:p>
            <w:pPr>
              <w:jc w:val="center"/>
              <w:rPr>
                <w:b/>
                <w:sz w:val="18"/>
                <w:szCs w:val="18"/>
                <w:highlight w:val="none"/>
              </w:rPr>
            </w:pPr>
          </w:p>
        </w:tc>
        <w:tc>
          <w:tcPr>
            <w:tcW w:w="567" w:type="dxa"/>
            <w:shd w:val="clear" w:color="auto" w:fill="auto"/>
            <w:vAlign w:val="center"/>
          </w:tcPr>
          <w:p>
            <w:pPr>
              <w:jc w:val="center"/>
              <w:rPr>
                <w:b/>
                <w:sz w:val="18"/>
                <w:szCs w:val="18"/>
                <w:highlight w:val="none"/>
              </w:rPr>
            </w:pPr>
          </w:p>
        </w:tc>
        <w:tc>
          <w:tcPr>
            <w:tcW w:w="4026" w:type="dxa"/>
            <w:shd w:val="clear" w:color="auto" w:fill="auto"/>
            <w:vAlign w:val="center"/>
          </w:tcPr>
          <w:p>
            <w:pPr>
              <w:jc w:val="left"/>
              <w:rPr>
                <w:b/>
                <w:sz w:val="18"/>
                <w:szCs w:val="18"/>
                <w:highlight w:val="none"/>
              </w:rPr>
            </w:pPr>
            <w:r>
              <w:rPr>
                <w:rFonts w:hint="eastAsia" w:ascii="宋体" w:hAnsi="宋体"/>
                <w:b/>
                <w:color w:val="000000"/>
                <w:sz w:val="18"/>
                <w:szCs w:val="18"/>
                <w:highlight w:val="none"/>
              </w:rPr>
              <w:t>资源勘探工业信息等支出</w:t>
            </w:r>
          </w:p>
        </w:tc>
        <w:tc>
          <w:tcPr>
            <w:tcW w:w="1367"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496.22</w:t>
            </w:r>
          </w:p>
        </w:tc>
        <w:tc>
          <w:tcPr>
            <w:tcW w:w="1366" w:type="dxa"/>
            <w:gridSpan w:val="2"/>
            <w:shd w:val="clear" w:color="auto" w:fill="auto"/>
            <w:vAlign w:val="center"/>
          </w:tcPr>
          <w:p>
            <w:pPr>
              <w:jc w:val="right"/>
              <w:rPr>
                <w:b/>
                <w:sz w:val="18"/>
                <w:szCs w:val="18"/>
                <w:highlight w:val="none"/>
              </w:rPr>
            </w:pPr>
            <w:r>
              <w:rPr>
                <w:rFonts w:hint="eastAsia" w:ascii="宋体" w:hAnsi="宋体"/>
                <w:b/>
                <w:color w:val="000000"/>
                <w:sz w:val="18"/>
                <w:szCs w:val="18"/>
                <w:highlight w:val="none"/>
              </w:rPr>
              <w:t>194.08</w:t>
            </w:r>
          </w:p>
        </w:tc>
        <w:tc>
          <w:tcPr>
            <w:tcW w:w="1427"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302.14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highlight w:val="none"/>
              </w:rPr>
            </w:pPr>
            <w:r>
              <w:rPr>
                <w:rFonts w:hint="eastAsia" w:ascii="宋体" w:hAnsi="宋体"/>
                <w:b/>
                <w:color w:val="000000"/>
                <w:sz w:val="18"/>
                <w:szCs w:val="18"/>
                <w:highlight w:val="none"/>
              </w:rPr>
              <w:t>215</w:t>
            </w:r>
          </w:p>
        </w:tc>
        <w:tc>
          <w:tcPr>
            <w:tcW w:w="567" w:type="dxa"/>
            <w:shd w:val="clear" w:color="auto" w:fill="auto"/>
            <w:vAlign w:val="center"/>
          </w:tcPr>
          <w:p>
            <w:pPr>
              <w:jc w:val="center"/>
              <w:rPr>
                <w:b/>
                <w:sz w:val="18"/>
                <w:szCs w:val="18"/>
                <w:highlight w:val="none"/>
              </w:rPr>
            </w:pPr>
            <w:r>
              <w:rPr>
                <w:rFonts w:hint="eastAsia" w:ascii="宋体" w:hAnsi="宋体"/>
                <w:b/>
                <w:color w:val="000000"/>
                <w:sz w:val="18"/>
                <w:szCs w:val="18"/>
                <w:highlight w:val="none"/>
              </w:rPr>
              <w:t>05</w:t>
            </w:r>
          </w:p>
        </w:tc>
        <w:tc>
          <w:tcPr>
            <w:tcW w:w="567" w:type="dxa"/>
            <w:shd w:val="clear" w:color="auto" w:fill="auto"/>
            <w:vAlign w:val="center"/>
          </w:tcPr>
          <w:p>
            <w:pPr>
              <w:jc w:val="center"/>
              <w:rPr>
                <w:b/>
                <w:sz w:val="18"/>
                <w:szCs w:val="18"/>
                <w:highlight w:val="none"/>
              </w:rPr>
            </w:pPr>
          </w:p>
        </w:tc>
        <w:tc>
          <w:tcPr>
            <w:tcW w:w="4026" w:type="dxa"/>
            <w:shd w:val="clear" w:color="auto" w:fill="auto"/>
            <w:vAlign w:val="center"/>
          </w:tcPr>
          <w:p>
            <w:pPr>
              <w:jc w:val="left"/>
              <w:rPr>
                <w:b/>
                <w:sz w:val="18"/>
                <w:szCs w:val="18"/>
                <w:highlight w:val="none"/>
              </w:rPr>
            </w:pPr>
            <w:r>
              <w:rPr>
                <w:rFonts w:hint="eastAsia" w:ascii="宋体" w:hAnsi="宋体"/>
                <w:b/>
                <w:color w:val="000000"/>
                <w:sz w:val="18"/>
                <w:szCs w:val="18"/>
                <w:highlight w:val="none"/>
              </w:rPr>
              <w:t xml:space="preserve">  工业和信息产业</w:t>
            </w:r>
          </w:p>
        </w:tc>
        <w:tc>
          <w:tcPr>
            <w:tcW w:w="1367"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496.22</w:t>
            </w:r>
          </w:p>
        </w:tc>
        <w:tc>
          <w:tcPr>
            <w:tcW w:w="1366" w:type="dxa"/>
            <w:gridSpan w:val="2"/>
            <w:shd w:val="clear" w:color="auto" w:fill="auto"/>
            <w:vAlign w:val="center"/>
          </w:tcPr>
          <w:p>
            <w:pPr>
              <w:jc w:val="right"/>
              <w:rPr>
                <w:b/>
                <w:sz w:val="18"/>
                <w:szCs w:val="18"/>
                <w:highlight w:val="none"/>
              </w:rPr>
            </w:pPr>
            <w:r>
              <w:rPr>
                <w:rFonts w:hint="eastAsia" w:ascii="宋体" w:hAnsi="宋体"/>
                <w:b/>
                <w:color w:val="000000"/>
                <w:sz w:val="18"/>
                <w:szCs w:val="18"/>
                <w:highlight w:val="none"/>
              </w:rPr>
              <w:t>194.08</w:t>
            </w:r>
          </w:p>
        </w:tc>
        <w:tc>
          <w:tcPr>
            <w:tcW w:w="1427"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302.14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highlight w:val="none"/>
              </w:rPr>
            </w:pPr>
            <w:r>
              <w:rPr>
                <w:rFonts w:hint="eastAsia" w:ascii="宋体" w:hAnsi="宋体"/>
                <w:color w:val="000000"/>
                <w:sz w:val="18"/>
                <w:szCs w:val="18"/>
                <w:highlight w:val="none"/>
              </w:rPr>
              <w:t>215</w:t>
            </w:r>
          </w:p>
        </w:tc>
        <w:tc>
          <w:tcPr>
            <w:tcW w:w="567" w:type="dxa"/>
            <w:shd w:val="clear" w:color="auto" w:fill="auto"/>
            <w:vAlign w:val="center"/>
          </w:tcPr>
          <w:p>
            <w:pPr>
              <w:jc w:val="center"/>
              <w:rPr>
                <w:sz w:val="18"/>
                <w:szCs w:val="18"/>
                <w:highlight w:val="none"/>
              </w:rPr>
            </w:pPr>
            <w:r>
              <w:rPr>
                <w:rFonts w:hint="eastAsia" w:ascii="宋体" w:hAnsi="宋体"/>
                <w:color w:val="000000"/>
                <w:sz w:val="18"/>
                <w:szCs w:val="18"/>
                <w:highlight w:val="none"/>
              </w:rPr>
              <w:t>05</w:t>
            </w:r>
          </w:p>
        </w:tc>
        <w:tc>
          <w:tcPr>
            <w:tcW w:w="567" w:type="dxa"/>
            <w:shd w:val="clear" w:color="auto" w:fill="auto"/>
            <w:vAlign w:val="center"/>
          </w:tcPr>
          <w:p>
            <w:pPr>
              <w:jc w:val="center"/>
              <w:rPr>
                <w:sz w:val="18"/>
                <w:szCs w:val="18"/>
                <w:highlight w:val="none"/>
              </w:rPr>
            </w:pPr>
            <w:r>
              <w:rPr>
                <w:rFonts w:hint="eastAsia" w:ascii="宋体" w:hAnsi="宋体"/>
                <w:color w:val="000000"/>
                <w:sz w:val="18"/>
                <w:szCs w:val="18"/>
                <w:highlight w:val="none"/>
              </w:rPr>
              <w:t>08</w:t>
            </w:r>
          </w:p>
        </w:tc>
        <w:tc>
          <w:tcPr>
            <w:tcW w:w="4026" w:type="dxa"/>
            <w:shd w:val="clear" w:color="auto" w:fill="auto"/>
            <w:vAlign w:val="center"/>
          </w:tcPr>
          <w:p>
            <w:pPr>
              <w:jc w:val="left"/>
              <w:rPr>
                <w:sz w:val="18"/>
                <w:szCs w:val="18"/>
                <w:highlight w:val="none"/>
              </w:rPr>
            </w:pPr>
            <w:r>
              <w:rPr>
                <w:rFonts w:hint="eastAsia" w:ascii="宋体" w:hAnsi="宋体"/>
                <w:color w:val="000000"/>
                <w:sz w:val="18"/>
                <w:szCs w:val="18"/>
                <w:highlight w:val="none"/>
              </w:rPr>
              <w:t xml:space="preserve">    无线电及信息通信监管</w:t>
            </w:r>
          </w:p>
        </w:tc>
        <w:tc>
          <w:tcPr>
            <w:tcW w:w="1367" w:type="dxa"/>
            <w:shd w:val="clear" w:color="auto" w:fill="auto"/>
            <w:vAlign w:val="center"/>
          </w:tcPr>
          <w:p>
            <w:pPr>
              <w:jc w:val="right"/>
              <w:rPr>
                <w:sz w:val="18"/>
                <w:szCs w:val="18"/>
                <w:highlight w:val="none"/>
              </w:rPr>
            </w:pPr>
            <w:r>
              <w:rPr>
                <w:rFonts w:hint="eastAsia" w:ascii="宋体" w:hAnsi="宋体"/>
                <w:color w:val="000000"/>
                <w:sz w:val="18"/>
                <w:szCs w:val="18"/>
                <w:highlight w:val="none"/>
              </w:rPr>
              <w:t>496.22</w:t>
            </w:r>
          </w:p>
        </w:tc>
        <w:tc>
          <w:tcPr>
            <w:tcW w:w="1366" w:type="dxa"/>
            <w:gridSpan w:val="2"/>
            <w:shd w:val="clear" w:color="auto" w:fill="auto"/>
            <w:vAlign w:val="center"/>
          </w:tcPr>
          <w:p>
            <w:pPr>
              <w:jc w:val="right"/>
              <w:rPr>
                <w:sz w:val="18"/>
                <w:szCs w:val="18"/>
                <w:highlight w:val="none"/>
              </w:rPr>
            </w:pPr>
            <w:r>
              <w:rPr>
                <w:rFonts w:hint="eastAsia" w:ascii="宋体" w:hAnsi="宋体"/>
                <w:color w:val="000000"/>
                <w:sz w:val="18"/>
                <w:szCs w:val="18"/>
                <w:highlight w:val="none"/>
              </w:rPr>
              <w:t>194.08</w:t>
            </w:r>
          </w:p>
        </w:tc>
        <w:tc>
          <w:tcPr>
            <w:tcW w:w="1427" w:type="dxa"/>
            <w:shd w:val="clear" w:color="auto" w:fill="auto"/>
            <w:vAlign w:val="center"/>
          </w:tcPr>
          <w:p>
            <w:pPr>
              <w:jc w:val="right"/>
              <w:rPr>
                <w:sz w:val="18"/>
                <w:szCs w:val="18"/>
                <w:highlight w:val="none"/>
              </w:rPr>
            </w:pPr>
            <w:r>
              <w:rPr>
                <w:rFonts w:hint="eastAsia" w:ascii="宋体" w:hAnsi="宋体"/>
                <w:color w:val="000000"/>
                <w:sz w:val="18"/>
                <w:szCs w:val="18"/>
                <w:highlight w:val="none"/>
              </w:rPr>
              <w:t>302.14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highlight w:val="none"/>
              </w:rPr>
            </w:pPr>
            <w:r>
              <w:rPr>
                <w:rFonts w:hint="eastAsia" w:ascii="宋体" w:hAnsi="宋体"/>
                <w:b/>
                <w:color w:val="000000"/>
                <w:sz w:val="18"/>
                <w:szCs w:val="18"/>
                <w:highlight w:val="none"/>
              </w:rPr>
              <w:t>221</w:t>
            </w:r>
          </w:p>
        </w:tc>
        <w:tc>
          <w:tcPr>
            <w:tcW w:w="567" w:type="dxa"/>
            <w:shd w:val="clear" w:color="auto" w:fill="auto"/>
            <w:vAlign w:val="center"/>
          </w:tcPr>
          <w:p>
            <w:pPr>
              <w:jc w:val="center"/>
              <w:rPr>
                <w:b/>
                <w:sz w:val="18"/>
                <w:szCs w:val="18"/>
                <w:highlight w:val="none"/>
              </w:rPr>
            </w:pPr>
          </w:p>
        </w:tc>
        <w:tc>
          <w:tcPr>
            <w:tcW w:w="567" w:type="dxa"/>
            <w:shd w:val="clear" w:color="auto" w:fill="auto"/>
            <w:vAlign w:val="center"/>
          </w:tcPr>
          <w:p>
            <w:pPr>
              <w:jc w:val="center"/>
              <w:rPr>
                <w:b/>
                <w:sz w:val="18"/>
                <w:szCs w:val="18"/>
                <w:highlight w:val="none"/>
              </w:rPr>
            </w:pPr>
          </w:p>
        </w:tc>
        <w:tc>
          <w:tcPr>
            <w:tcW w:w="4026" w:type="dxa"/>
            <w:shd w:val="clear" w:color="auto" w:fill="auto"/>
            <w:vAlign w:val="center"/>
          </w:tcPr>
          <w:p>
            <w:pPr>
              <w:jc w:val="left"/>
              <w:rPr>
                <w:b/>
                <w:sz w:val="18"/>
                <w:szCs w:val="18"/>
                <w:highlight w:val="none"/>
              </w:rPr>
            </w:pPr>
            <w:r>
              <w:rPr>
                <w:rFonts w:hint="eastAsia" w:ascii="宋体" w:hAnsi="宋体"/>
                <w:b/>
                <w:color w:val="000000"/>
                <w:sz w:val="18"/>
                <w:szCs w:val="18"/>
                <w:highlight w:val="none"/>
              </w:rPr>
              <w:t>住房保障支出</w:t>
            </w:r>
          </w:p>
        </w:tc>
        <w:tc>
          <w:tcPr>
            <w:tcW w:w="1367"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23.00</w:t>
            </w:r>
          </w:p>
        </w:tc>
        <w:tc>
          <w:tcPr>
            <w:tcW w:w="1366" w:type="dxa"/>
            <w:gridSpan w:val="2"/>
            <w:shd w:val="clear" w:color="auto" w:fill="auto"/>
            <w:vAlign w:val="center"/>
          </w:tcPr>
          <w:p>
            <w:pPr>
              <w:jc w:val="right"/>
              <w:rPr>
                <w:b/>
                <w:sz w:val="18"/>
                <w:szCs w:val="18"/>
                <w:highlight w:val="none"/>
              </w:rPr>
            </w:pPr>
            <w:r>
              <w:rPr>
                <w:rFonts w:hint="eastAsia" w:ascii="宋体" w:hAnsi="宋体"/>
                <w:b/>
                <w:color w:val="000000"/>
                <w:sz w:val="18"/>
                <w:szCs w:val="18"/>
                <w:highlight w:val="none"/>
              </w:rPr>
              <w:t>23.00</w:t>
            </w:r>
          </w:p>
        </w:tc>
        <w:tc>
          <w:tcPr>
            <w:tcW w:w="1427" w:type="dxa"/>
            <w:shd w:val="clear" w:color="auto" w:fill="auto"/>
            <w:vAlign w:val="center"/>
          </w:tcPr>
          <w:p>
            <w:pPr>
              <w:jc w:val="right"/>
              <w:rPr>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highlight w:val="none"/>
              </w:rPr>
            </w:pPr>
            <w:r>
              <w:rPr>
                <w:rFonts w:hint="eastAsia" w:ascii="宋体" w:hAnsi="宋体"/>
                <w:b/>
                <w:color w:val="000000"/>
                <w:sz w:val="18"/>
                <w:szCs w:val="18"/>
                <w:highlight w:val="none"/>
              </w:rPr>
              <w:t>221</w:t>
            </w:r>
          </w:p>
        </w:tc>
        <w:tc>
          <w:tcPr>
            <w:tcW w:w="567" w:type="dxa"/>
            <w:shd w:val="clear" w:color="auto" w:fill="auto"/>
            <w:vAlign w:val="center"/>
          </w:tcPr>
          <w:p>
            <w:pPr>
              <w:jc w:val="center"/>
              <w:rPr>
                <w:b/>
                <w:sz w:val="18"/>
                <w:szCs w:val="18"/>
                <w:highlight w:val="none"/>
              </w:rPr>
            </w:pPr>
            <w:r>
              <w:rPr>
                <w:rFonts w:hint="eastAsia" w:ascii="宋体" w:hAnsi="宋体"/>
                <w:b/>
                <w:color w:val="000000"/>
                <w:sz w:val="18"/>
                <w:szCs w:val="18"/>
                <w:highlight w:val="none"/>
              </w:rPr>
              <w:t>02</w:t>
            </w:r>
          </w:p>
        </w:tc>
        <w:tc>
          <w:tcPr>
            <w:tcW w:w="567" w:type="dxa"/>
            <w:shd w:val="clear" w:color="auto" w:fill="auto"/>
            <w:vAlign w:val="center"/>
          </w:tcPr>
          <w:p>
            <w:pPr>
              <w:jc w:val="center"/>
              <w:rPr>
                <w:b/>
                <w:sz w:val="18"/>
                <w:szCs w:val="18"/>
                <w:highlight w:val="none"/>
              </w:rPr>
            </w:pPr>
          </w:p>
        </w:tc>
        <w:tc>
          <w:tcPr>
            <w:tcW w:w="4026" w:type="dxa"/>
            <w:shd w:val="clear" w:color="auto" w:fill="auto"/>
            <w:vAlign w:val="center"/>
          </w:tcPr>
          <w:p>
            <w:pPr>
              <w:jc w:val="left"/>
              <w:rPr>
                <w:b/>
                <w:sz w:val="18"/>
                <w:szCs w:val="18"/>
                <w:highlight w:val="none"/>
              </w:rPr>
            </w:pPr>
            <w:r>
              <w:rPr>
                <w:rFonts w:hint="eastAsia" w:ascii="宋体" w:hAnsi="宋体"/>
                <w:b/>
                <w:color w:val="000000"/>
                <w:sz w:val="18"/>
                <w:szCs w:val="18"/>
                <w:highlight w:val="none"/>
              </w:rPr>
              <w:t xml:space="preserve">  住房改革支出</w:t>
            </w:r>
          </w:p>
        </w:tc>
        <w:tc>
          <w:tcPr>
            <w:tcW w:w="1367"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23.00</w:t>
            </w:r>
          </w:p>
        </w:tc>
        <w:tc>
          <w:tcPr>
            <w:tcW w:w="1366" w:type="dxa"/>
            <w:gridSpan w:val="2"/>
            <w:shd w:val="clear" w:color="auto" w:fill="auto"/>
            <w:vAlign w:val="center"/>
          </w:tcPr>
          <w:p>
            <w:pPr>
              <w:jc w:val="right"/>
              <w:rPr>
                <w:b/>
                <w:sz w:val="18"/>
                <w:szCs w:val="18"/>
                <w:highlight w:val="none"/>
              </w:rPr>
            </w:pPr>
            <w:r>
              <w:rPr>
                <w:rFonts w:hint="eastAsia" w:ascii="宋体" w:hAnsi="宋体"/>
                <w:b/>
                <w:color w:val="000000"/>
                <w:sz w:val="18"/>
                <w:szCs w:val="18"/>
                <w:highlight w:val="none"/>
              </w:rPr>
              <w:t>23.00</w:t>
            </w:r>
          </w:p>
        </w:tc>
        <w:tc>
          <w:tcPr>
            <w:tcW w:w="1427" w:type="dxa"/>
            <w:shd w:val="clear" w:color="auto" w:fill="auto"/>
            <w:vAlign w:val="center"/>
          </w:tcPr>
          <w:p>
            <w:pPr>
              <w:jc w:val="right"/>
              <w:rPr>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highlight w:val="none"/>
              </w:rPr>
            </w:pPr>
            <w:r>
              <w:rPr>
                <w:rFonts w:hint="eastAsia" w:ascii="宋体" w:hAnsi="宋体"/>
                <w:color w:val="000000"/>
                <w:sz w:val="18"/>
                <w:szCs w:val="18"/>
                <w:highlight w:val="none"/>
              </w:rPr>
              <w:t>221</w:t>
            </w:r>
          </w:p>
        </w:tc>
        <w:tc>
          <w:tcPr>
            <w:tcW w:w="567" w:type="dxa"/>
            <w:shd w:val="clear" w:color="auto" w:fill="auto"/>
            <w:vAlign w:val="center"/>
          </w:tcPr>
          <w:p>
            <w:pPr>
              <w:jc w:val="center"/>
              <w:rPr>
                <w:sz w:val="18"/>
                <w:szCs w:val="18"/>
                <w:highlight w:val="none"/>
              </w:rPr>
            </w:pPr>
            <w:r>
              <w:rPr>
                <w:rFonts w:hint="eastAsia" w:ascii="宋体" w:hAnsi="宋体"/>
                <w:color w:val="000000"/>
                <w:sz w:val="18"/>
                <w:szCs w:val="18"/>
                <w:highlight w:val="none"/>
              </w:rPr>
              <w:t>02</w:t>
            </w:r>
          </w:p>
        </w:tc>
        <w:tc>
          <w:tcPr>
            <w:tcW w:w="567" w:type="dxa"/>
            <w:shd w:val="clear" w:color="auto" w:fill="auto"/>
            <w:vAlign w:val="center"/>
          </w:tcPr>
          <w:p>
            <w:pPr>
              <w:jc w:val="center"/>
              <w:rPr>
                <w:sz w:val="18"/>
                <w:szCs w:val="18"/>
                <w:highlight w:val="none"/>
              </w:rPr>
            </w:pPr>
            <w:r>
              <w:rPr>
                <w:rFonts w:hint="eastAsia" w:ascii="宋体" w:hAnsi="宋体"/>
                <w:color w:val="000000"/>
                <w:sz w:val="18"/>
                <w:szCs w:val="18"/>
                <w:highlight w:val="none"/>
              </w:rPr>
              <w:t>01</w:t>
            </w:r>
          </w:p>
        </w:tc>
        <w:tc>
          <w:tcPr>
            <w:tcW w:w="4026" w:type="dxa"/>
            <w:shd w:val="clear" w:color="auto" w:fill="auto"/>
            <w:vAlign w:val="center"/>
          </w:tcPr>
          <w:p>
            <w:pPr>
              <w:jc w:val="left"/>
              <w:rPr>
                <w:sz w:val="18"/>
                <w:szCs w:val="18"/>
                <w:highlight w:val="none"/>
              </w:rPr>
            </w:pPr>
            <w:r>
              <w:rPr>
                <w:rFonts w:hint="eastAsia" w:ascii="宋体" w:hAnsi="宋体"/>
                <w:color w:val="000000"/>
                <w:sz w:val="18"/>
                <w:szCs w:val="18"/>
                <w:highlight w:val="none"/>
              </w:rPr>
              <w:t xml:space="preserve">    住房公积金</w:t>
            </w:r>
          </w:p>
        </w:tc>
        <w:tc>
          <w:tcPr>
            <w:tcW w:w="1367" w:type="dxa"/>
            <w:shd w:val="clear" w:color="auto" w:fill="auto"/>
            <w:vAlign w:val="center"/>
          </w:tcPr>
          <w:p>
            <w:pPr>
              <w:jc w:val="right"/>
              <w:rPr>
                <w:sz w:val="18"/>
                <w:szCs w:val="18"/>
                <w:highlight w:val="none"/>
              </w:rPr>
            </w:pPr>
            <w:r>
              <w:rPr>
                <w:rFonts w:hint="eastAsia" w:ascii="宋体" w:hAnsi="宋体"/>
                <w:color w:val="000000"/>
                <w:sz w:val="18"/>
                <w:szCs w:val="18"/>
                <w:highlight w:val="none"/>
              </w:rPr>
              <w:t>23.00</w:t>
            </w:r>
          </w:p>
        </w:tc>
        <w:tc>
          <w:tcPr>
            <w:tcW w:w="1366" w:type="dxa"/>
            <w:gridSpan w:val="2"/>
            <w:shd w:val="clear" w:color="auto" w:fill="auto"/>
            <w:vAlign w:val="center"/>
          </w:tcPr>
          <w:p>
            <w:pPr>
              <w:jc w:val="right"/>
              <w:rPr>
                <w:sz w:val="18"/>
                <w:szCs w:val="18"/>
                <w:highlight w:val="none"/>
              </w:rPr>
            </w:pPr>
            <w:r>
              <w:rPr>
                <w:rFonts w:hint="eastAsia" w:ascii="宋体" w:hAnsi="宋体"/>
                <w:color w:val="000000"/>
                <w:sz w:val="18"/>
                <w:szCs w:val="18"/>
                <w:highlight w:val="none"/>
              </w:rPr>
              <w:t>23.00</w:t>
            </w:r>
          </w:p>
        </w:tc>
        <w:tc>
          <w:tcPr>
            <w:tcW w:w="1427"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highlight w:val="none"/>
              </w:rPr>
            </w:pPr>
          </w:p>
        </w:tc>
        <w:tc>
          <w:tcPr>
            <w:tcW w:w="567" w:type="dxa"/>
            <w:shd w:val="clear" w:color="auto" w:fill="auto"/>
            <w:vAlign w:val="center"/>
          </w:tcPr>
          <w:p>
            <w:pPr>
              <w:jc w:val="center"/>
              <w:rPr>
                <w:b/>
                <w:sz w:val="18"/>
                <w:szCs w:val="18"/>
                <w:highlight w:val="none"/>
              </w:rPr>
            </w:pPr>
          </w:p>
        </w:tc>
        <w:tc>
          <w:tcPr>
            <w:tcW w:w="567" w:type="dxa"/>
            <w:shd w:val="clear" w:color="auto" w:fill="auto"/>
            <w:vAlign w:val="center"/>
          </w:tcPr>
          <w:p>
            <w:pPr>
              <w:jc w:val="center"/>
              <w:rPr>
                <w:b/>
                <w:sz w:val="18"/>
                <w:szCs w:val="18"/>
                <w:highlight w:val="none"/>
              </w:rPr>
            </w:pPr>
          </w:p>
        </w:tc>
        <w:tc>
          <w:tcPr>
            <w:tcW w:w="4026" w:type="dxa"/>
            <w:shd w:val="clear" w:color="auto" w:fill="auto"/>
            <w:vAlign w:val="center"/>
          </w:tcPr>
          <w:p>
            <w:pPr>
              <w:jc w:val="center"/>
              <w:rPr>
                <w:b/>
                <w:sz w:val="18"/>
                <w:szCs w:val="18"/>
                <w:highlight w:val="none"/>
              </w:rPr>
            </w:pPr>
            <w:r>
              <w:rPr>
                <w:rFonts w:hint="eastAsia" w:ascii="宋体" w:hAnsi="宋体"/>
                <w:b/>
                <w:color w:val="000000"/>
                <w:sz w:val="18"/>
                <w:szCs w:val="18"/>
                <w:highlight w:val="none"/>
              </w:rPr>
              <w:t>总计</w:t>
            </w:r>
          </w:p>
        </w:tc>
        <w:tc>
          <w:tcPr>
            <w:tcW w:w="1367"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603.51</w:t>
            </w:r>
          </w:p>
        </w:tc>
        <w:tc>
          <w:tcPr>
            <w:tcW w:w="1366" w:type="dxa"/>
            <w:gridSpan w:val="2"/>
            <w:shd w:val="clear" w:color="auto" w:fill="auto"/>
            <w:vAlign w:val="center"/>
          </w:tcPr>
          <w:p>
            <w:pPr>
              <w:jc w:val="right"/>
              <w:rPr>
                <w:b/>
                <w:sz w:val="18"/>
                <w:szCs w:val="18"/>
                <w:highlight w:val="none"/>
              </w:rPr>
            </w:pPr>
            <w:r>
              <w:rPr>
                <w:rFonts w:hint="eastAsia" w:ascii="宋体" w:hAnsi="宋体"/>
                <w:b/>
                <w:color w:val="000000"/>
                <w:sz w:val="18"/>
                <w:szCs w:val="18"/>
                <w:highlight w:val="none"/>
              </w:rPr>
              <w:t>301.37</w:t>
            </w:r>
          </w:p>
        </w:tc>
        <w:tc>
          <w:tcPr>
            <w:tcW w:w="1427"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302.14</w:t>
            </w:r>
          </w:p>
        </w:tc>
      </w:tr>
    </w:tbl>
    <w:p>
      <w:pPr>
        <w:widowControl/>
        <w:jc w:val="left"/>
        <w:rPr>
          <w:rFonts w:hint="default" w:ascii="仿宋" w:eastAsia="仿宋"/>
          <w:b/>
          <w:color w:val="000000"/>
          <w:szCs w:val="21"/>
          <w:highlight w:val="none"/>
        </w:rPr>
        <w:sectPr>
          <w:pgSz w:w="11906" w:h="16838"/>
          <w:pgMar w:top="1134" w:right="1134" w:bottom="1134" w:left="1134" w:header="851" w:footer="992" w:gutter="0"/>
          <w:cols w:space="425" w:num="1"/>
          <w:docGrid w:type="lines" w:linePitch="312" w:charSpace="0"/>
        </w:sectPr>
      </w:pPr>
    </w:p>
    <w:p>
      <w:pPr>
        <w:rPr>
          <w:highlight w:val="none"/>
        </w:rPr>
      </w:pPr>
      <w:r>
        <w:rPr>
          <w:rFonts w:hint="eastAsia" w:ascii="宋体" w:hAnsi="宋体"/>
          <w:color w:val="000000"/>
          <w:sz w:val="18"/>
          <w:szCs w:val="18"/>
          <w:highlight w:val="none"/>
        </w:rPr>
        <w:t>表6</w:t>
      </w:r>
    </w:p>
    <w:p>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一般公共预算基本支出情况表</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4593"/>
        <w:gridCol w:w="1367"/>
        <w:gridCol w:w="1085"/>
        <w:gridCol w:w="281"/>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8146" w:type="dxa"/>
            <w:gridSpan w:val="5"/>
            <w:tcBorders>
              <w:top w:val="nil"/>
              <w:left w:val="nil"/>
              <w:right w:val="nil"/>
            </w:tcBorders>
            <w:shd w:val="clear" w:color="auto" w:fill="auto"/>
            <w:vAlign w:val="center"/>
          </w:tcPr>
          <w:p>
            <w:pPr>
              <w:jc w:val="left"/>
              <w:rPr>
                <w:sz w:val="18"/>
                <w:szCs w:val="18"/>
                <w:highlight w:val="none"/>
              </w:rPr>
            </w:pPr>
            <w:r>
              <w:rPr>
                <w:rFonts w:hint="eastAsia"/>
                <w:color w:val="000000"/>
                <w:sz w:val="18"/>
                <w:szCs w:val="18"/>
                <w:highlight w:val="none"/>
              </w:rPr>
              <w:t>编制单位：新疆维吾尔自治区无线电监测中心</w:t>
            </w:r>
          </w:p>
        </w:tc>
        <w:tc>
          <w:tcPr>
            <w:tcW w:w="1708" w:type="dxa"/>
            <w:gridSpan w:val="2"/>
            <w:tcBorders>
              <w:top w:val="nil"/>
              <w:left w:val="nil"/>
              <w:right w:val="nil"/>
            </w:tcBorders>
            <w:shd w:val="clear" w:color="auto" w:fill="auto"/>
            <w:vAlign w:val="center"/>
          </w:tcPr>
          <w:p>
            <w:pPr>
              <w:jc w:val="right"/>
              <w:rPr>
                <w:sz w:val="18"/>
                <w:szCs w:val="18"/>
                <w:highlight w:val="none"/>
              </w:rPr>
            </w:pPr>
            <w:r>
              <w:rPr>
                <w:rFonts w:hint="eastAsia"/>
                <w:color w:val="000000"/>
                <w:sz w:val="18"/>
                <w:szCs w:val="18"/>
                <w:highlight w:val="none"/>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5694" w:type="dxa"/>
            <w:gridSpan w:val="3"/>
            <w:shd w:val="clear" w:color="auto" w:fill="auto"/>
            <w:vAlign w:val="center"/>
          </w:tcPr>
          <w:p>
            <w:pPr>
              <w:jc w:val="center"/>
              <w:rPr>
                <w:sz w:val="18"/>
                <w:szCs w:val="18"/>
                <w:highlight w:val="none"/>
              </w:rPr>
            </w:pPr>
            <w:r>
              <w:rPr>
                <w:rFonts w:hint="eastAsia"/>
                <w:sz w:val="18"/>
                <w:szCs w:val="18"/>
                <w:highlight w:val="none"/>
              </w:rPr>
              <w:t>科目</w:t>
            </w:r>
          </w:p>
        </w:tc>
        <w:tc>
          <w:tcPr>
            <w:tcW w:w="4160" w:type="dxa"/>
            <w:gridSpan w:val="4"/>
            <w:shd w:val="clear" w:color="auto" w:fill="auto"/>
            <w:vAlign w:val="center"/>
          </w:tcPr>
          <w:p>
            <w:pPr>
              <w:jc w:val="center"/>
              <w:rPr>
                <w:sz w:val="18"/>
                <w:szCs w:val="18"/>
                <w:highlight w:val="none"/>
              </w:rPr>
            </w:pPr>
            <w:r>
              <w:rPr>
                <w:rFonts w:hint="eastAsia"/>
                <w:sz w:val="18"/>
                <w:szCs w:val="18"/>
                <w:highlight w:val="none"/>
              </w:rPr>
              <w:t>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4" w:hRule="atLeast"/>
          <w:tblHeader/>
        </w:trPr>
        <w:tc>
          <w:tcPr>
            <w:tcW w:w="1101" w:type="dxa"/>
            <w:gridSpan w:val="2"/>
            <w:shd w:val="clear" w:color="auto" w:fill="auto"/>
            <w:vAlign w:val="center"/>
          </w:tcPr>
          <w:p>
            <w:pPr>
              <w:jc w:val="center"/>
              <w:rPr>
                <w:sz w:val="18"/>
                <w:szCs w:val="18"/>
                <w:highlight w:val="none"/>
              </w:rPr>
            </w:pPr>
            <w:r>
              <w:rPr>
                <w:rFonts w:hint="eastAsia"/>
                <w:sz w:val="18"/>
                <w:szCs w:val="18"/>
                <w:highlight w:val="none"/>
              </w:rPr>
              <w:t>科目代码</w:t>
            </w:r>
          </w:p>
        </w:tc>
        <w:tc>
          <w:tcPr>
            <w:tcW w:w="4593" w:type="dxa"/>
            <w:vMerge w:val="restart"/>
            <w:shd w:val="clear" w:color="auto" w:fill="auto"/>
            <w:vAlign w:val="center"/>
          </w:tcPr>
          <w:p>
            <w:pPr>
              <w:jc w:val="center"/>
              <w:rPr>
                <w:sz w:val="18"/>
                <w:szCs w:val="18"/>
                <w:highlight w:val="none"/>
              </w:rPr>
            </w:pPr>
            <w:r>
              <w:rPr>
                <w:rFonts w:hint="eastAsia"/>
                <w:sz w:val="18"/>
                <w:szCs w:val="18"/>
                <w:highlight w:val="none"/>
              </w:rPr>
              <w:t>科目名称</w:t>
            </w:r>
          </w:p>
        </w:tc>
        <w:tc>
          <w:tcPr>
            <w:tcW w:w="1367" w:type="dxa"/>
            <w:vMerge w:val="restart"/>
            <w:shd w:val="clear" w:color="auto" w:fill="auto"/>
            <w:vAlign w:val="center"/>
          </w:tcPr>
          <w:p>
            <w:pPr>
              <w:jc w:val="center"/>
              <w:rPr>
                <w:sz w:val="18"/>
                <w:szCs w:val="18"/>
                <w:highlight w:val="none"/>
              </w:rPr>
            </w:pPr>
            <w:r>
              <w:rPr>
                <w:rFonts w:hint="eastAsia"/>
                <w:sz w:val="18"/>
                <w:szCs w:val="18"/>
                <w:highlight w:val="none"/>
              </w:rPr>
              <w:t>合计</w:t>
            </w:r>
          </w:p>
        </w:tc>
        <w:tc>
          <w:tcPr>
            <w:tcW w:w="1366" w:type="dxa"/>
            <w:gridSpan w:val="2"/>
            <w:vMerge w:val="restart"/>
            <w:shd w:val="clear" w:color="auto" w:fill="auto"/>
            <w:vAlign w:val="center"/>
          </w:tcPr>
          <w:p>
            <w:pPr>
              <w:jc w:val="center"/>
              <w:rPr>
                <w:sz w:val="18"/>
                <w:szCs w:val="18"/>
                <w:highlight w:val="none"/>
              </w:rPr>
            </w:pPr>
            <w:r>
              <w:rPr>
                <w:rFonts w:hint="eastAsia"/>
                <w:sz w:val="18"/>
                <w:szCs w:val="18"/>
                <w:highlight w:val="none"/>
              </w:rPr>
              <w:t>人员经费</w:t>
            </w:r>
          </w:p>
        </w:tc>
        <w:tc>
          <w:tcPr>
            <w:tcW w:w="1427" w:type="dxa"/>
            <w:vMerge w:val="restart"/>
            <w:shd w:val="clear" w:color="auto" w:fill="auto"/>
            <w:vAlign w:val="center"/>
          </w:tcPr>
          <w:p>
            <w:pPr>
              <w:jc w:val="center"/>
              <w:rPr>
                <w:sz w:val="18"/>
                <w:szCs w:val="18"/>
                <w:highlight w:val="none"/>
              </w:rPr>
            </w:pPr>
            <w:r>
              <w:rPr>
                <w:rFonts w:hint="eastAsia"/>
                <w:sz w:val="18"/>
                <w:szCs w:val="18"/>
                <w:highlight w:val="none"/>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534" w:type="dxa"/>
            <w:shd w:val="clear" w:color="auto" w:fill="auto"/>
            <w:vAlign w:val="center"/>
          </w:tcPr>
          <w:p>
            <w:pPr>
              <w:jc w:val="center"/>
              <w:rPr>
                <w:sz w:val="18"/>
                <w:szCs w:val="18"/>
                <w:highlight w:val="none"/>
              </w:rPr>
            </w:pPr>
            <w:r>
              <w:rPr>
                <w:rFonts w:hint="eastAsia"/>
                <w:sz w:val="18"/>
                <w:szCs w:val="18"/>
                <w:highlight w:val="none"/>
              </w:rPr>
              <w:t>类</w:t>
            </w:r>
          </w:p>
        </w:tc>
        <w:tc>
          <w:tcPr>
            <w:tcW w:w="567" w:type="dxa"/>
            <w:shd w:val="clear" w:color="auto" w:fill="auto"/>
            <w:vAlign w:val="center"/>
          </w:tcPr>
          <w:p>
            <w:pPr>
              <w:jc w:val="center"/>
              <w:rPr>
                <w:sz w:val="18"/>
                <w:szCs w:val="18"/>
                <w:highlight w:val="none"/>
              </w:rPr>
            </w:pPr>
            <w:r>
              <w:rPr>
                <w:rFonts w:hint="eastAsia"/>
                <w:sz w:val="18"/>
                <w:szCs w:val="18"/>
                <w:highlight w:val="none"/>
              </w:rPr>
              <w:t>款</w:t>
            </w:r>
          </w:p>
        </w:tc>
        <w:tc>
          <w:tcPr>
            <w:tcW w:w="4593" w:type="dxa"/>
            <w:vMerge w:val="continue"/>
            <w:shd w:val="clear" w:color="auto" w:fill="auto"/>
            <w:vAlign w:val="center"/>
          </w:tcPr>
          <w:p>
            <w:pPr>
              <w:jc w:val="center"/>
              <w:rPr>
                <w:sz w:val="18"/>
                <w:szCs w:val="18"/>
                <w:highlight w:val="none"/>
              </w:rPr>
            </w:pPr>
          </w:p>
        </w:tc>
        <w:tc>
          <w:tcPr>
            <w:tcW w:w="1367" w:type="dxa"/>
            <w:vMerge w:val="continue"/>
            <w:shd w:val="clear" w:color="auto" w:fill="auto"/>
            <w:vAlign w:val="center"/>
          </w:tcPr>
          <w:p>
            <w:pPr>
              <w:jc w:val="center"/>
              <w:rPr>
                <w:sz w:val="18"/>
                <w:szCs w:val="18"/>
                <w:highlight w:val="none"/>
              </w:rPr>
            </w:pPr>
          </w:p>
        </w:tc>
        <w:tc>
          <w:tcPr>
            <w:tcW w:w="1366" w:type="dxa"/>
            <w:gridSpan w:val="2"/>
            <w:vMerge w:val="continue"/>
            <w:shd w:val="clear" w:color="auto" w:fill="auto"/>
            <w:vAlign w:val="center"/>
          </w:tcPr>
          <w:p>
            <w:pPr>
              <w:jc w:val="center"/>
              <w:rPr>
                <w:sz w:val="18"/>
                <w:szCs w:val="18"/>
                <w:highlight w:val="none"/>
              </w:rPr>
            </w:pPr>
          </w:p>
        </w:tc>
        <w:tc>
          <w:tcPr>
            <w:tcW w:w="1427" w:type="dxa"/>
            <w:vMerge w:val="continue"/>
            <w:shd w:val="clear" w:color="auto" w:fill="auto"/>
            <w:vAlign w:val="center"/>
          </w:tcPr>
          <w:p>
            <w:pPr>
              <w:jc w:val="center"/>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b/>
                <w:sz w:val="18"/>
                <w:szCs w:val="18"/>
                <w:highlight w:val="none"/>
              </w:rPr>
            </w:pPr>
            <w:r>
              <w:rPr>
                <w:rFonts w:hint="default" w:ascii="宋体" w:hAnsi="宋体"/>
                <w:b/>
                <w:sz w:val="18"/>
                <w:szCs w:val="18"/>
                <w:highlight w:val="none"/>
              </w:rPr>
              <w:t>301</w:t>
            </w:r>
          </w:p>
        </w:tc>
        <w:tc>
          <w:tcPr>
            <w:tcW w:w="567" w:type="dxa"/>
            <w:shd w:val="clear" w:color="auto" w:fill="auto"/>
            <w:vAlign w:val="center"/>
          </w:tcPr>
          <w:p>
            <w:pPr>
              <w:jc w:val="center"/>
              <w:rPr>
                <w:rFonts w:hint="default" w:ascii="宋体" w:hAnsi="宋体"/>
                <w:b/>
                <w:sz w:val="18"/>
                <w:szCs w:val="18"/>
                <w:highlight w:val="none"/>
              </w:rPr>
            </w:pPr>
          </w:p>
        </w:tc>
        <w:tc>
          <w:tcPr>
            <w:tcW w:w="4593" w:type="dxa"/>
            <w:shd w:val="clear" w:color="auto" w:fill="auto"/>
            <w:vAlign w:val="center"/>
          </w:tcPr>
          <w:p>
            <w:pPr>
              <w:jc w:val="left"/>
              <w:rPr>
                <w:rFonts w:hint="default" w:ascii="宋体" w:hAnsi="宋体"/>
                <w:b/>
                <w:sz w:val="18"/>
                <w:szCs w:val="18"/>
                <w:highlight w:val="none"/>
              </w:rPr>
            </w:pPr>
            <w:r>
              <w:rPr>
                <w:rFonts w:hint="default" w:ascii="宋体" w:hAnsi="宋体"/>
                <w:b/>
                <w:sz w:val="18"/>
                <w:szCs w:val="18"/>
                <w:highlight w:val="none"/>
              </w:rPr>
              <w:t>工资福利支出</w:t>
            </w:r>
          </w:p>
        </w:tc>
        <w:tc>
          <w:tcPr>
            <w:tcW w:w="1367" w:type="dxa"/>
            <w:shd w:val="clear" w:color="auto" w:fill="auto"/>
            <w:vAlign w:val="center"/>
          </w:tcPr>
          <w:p>
            <w:pPr>
              <w:jc w:val="right"/>
              <w:rPr>
                <w:rFonts w:hint="default" w:ascii="宋体" w:hAnsi="宋体"/>
                <w:b/>
                <w:sz w:val="18"/>
                <w:szCs w:val="18"/>
                <w:highlight w:val="none"/>
              </w:rPr>
            </w:pPr>
            <w:r>
              <w:rPr>
                <w:rFonts w:hint="default" w:ascii="宋体" w:hAnsi="宋体"/>
                <w:b/>
                <w:sz w:val="18"/>
                <w:szCs w:val="18"/>
                <w:highlight w:val="none"/>
              </w:rPr>
              <w:t>264.28</w:t>
            </w:r>
          </w:p>
        </w:tc>
        <w:tc>
          <w:tcPr>
            <w:tcW w:w="1366" w:type="dxa"/>
            <w:gridSpan w:val="2"/>
            <w:shd w:val="clear" w:color="auto" w:fill="auto"/>
            <w:vAlign w:val="center"/>
          </w:tcPr>
          <w:p>
            <w:pPr>
              <w:jc w:val="right"/>
              <w:rPr>
                <w:rFonts w:hint="default" w:ascii="宋体" w:hAnsi="宋体"/>
                <w:b/>
                <w:sz w:val="18"/>
                <w:szCs w:val="18"/>
                <w:highlight w:val="none"/>
              </w:rPr>
            </w:pPr>
            <w:r>
              <w:rPr>
                <w:rFonts w:hint="default" w:ascii="宋体" w:hAnsi="宋体"/>
                <w:b/>
                <w:sz w:val="18"/>
                <w:szCs w:val="18"/>
                <w:highlight w:val="none"/>
              </w:rPr>
              <w:t>264.28</w:t>
            </w:r>
          </w:p>
        </w:tc>
        <w:tc>
          <w:tcPr>
            <w:tcW w:w="1427" w:type="dxa"/>
            <w:shd w:val="clear" w:color="auto" w:fill="auto"/>
            <w:vAlign w:val="center"/>
          </w:tcPr>
          <w:p>
            <w:pPr>
              <w:jc w:val="right"/>
              <w:rPr>
                <w:rFonts w:hint="default" w:ascii="宋体" w:hAnsi="宋体"/>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01</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基本工资</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60.17</w:t>
            </w:r>
          </w:p>
        </w:tc>
        <w:tc>
          <w:tcPr>
            <w:tcW w:w="1366" w:type="dxa"/>
            <w:gridSpan w:val="2"/>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60.17</w:t>
            </w:r>
          </w:p>
        </w:tc>
        <w:tc>
          <w:tcPr>
            <w:tcW w:w="1427" w:type="dxa"/>
            <w:shd w:val="clear" w:color="auto" w:fill="auto"/>
            <w:vAlign w:val="center"/>
          </w:tcPr>
          <w:p>
            <w:pPr>
              <w:jc w:val="right"/>
              <w:rPr>
                <w:rFonts w:hint="default"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02</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津贴补贴</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13.35</w:t>
            </w:r>
          </w:p>
        </w:tc>
        <w:tc>
          <w:tcPr>
            <w:tcW w:w="1366" w:type="dxa"/>
            <w:gridSpan w:val="2"/>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13.35</w:t>
            </w:r>
          </w:p>
        </w:tc>
        <w:tc>
          <w:tcPr>
            <w:tcW w:w="1427" w:type="dxa"/>
            <w:shd w:val="clear" w:color="auto" w:fill="auto"/>
            <w:vAlign w:val="center"/>
          </w:tcPr>
          <w:p>
            <w:pPr>
              <w:jc w:val="right"/>
              <w:rPr>
                <w:rFonts w:hint="default"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03</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奖金</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36.00</w:t>
            </w:r>
          </w:p>
        </w:tc>
        <w:tc>
          <w:tcPr>
            <w:tcW w:w="1366" w:type="dxa"/>
            <w:gridSpan w:val="2"/>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36.00</w:t>
            </w:r>
          </w:p>
        </w:tc>
        <w:tc>
          <w:tcPr>
            <w:tcW w:w="1427" w:type="dxa"/>
            <w:shd w:val="clear" w:color="auto" w:fill="auto"/>
            <w:vAlign w:val="center"/>
          </w:tcPr>
          <w:p>
            <w:pPr>
              <w:jc w:val="right"/>
              <w:rPr>
                <w:rFonts w:hint="default"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07</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绩效工资</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44.00</w:t>
            </w:r>
          </w:p>
        </w:tc>
        <w:tc>
          <w:tcPr>
            <w:tcW w:w="1366" w:type="dxa"/>
            <w:gridSpan w:val="2"/>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44.00</w:t>
            </w:r>
          </w:p>
        </w:tc>
        <w:tc>
          <w:tcPr>
            <w:tcW w:w="1427" w:type="dxa"/>
            <w:shd w:val="clear" w:color="auto" w:fill="auto"/>
            <w:vAlign w:val="center"/>
          </w:tcPr>
          <w:p>
            <w:pPr>
              <w:jc w:val="right"/>
              <w:rPr>
                <w:rFonts w:hint="default"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08</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机关事业单位基本养老保险缴费</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30.00</w:t>
            </w:r>
          </w:p>
        </w:tc>
        <w:tc>
          <w:tcPr>
            <w:tcW w:w="1366" w:type="dxa"/>
            <w:gridSpan w:val="2"/>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30.00</w:t>
            </w:r>
          </w:p>
        </w:tc>
        <w:tc>
          <w:tcPr>
            <w:tcW w:w="1427" w:type="dxa"/>
            <w:shd w:val="clear" w:color="auto" w:fill="auto"/>
            <w:vAlign w:val="center"/>
          </w:tcPr>
          <w:p>
            <w:pPr>
              <w:jc w:val="right"/>
              <w:rPr>
                <w:rFonts w:hint="default"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09</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职业年金缴费</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15.00</w:t>
            </w:r>
          </w:p>
        </w:tc>
        <w:tc>
          <w:tcPr>
            <w:tcW w:w="1366" w:type="dxa"/>
            <w:gridSpan w:val="2"/>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15.00</w:t>
            </w:r>
          </w:p>
        </w:tc>
        <w:tc>
          <w:tcPr>
            <w:tcW w:w="1427" w:type="dxa"/>
            <w:shd w:val="clear" w:color="auto" w:fill="auto"/>
            <w:vAlign w:val="center"/>
          </w:tcPr>
          <w:p>
            <w:pPr>
              <w:jc w:val="right"/>
              <w:rPr>
                <w:rFonts w:hint="default"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10</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职工基本医疗保险缴费</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20.20</w:t>
            </w:r>
          </w:p>
        </w:tc>
        <w:tc>
          <w:tcPr>
            <w:tcW w:w="1366" w:type="dxa"/>
            <w:gridSpan w:val="2"/>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20.20</w:t>
            </w:r>
          </w:p>
        </w:tc>
        <w:tc>
          <w:tcPr>
            <w:tcW w:w="1427" w:type="dxa"/>
            <w:shd w:val="clear" w:color="auto" w:fill="auto"/>
            <w:vAlign w:val="center"/>
          </w:tcPr>
          <w:p>
            <w:pPr>
              <w:jc w:val="right"/>
              <w:rPr>
                <w:rFonts w:hint="default"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11</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公务员医疗补助缴费</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14.00</w:t>
            </w:r>
          </w:p>
        </w:tc>
        <w:tc>
          <w:tcPr>
            <w:tcW w:w="1366" w:type="dxa"/>
            <w:gridSpan w:val="2"/>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14.00</w:t>
            </w:r>
          </w:p>
        </w:tc>
        <w:tc>
          <w:tcPr>
            <w:tcW w:w="1427" w:type="dxa"/>
            <w:shd w:val="clear" w:color="auto" w:fill="auto"/>
            <w:vAlign w:val="center"/>
          </w:tcPr>
          <w:p>
            <w:pPr>
              <w:jc w:val="right"/>
              <w:rPr>
                <w:rFonts w:hint="default"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12</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其他社会保障缴费</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3.65</w:t>
            </w:r>
          </w:p>
        </w:tc>
        <w:tc>
          <w:tcPr>
            <w:tcW w:w="1366" w:type="dxa"/>
            <w:gridSpan w:val="2"/>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3.65</w:t>
            </w:r>
          </w:p>
        </w:tc>
        <w:tc>
          <w:tcPr>
            <w:tcW w:w="1427" w:type="dxa"/>
            <w:shd w:val="clear" w:color="auto" w:fill="auto"/>
            <w:vAlign w:val="center"/>
          </w:tcPr>
          <w:p>
            <w:pPr>
              <w:jc w:val="right"/>
              <w:rPr>
                <w:rFonts w:hint="default"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13</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住房公积金</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23.00</w:t>
            </w:r>
          </w:p>
        </w:tc>
        <w:tc>
          <w:tcPr>
            <w:tcW w:w="1366" w:type="dxa"/>
            <w:gridSpan w:val="2"/>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23.00</w:t>
            </w:r>
          </w:p>
        </w:tc>
        <w:tc>
          <w:tcPr>
            <w:tcW w:w="1427" w:type="dxa"/>
            <w:shd w:val="clear" w:color="auto" w:fill="auto"/>
            <w:vAlign w:val="center"/>
          </w:tcPr>
          <w:p>
            <w:pPr>
              <w:jc w:val="right"/>
              <w:rPr>
                <w:rFonts w:hint="default"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99</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其他工资福利支出</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4.91</w:t>
            </w:r>
          </w:p>
        </w:tc>
        <w:tc>
          <w:tcPr>
            <w:tcW w:w="1366" w:type="dxa"/>
            <w:gridSpan w:val="2"/>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4.91</w:t>
            </w:r>
          </w:p>
        </w:tc>
        <w:tc>
          <w:tcPr>
            <w:tcW w:w="1427" w:type="dxa"/>
            <w:shd w:val="clear" w:color="auto" w:fill="auto"/>
            <w:vAlign w:val="center"/>
          </w:tcPr>
          <w:p>
            <w:pPr>
              <w:jc w:val="right"/>
              <w:rPr>
                <w:rFonts w:hint="default"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b/>
                <w:sz w:val="18"/>
                <w:szCs w:val="18"/>
                <w:highlight w:val="none"/>
              </w:rPr>
            </w:pPr>
            <w:r>
              <w:rPr>
                <w:rFonts w:hint="default" w:ascii="宋体" w:hAnsi="宋体"/>
                <w:b/>
                <w:sz w:val="18"/>
                <w:szCs w:val="18"/>
                <w:highlight w:val="none"/>
              </w:rPr>
              <w:t>302</w:t>
            </w:r>
          </w:p>
        </w:tc>
        <w:tc>
          <w:tcPr>
            <w:tcW w:w="567" w:type="dxa"/>
            <w:shd w:val="clear" w:color="auto" w:fill="auto"/>
            <w:vAlign w:val="center"/>
          </w:tcPr>
          <w:p>
            <w:pPr>
              <w:jc w:val="center"/>
              <w:rPr>
                <w:rFonts w:hint="default" w:ascii="宋体" w:hAnsi="宋体"/>
                <w:b/>
                <w:sz w:val="18"/>
                <w:szCs w:val="18"/>
                <w:highlight w:val="none"/>
              </w:rPr>
            </w:pPr>
          </w:p>
        </w:tc>
        <w:tc>
          <w:tcPr>
            <w:tcW w:w="4593" w:type="dxa"/>
            <w:shd w:val="clear" w:color="auto" w:fill="auto"/>
            <w:vAlign w:val="center"/>
          </w:tcPr>
          <w:p>
            <w:pPr>
              <w:jc w:val="left"/>
              <w:rPr>
                <w:rFonts w:hint="default" w:ascii="宋体" w:hAnsi="宋体"/>
                <w:b/>
                <w:sz w:val="18"/>
                <w:szCs w:val="18"/>
                <w:highlight w:val="none"/>
              </w:rPr>
            </w:pPr>
            <w:r>
              <w:rPr>
                <w:rFonts w:hint="default" w:ascii="宋体" w:hAnsi="宋体"/>
                <w:b/>
                <w:sz w:val="18"/>
                <w:szCs w:val="18"/>
                <w:highlight w:val="none"/>
              </w:rPr>
              <w:t>商品和服务支出</w:t>
            </w:r>
          </w:p>
        </w:tc>
        <w:tc>
          <w:tcPr>
            <w:tcW w:w="1367" w:type="dxa"/>
            <w:shd w:val="clear" w:color="auto" w:fill="auto"/>
            <w:vAlign w:val="center"/>
          </w:tcPr>
          <w:p>
            <w:pPr>
              <w:jc w:val="right"/>
              <w:rPr>
                <w:rFonts w:hint="default" w:ascii="宋体" w:hAnsi="宋体"/>
                <w:b/>
                <w:sz w:val="18"/>
                <w:szCs w:val="18"/>
                <w:highlight w:val="none"/>
              </w:rPr>
            </w:pPr>
            <w:r>
              <w:rPr>
                <w:rFonts w:hint="default" w:ascii="宋体" w:hAnsi="宋体"/>
                <w:b/>
                <w:sz w:val="18"/>
                <w:szCs w:val="18"/>
                <w:highlight w:val="none"/>
              </w:rPr>
              <w:t>32.00</w:t>
            </w:r>
          </w:p>
        </w:tc>
        <w:tc>
          <w:tcPr>
            <w:tcW w:w="1366" w:type="dxa"/>
            <w:gridSpan w:val="2"/>
            <w:shd w:val="clear" w:color="auto" w:fill="auto"/>
            <w:vAlign w:val="center"/>
          </w:tcPr>
          <w:p>
            <w:pPr>
              <w:jc w:val="right"/>
              <w:rPr>
                <w:rFonts w:hint="default" w:ascii="宋体" w:hAnsi="宋体"/>
                <w:b/>
                <w:sz w:val="18"/>
                <w:szCs w:val="18"/>
                <w:highlight w:val="none"/>
              </w:rPr>
            </w:pPr>
          </w:p>
        </w:tc>
        <w:tc>
          <w:tcPr>
            <w:tcW w:w="1427" w:type="dxa"/>
            <w:shd w:val="clear" w:color="auto" w:fill="auto"/>
            <w:vAlign w:val="center"/>
          </w:tcPr>
          <w:p>
            <w:pPr>
              <w:jc w:val="right"/>
              <w:rPr>
                <w:rFonts w:hint="default" w:ascii="宋体" w:hAnsi="宋体"/>
                <w:b/>
                <w:sz w:val="18"/>
                <w:szCs w:val="18"/>
                <w:highlight w:val="none"/>
              </w:rPr>
            </w:pPr>
            <w:r>
              <w:rPr>
                <w:rFonts w:hint="default" w:ascii="宋体" w:hAnsi="宋体"/>
                <w:b/>
                <w:sz w:val="18"/>
                <w:szCs w:val="18"/>
                <w:highlight w:val="none"/>
              </w:rPr>
              <w:t>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302</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01</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办公费</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5.00</w:t>
            </w:r>
          </w:p>
        </w:tc>
        <w:tc>
          <w:tcPr>
            <w:tcW w:w="1366" w:type="dxa"/>
            <w:gridSpan w:val="2"/>
            <w:shd w:val="clear" w:color="auto" w:fill="auto"/>
            <w:vAlign w:val="center"/>
          </w:tcPr>
          <w:p>
            <w:pPr>
              <w:jc w:val="right"/>
              <w:rPr>
                <w:rFonts w:hint="default" w:ascii="宋体" w:hAnsi="宋体"/>
                <w:sz w:val="18"/>
                <w:szCs w:val="18"/>
                <w:highlight w:val="none"/>
              </w:rPr>
            </w:pPr>
          </w:p>
        </w:tc>
        <w:tc>
          <w:tcPr>
            <w:tcW w:w="142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302</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05</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水费</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1.20</w:t>
            </w:r>
          </w:p>
        </w:tc>
        <w:tc>
          <w:tcPr>
            <w:tcW w:w="1366" w:type="dxa"/>
            <w:gridSpan w:val="2"/>
            <w:shd w:val="clear" w:color="auto" w:fill="auto"/>
            <w:vAlign w:val="center"/>
          </w:tcPr>
          <w:p>
            <w:pPr>
              <w:jc w:val="right"/>
              <w:rPr>
                <w:rFonts w:hint="default" w:ascii="宋体" w:hAnsi="宋体"/>
                <w:sz w:val="18"/>
                <w:szCs w:val="18"/>
                <w:highlight w:val="none"/>
              </w:rPr>
            </w:pPr>
          </w:p>
        </w:tc>
        <w:tc>
          <w:tcPr>
            <w:tcW w:w="142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302</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06</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电费</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5.00</w:t>
            </w:r>
          </w:p>
        </w:tc>
        <w:tc>
          <w:tcPr>
            <w:tcW w:w="1366" w:type="dxa"/>
            <w:gridSpan w:val="2"/>
            <w:shd w:val="clear" w:color="auto" w:fill="auto"/>
            <w:vAlign w:val="center"/>
          </w:tcPr>
          <w:p>
            <w:pPr>
              <w:jc w:val="right"/>
              <w:rPr>
                <w:rFonts w:hint="default" w:ascii="宋体" w:hAnsi="宋体"/>
                <w:sz w:val="18"/>
                <w:szCs w:val="18"/>
                <w:highlight w:val="none"/>
              </w:rPr>
            </w:pPr>
          </w:p>
        </w:tc>
        <w:tc>
          <w:tcPr>
            <w:tcW w:w="142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302</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07</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邮电费</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1.00</w:t>
            </w:r>
          </w:p>
        </w:tc>
        <w:tc>
          <w:tcPr>
            <w:tcW w:w="1366" w:type="dxa"/>
            <w:gridSpan w:val="2"/>
            <w:shd w:val="clear" w:color="auto" w:fill="auto"/>
            <w:vAlign w:val="center"/>
          </w:tcPr>
          <w:p>
            <w:pPr>
              <w:jc w:val="right"/>
              <w:rPr>
                <w:rFonts w:hint="default" w:ascii="宋体" w:hAnsi="宋体"/>
                <w:sz w:val="18"/>
                <w:szCs w:val="18"/>
                <w:highlight w:val="none"/>
              </w:rPr>
            </w:pPr>
          </w:p>
        </w:tc>
        <w:tc>
          <w:tcPr>
            <w:tcW w:w="142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302</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08</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取暖费</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3.20</w:t>
            </w:r>
          </w:p>
        </w:tc>
        <w:tc>
          <w:tcPr>
            <w:tcW w:w="1366" w:type="dxa"/>
            <w:gridSpan w:val="2"/>
            <w:shd w:val="clear" w:color="auto" w:fill="auto"/>
            <w:vAlign w:val="center"/>
          </w:tcPr>
          <w:p>
            <w:pPr>
              <w:jc w:val="right"/>
              <w:rPr>
                <w:rFonts w:hint="default" w:ascii="宋体" w:hAnsi="宋体"/>
                <w:sz w:val="18"/>
                <w:szCs w:val="18"/>
                <w:highlight w:val="none"/>
              </w:rPr>
            </w:pPr>
          </w:p>
        </w:tc>
        <w:tc>
          <w:tcPr>
            <w:tcW w:w="142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302</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09</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物业管理费</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2.20</w:t>
            </w:r>
          </w:p>
        </w:tc>
        <w:tc>
          <w:tcPr>
            <w:tcW w:w="1366" w:type="dxa"/>
            <w:gridSpan w:val="2"/>
            <w:shd w:val="clear" w:color="auto" w:fill="auto"/>
            <w:vAlign w:val="center"/>
          </w:tcPr>
          <w:p>
            <w:pPr>
              <w:jc w:val="right"/>
              <w:rPr>
                <w:rFonts w:hint="default" w:ascii="宋体" w:hAnsi="宋体"/>
                <w:sz w:val="18"/>
                <w:szCs w:val="18"/>
                <w:highlight w:val="none"/>
              </w:rPr>
            </w:pPr>
          </w:p>
        </w:tc>
        <w:tc>
          <w:tcPr>
            <w:tcW w:w="142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302</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11</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差旅费</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6.05</w:t>
            </w:r>
          </w:p>
        </w:tc>
        <w:tc>
          <w:tcPr>
            <w:tcW w:w="1366" w:type="dxa"/>
            <w:gridSpan w:val="2"/>
            <w:shd w:val="clear" w:color="auto" w:fill="auto"/>
            <w:vAlign w:val="center"/>
          </w:tcPr>
          <w:p>
            <w:pPr>
              <w:jc w:val="right"/>
              <w:rPr>
                <w:rFonts w:hint="default" w:ascii="宋体" w:hAnsi="宋体"/>
                <w:sz w:val="18"/>
                <w:szCs w:val="18"/>
                <w:highlight w:val="none"/>
              </w:rPr>
            </w:pPr>
          </w:p>
        </w:tc>
        <w:tc>
          <w:tcPr>
            <w:tcW w:w="142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302</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28</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工会经费</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3.33</w:t>
            </w:r>
          </w:p>
        </w:tc>
        <w:tc>
          <w:tcPr>
            <w:tcW w:w="1366" w:type="dxa"/>
            <w:gridSpan w:val="2"/>
            <w:shd w:val="clear" w:color="auto" w:fill="auto"/>
            <w:vAlign w:val="center"/>
          </w:tcPr>
          <w:p>
            <w:pPr>
              <w:jc w:val="right"/>
              <w:rPr>
                <w:rFonts w:hint="default" w:ascii="宋体" w:hAnsi="宋体"/>
                <w:sz w:val="18"/>
                <w:szCs w:val="18"/>
                <w:highlight w:val="none"/>
              </w:rPr>
            </w:pPr>
          </w:p>
        </w:tc>
        <w:tc>
          <w:tcPr>
            <w:tcW w:w="142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302</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31</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公务用车运行维护费</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1.90</w:t>
            </w:r>
          </w:p>
        </w:tc>
        <w:tc>
          <w:tcPr>
            <w:tcW w:w="1366" w:type="dxa"/>
            <w:gridSpan w:val="2"/>
            <w:shd w:val="clear" w:color="auto" w:fill="auto"/>
            <w:vAlign w:val="center"/>
          </w:tcPr>
          <w:p>
            <w:pPr>
              <w:jc w:val="right"/>
              <w:rPr>
                <w:rFonts w:hint="default" w:ascii="宋体" w:hAnsi="宋体"/>
                <w:sz w:val="18"/>
                <w:szCs w:val="18"/>
                <w:highlight w:val="none"/>
              </w:rPr>
            </w:pPr>
          </w:p>
        </w:tc>
        <w:tc>
          <w:tcPr>
            <w:tcW w:w="142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302</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99</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其他商品和服务支出</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3.12</w:t>
            </w:r>
          </w:p>
        </w:tc>
        <w:tc>
          <w:tcPr>
            <w:tcW w:w="1366" w:type="dxa"/>
            <w:gridSpan w:val="2"/>
            <w:shd w:val="clear" w:color="auto" w:fill="auto"/>
            <w:vAlign w:val="center"/>
          </w:tcPr>
          <w:p>
            <w:pPr>
              <w:jc w:val="right"/>
              <w:rPr>
                <w:rFonts w:hint="default" w:ascii="宋体" w:hAnsi="宋体"/>
                <w:sz w:val="18"/>
                <w:szCs w:val="18"/>
                <w:highlight w:val="none"/>
              </w:rPr>
            </w:pPr>
          </w:p>
        </w:tc>
        <w:tc>
          <w:tcPr>
            <w:tcW w:w="142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b/>
                <w:sz w:val="18"/>
                <w:szCs w:val="18"/>
                <w:highlight w:val="none"/>
              </w:rPr>
            </w:pPr>
            <w:r>
              <w:rPr>
                <w:rFonts w:hint="default" w:ascii="宋体" w:hAnsi="宋体"/>
                <w:b/>
                <w:sz w:val="18"/>
                <w:szCs w:val="18"/>
                <w:highlight w:val="none"/>
              </w:rPr>
              <w:t>303</w:t>
            </w:r>
          </w:p>
        </w:tc>
        <w:tc>
          <w:tcPr>
            <w:tcW w:w="567" w:type="dxa"/>
            <w:shd w:val="clear" w:color="auto" w:fill="auto"/>
            <w:vAlign w:val="center"/>
          </w:tcPr>
          <w:p>
            <w:pPr>
              <w:jc w:val="center"/>
              <w:rPr>
                <w:rFonts w:hint="default" w:ascii="宋体" w:hAnsi="宋体"/>
                <w:b/>
                <w:sz w:val="18"/>
                <w:szCs w:val="18"/>
                <w:highlight w:val="none"/>
              </w:rPr>
            </w:pPr>
          </w:p>
        </w:tc>
        <w:tc>
          <w:tcPr>
            <w:tcW w:w="4593" w:type="dxa"/>
            <w:shd w:val="clear" w:color="auto" w:fill="auto"/>
            <w:vAlign w:val="center"/>
          </w:tcPr>
          <w:p>
            <w:pPr>
              <w:jc w:val="left"/>
              <w:rPr>
                <w:rFonts w:hint="default" w:ascii="宋体" w:hAnsi="宋体"/>
                <w:b/>
                <w:sz w:val="18"/>
                <w:szCs w:val="18"/>
                <w:highlight w:val="none"/>
              </w:rPr>
            </w:pPr>
            <w:r>
              <w:rPr>
                <w:rFonts w:hint="default" w:ascii="宋体" w:hAnsi="宋体"/>
                <w:b/>
                <w:sz w:val="18"/>
                <w:szCs w:val="18"/>
                <w:highlight w:val="none"/>
              </w:rPr>
              <w:t>对个人和家庭的补助</w:t>
            </w:r>
          </w:p>
        </w:tc>
        <w:tc>
          <w:tcPr>
            <w:tcW w:w="1367" w:type="dxa"/>
            <w:shd w:val="clear" w:color="auto" w:fill="auto"/>
            <w:vAlign w:val="center"/>
          </w:tcPr>
          <w:p>
            <w:pPr>
              <w:jc w:val="right"/>
              <w:rPr>
                <w:rFonts w:hint="default" w:ascii="宋体" w:hAnsi="宋体"/>
                <w:b/>
                <w:sz w:val="18"/>
                <w:szCs w:val="18"/>
                <w:highlight w:val="none"/>
              </w:rPr>
            </w:pPr>
            <w:r>
              <w:rPr>
                <w:rFonts w:hint="default" w:ascii="宋体" w:hAnsi="宋体"/>
                <w:b/>
                <w:sz w:val="18"/>
                <w:szCs w:val="18"/>
                <w:highlight w:val="none"/>
              </w:rPr>
              <w:t>5.08</w:t>
            </w:r>
          </w:p>
        </w:tc>
        <w:tc>
          <w:tcPr>
            <w:tcW w:w="1366" w:type="dxa"/>
            <w:gridSpan w:val="2"/>
            <w:shd w:val="clear" w:color="auto" w:fill="auto"/>
            <w:vAlign w:val="center"/>
          </w:tcPr>
          <w:p>
            <w:pPr>
              <w:jc w:val="right"/>
              <w:rPr>
                <w:rFonts w:hint="default" w:ascii="宋体" w:hAnsi="宋体"/>
                <w:b/>
                <w:sz w:val="18"/>
                <w:szCs w:val="18"/>
                <w:highlight w:val="none"/>
              </w:rPr>
            </w:pPr>
            <w:r>
              <w:rPr>
                <w:rFonts w:hint="default" w:ascii="宋体" w:hAnsi="宋体"/>
                <w:b/>
                <w:sz w:val="18"/>
                <w:szCs w:val="18"/>
                <w:highlight w:val="none"/>
              </w:rPr>
              <w:t>5.08</w:t>
            </w:r>
          </w:p>
        </w:tc>
        <w:tc>
          <w:tcPr>
            <w:tcW w:w="1427" w:type="dxa"/>
            <w:shd w:val="clear" w:color="auto" w:fill="auto"/>
            <w:vAlign w:val="center"/>
          </w:tcPr>
          <w:p>
            <w:pPr>
              <w:jc w:val="right"/>
              <w:rPr>
                <w:rFonts w:hint="default" w:ascii="宋体" w:hAnsi="宋体"/>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303</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02</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退休费</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4.78</w:t>
            </w:r>
          </w:p>
        </w:tc>
        <w:tc>
          <w:tcPr>
            <w:tcW w:w="1366" w:type="dxa"/>
            <w:gridSpan w:val="2"/>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4.78</w:t>
            </w:r>
          </w:p>
        </w:tc>
        <w:tc>
          <w:tcPr>
            <w:tcW w:w="1427" w:type="dxa"/>
            <w:shd w:val="clear" w:color="auto" w:fill="auto"/>
            <w:vAlign w:val="center"/>
          </w:tcPr>
          <w:p>
            <w:pPr>
              <w:jc w:val="right"/>
              <w:rPr>
                <w:rFonts w:hint="default"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303</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99</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其他对个人和家庭的补助</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0.30</w:t>
            </w:r>
          </w:p>
        </w:tc>
        <w:tc>
          <w:tcPr>
            <w:tcW w:w="1366" w:type="dxa"/>
            <w:gridSpan w:val="2"/>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0.30</w:t>
            </w:r>
          </w:p>
        </w:tc>
        <w:tc>
          <w:tcPr>
            <w:tcW w:w="1427" w:type="dxa"/>
            <w:shd w:val="clear" w:color="auto" w:fill="auto"/>
            <w:vAlign w:val="center"/>
          </w:tcPr>
          <w:p>
            <w:pPr>
              <w:jc w:val="right"/>
              <w:rPr>
                <w:rFonts w:hint="default"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b/>
                <w:sz w:val="18"/>
                <w:szCs w:val="18"/>
                <w:highlight w:val="none"/>
              </w:rPr>
            </w:pPr>
          </w:p>
        </w:tc>
        <w:tc>
          <w:tcPr>
            <w:tcW w:w="567" w:type="dxa"/>
            <w:shd w:val="clear" w:color="auto" w:fill="auto"/>
            <w:vAlign w:val="center"/>
          </w:tcPr>
          <w:p>
            <w:pPr>
              <w:jc w:val="center"/>
              <w:rPr>
                <w:rFonts w:hint="default" w:ascii="宋体" w:hAnsi="宋体"/>
                <w:b/>
                <w:sz w:val="18"/>
                <w:szCs w:val="18"/>
                <w:highlight w:val="none"/>
              </w:rPr>
            </w:pPr>
          </w:p>
        </w:tc>
        <w:tc>
          <w:tcPr>
            <w:tcW w:w="4593" w:type="dxa"/>
            <w:shd w:val="clear" w:color="auto" w:fill="auto"/>
            <w:vAlign w:val="center"/>
          </w:tcPr>
          <w:p>
            <w:pPr>
              <w:jc w:val="center"/>
              <w:rPr>
                <w:rFonts w:hint="default" w:ascii="宋体" w:hAnsi="宋体"/>
                <w:b/>
                <w:sz w:val="18"/>
                <w:szCs w:val="18"/>
                <w:highlight w:val="none"/>
              </w:rPr>
            </w:pPr>
            <w:r>
              <w:rPr>
                <w:rFonts w:hint="default" w:ascii="宋体" w:hAnsi="宋体"/>
                <w:b/>
                <w:sz w:val="18"/>
                <w:szCs w:val="18"/>
                <w:highlight w:val="none"/>
              </w:rPr>
              <w:t>总计</w:t>
            </w:r>
          </w:p>
        </w:tc>
        <w:tc>
          <w:tcPr>
            <w:tcW w:w="1367" w:type="dxa"/>
            <w:shd w:val="clear" w:color="auto" w:fill="auto"/>
            <w:vAlign w:val="center"/>
          </w:tcPr>
          <w:p>
            <w:pPr>
              <w:jc w:val="right"/>
              <w:rPr>
                <w:rFonts w:hint="default" w:ascii="宋体" w:hAnsi="宋体"/>
                <w:b/>
                <w:sz w:val="18"/>
                <w:szCs w:val="18"/>
                <w:highlight w:val="none"/>
              </w:rPr>
            </w:pPr>
            <w:r>
              <w:rPr>
                <w:rFonts w:hint="default" w:ascii="宋体" w:hAnsi="宋体"/>
                <w:b/>
                <w:sz w:val="18"/>
                <w:szCs w:val="18"/>
                <w:highlight w:val="none"/>
              </w:rPr>
              <w:t>301.37</w:t>
            </w:r>
          </w:p>
        </w:tc>
        <w:tc>
          <w:tcPr>
            <w:tcW w:w="1366" w:type="dxa"/>
            <w:gridSpan w:val="2"/>
            <w:shd w:val="clear" w:color="auto" w:fill="auto"/>
            <w:vAlign w:val="center"/>
          </w:tcPr>
          <w:p>
            <w:pPr>
              <w:jc w:val="right"/>
              <w:rPr>
                <w:rFonts w:hint="default" w:ascii="宋体" w:hAnsi="宋体"/>
                <w:b/>
                <w:sz w:val="18"/>
                <w:szCs w:val="18"/>
                <w:highlight w:val="none"/>
              </w:rPr>
            </w:pPr>
            <w:r>
              <w:rPr>
                <w:rFonts w:hint="default" w:ascii="宋体" w:hAnsi="宋体"/>
                <w:b/>
                <w:sz w:val="18"/>
                <w:szCs w:val="18"/>
                <w:highlight w:val="none"/>
              </w:rPr>
              <w:t>269.36</w:t>
            </w:r>
          </w:p>
        </w:tc>
        <w:tc>
          <w:tcPr>
            <w:tcW w:w="1427" w:type="dxa"/>
            <w:shd w:val="clear" w:color="auto" w:fill="auto"/>
            <w:vAlign w:val="center"/>
          </w:tcPr>
          <w:p>
            <w:pPr>
              <w:jc w:val="right"/>
              <w:rPr>
                <w:rFonts w:hint="default" w:ascii="宋体" w:hAnsi="宋体"/>
                <w:b/>
                <w:sz w:val="18"/>
                <w:szCs w:val="18"/>
                <w:highlight w:val="none"/>
              </w:rPr>
            </w:pPr>
            <w:r>
              <w:rPr>
                <w:rFonts w:hint="default" w:ascii="宋体" w:hAnsi="宋体"/>
                <w:b/>
                <w:sz w:val="18"/>
                <w:szCs w:val="18"/>
                <w:highlight w:val="none"/>
              </w:rPr>
              <w:t>32.00</w:t>
            </w:r>
          </w:p>
        </w:tc>
      </w:tr>
    </w:tbl>
    <w:p>
      <w:pPr>
        <w:widowControl/>
        <w:jc w:val="left"/>
        <w:rPr>
          <w:rFonts w:hint="default" w:ascii="仿宋" w:eastAsia="仿宋"/>
          <w:b/>
          <w:color w:val="000000"/>
          <w:szCs w:val="21"/>
          <w:highlight w:val="none"/>
        </w:rPr>
        <w:sectPr>
          <w:pgSz w:w="11906" w:h="16838"/>
          <w:pgMar w:top="1134" w:right="1134" w:bottom="1134" w:left="1134" w:header="851" w:footer="992" w:gutter="0"/>
          <w:cols w:space="425" w:num="1"/>
          <w:docGrid w:type="lines" w:linePitch="312" w:charSpace="0"/>
        </w:sectPr>
      </w:pPr>
    </w:p>
    <w:p>
      <w:pPr>
        <w:rPr>
          <w:highlight w:val="none"/>
        </w:rPr>
      </w:pPr>
      <w:r>
        <w:rPr>
          <w:rFonts w:hint="eastAsia" w:ascii="宋体" w:hAnsi="宋体"/>
          <w:color w:val="000000"/>
          <w:sz w:val="18"/>
          <w:szCs w:val="18"/>
          <w:highlight w:val="none"/>
        </w:rPr>
        <w:t>表7</w:t>
      </w:r>
    </w:p>
    <w:p>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一般公共预算项目支出情况表</w:t>
      </w:r>
    </w:p>
    <w:tbl>
      <w:tblPr>
        <w:tblW w:w="14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00"/>
        <w:gridCol w:w="260"/>
        <w:gridCol w:w="331"/>
        <w:gridCol w:w="2073"/>
        <w:gridCol w:w="2073"/>
        <w:gridCol w:w="881"/>
        <w:gridCol w:w="881"/>
        <w:gridCol w:w="881"/>
        <w:gridCol w:w="881"/>
        <w:gridCol w:w="881"/>
        <w:gridCol w:w="881"/>
        <w:gridCol w:w="881"/>
        <w:gridCol w:w="882"/>
        <w:gridCol w:w="783"/>
        <w:gridCol w:w="981"/>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52" w:hRule="atLeast"/>
          <w:tblHeader/>
        </w:trPr>
        <w:tc>
          <w:tcPr>
            <w:tcW w:w="11748" w:type="dxa"/>
            <w:gridSpan w:val="14"/>
            <w:tcBorders>
              <w:top w:val="nil"/>
              <w:left w:val="nil"/>
              <w:right w:val="nil"/>
            </w:tcBorders>
            <w:shd w:val="clear" w:color="auto" w:fill="auto"/>
            <w:vAlign w:val="center"/>
          </w:tcPr>
          <w:p>
            <w:pPr>
              <w:jc w:val="left"/>
              <w:rPr>
                <w:sz w:val="18"/>
                <w:szCs w:val="18"/>
                <w:highlight w:val="none"/>
              </w:rPr>
            </w:pPr>
            <w:r>
              <w:rPr>
                <w:rFonts w:hint="eastAsia"/>
                <w:color w:val="000000"/>
                <w:sz w:val="18"/>
                <w:szCs w:val="18"/>
                <w:highlight w:val="none"/>
              </w:rPr>
              <w:t>编制单位：新疆维吾尔自治区无线电监测中心</w:t>
            </w:r>
          </w:p>
        </w:tc>
        <w:tc>
          <w:tcPr>
            <w:tcW w:w="1700" w:type="dxa"/>
            <w:gridSpan w:val="2"/>
            <w:tcBorders>
              <w:top w:val="nil"/>
              <w:left w:val="nil"/>
              <w:right w:val="nil"/>
            </w:tcBorders>
            <w:shd w:val="clear" w:color="auto" w:fill="auto"/>
            <w:vAlign w:val="center"/>
          </w:tcPr>
          <w:p>
            <w:pPr>
              <w:jc w:val="right"/>
              <w:rPr>
                <w:sz w:val="18"/>
                <w:szCs w:val="18"/>
                <w:highlight w:val="none"/>
              </w:rPr>
            </w:pPr>
            <w:r>
              <w:rPr>
                <w:rFonts w:hint="eastAsia"/>
                <w:color w:val="000000"/>
                <w:sz w:val="18"/>
                <w:szCs w:val="18"/>
                <w:highlight w:val="none"/>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711" w:hRule="atLeast"/>
          <w:tblHeader/>
        </w:trPr>
        <w:tc>
          <w:tcPr>
            <w:tcW w:w="860" w:type="dxa"/>
            <w:gridSpan w:val="3"/>
            <w:shd w:val="clear" w:color="auto" w:fill="auto"/>
            <w:vAlign w:val="center"/>
          </w:tcPr>
          <w:p>
            <w:pPr>
              <w:jc w:val="center"/>
              <w:rPr>
                <w:sz w:val="18"/>
                <w:szCs w:val="18"/>
                <w:highlight w:val="none"/>
              </w:rPr>
            </w:pPr>
            <w:r>
              <w:rPr>
                <w:rFonts w:hint="eastAsia"/>
                <w:sz w:val="18"/>
                <w:szCs w:val="18"/>
                <w:highlight w:val="none"/>
              </w:rPr>
              <w:t>科目代码</w:t>
            </w:r>
          </w:p>
        </w:tc>
        <w:tc>
          <w:tcPr>
            <w:tcW w:w="2000" w:type="dxa"/>
            <w:vMerge w:val="restart"/>
            <w:shd w:val="clear" w:color="auto" w:fill="auto"/>
            <w:vAlign w:val="center"/>
          </w:tcPr>
          <w:p>
            <w:pPr>
              <w:jc w:val="center"/>
              <w:rPr>
                <w:sz w:val="18"/>
                <w:szCs w:val="18"/>
                <w:highlight w:val="none"/>
              </w:rPr>
            </w:pPr>
            <w:r>
              <w:rPr>
                <w:rFonts w:hint="eastAsia"/>
                <w:sz w:val="18"/>
                <w:szCs w:val="18"/>
                <w:highlight w:val="none"/>
              </w:rPr>
              <w:t>科目名称</w:t>
            </w:r>
          </w:p>
        </w:tc>
        <w:tc>
          <w:tcPr>
            <w:tcW w:w="2000" w:type="dxa"/>
            <w:vMerge w:val="restart"/>
            <w:shd w:val="clear" w:color="auto" w:fill="auto"/>
            <w:vAlign w:val="center"/>
          </w:tcPr>
          <w:p>
            <w:pPr>
              <w:jc w:val="center"/>
              <w:rPr>
                <w:sz w:val="18"/>
                <w:szCs w:val="18"/>
                <w:highlight w:val="none"/>
              </w:rPr>
            </w:pPr>
            <w:r>
              <w:rPr>
                <w:rFonts w:hint="eastAsia"/>
                <w:sz w:val="18"/>
                <w:szCs w:val="18"/>
                <w:highlight w:val="none"/>
              </w:rPr>
              <w:t>项目名称</w:t>
            </w:r>
          </w:p>
        </w:tc>
        <w:tc>
          <w:tcPr>
            <w:tcW w:w="850" w:type="dxa"/>
            <w:vMerge w:val="restart"/>
            <w:shd w:val="clear" w:color="auto" w:fill="auto"/>
            <w:vAlign w:val="center"/>
          </w:tcPr>
          <w:p>
            <w:pPr>
              <w:jc w:val="center"/>
              <w:rPr>
                <w:sz w:val="18"/>
                <w:szCs w:val="18"/>
                <w:highlight w:val="none"/>
              </w:rPr>
            </w:pPr>
            <w:r>
              <w:rPr>
                <w:rFonts w:hint="eastAsia"/>
                <w:sz w:val="18"/>
                <w:szCs w:val="18"/>
                <w:highlight w:val="none"/>
              </w:rPr>
              <w:t>项目支出合计</w:t>
            </w:r>
          </w:p>
        </w:tc>
        <w:tc>
          <w:tcPr>
            <w:tcW w:w="850" w:type="dxa"/>
            <w:vMerge w:val="restart"/>
            <w:shd w:val="clear" w:color="auto" w:fill="auto"/>
            <w:vAlign w:val="center"/>
          </w:tcPr>
          <w:p>
            <w:pPr>
              <w:jc w:val="center"/>
              <w:rPr>
                <w:sz w:val="18"/>
                <w:szCs w:val="18"/>
                <w:highlight w:val="none"/>
              </w:rPr>
            </w:pPr>
            <w:r>
              <w:rPr>
                <w:rFonts w:hint="eastAsia"/>
                <w:sz w:val="18"/>
                <w:szCs w:val="18"/>
                <w:highlight w:val="none"/>
              </w:rPr>
              <w:t>工资福利支出</w:t>
            </w:r>
          </w:p>
        </w:tc>
        <w:tc>
          <w:tcPr>
            <w:tcW w:w="850" w:type="dxa"/>
            <w:vMerge w:val="restart"/>
            <w:shd w:val="clear" w:color="auto" w:fill="auto"/>
            <w:vAlign w:val="center"/>
          </w:tcPr>
          <w:p>
            <w:pPr>
              <w:jc w:val="center"/>
              <w:rPr>
                <w:sz w:val="18"/>
                <w:szCs w:val="18"/>
                <w:highlight w:val="none"/>
              </w:rPr>
            </w:pPr>
            <w:r>
              <w:rPr>
                <w:rFonts w:hint="eastAsia"/>
                <w:sz w:val="18"/>
                <w:szCs w:val="18"/>
                <w:highlight w:val="none"/>
              </w:rPr>
              <w:t>商品和服务支出</w:t>
            </w:r>
          </w:p>
        </w:tc>
        <w:tc>
          <w:tcPr>
            <w:tcW w:w="850" w:type="dxa"/>
            <w:vMerge w:val="restart"/>
            <w:shd w:val="clear" w:color="auto" w:fill="auto"/>
            <w:vAlign w:val="center"/>
          </w:tcPr>
          <w:p>
            <w:pPr>
              <w:jc w:val="center"/>
              <w:rPr>
                <w:sz w:val="18"/>
                <w:szCs w:val="18"/>
                <w:highlight w:val="none"/>
              </w:rPr>
            </w:pPr>
            <w:r>
              <w:rPr>
                <w:rFonts w:hint="eastAsia"/>
                <w:sz w:val="18"/>
                <w:szCs w:val="18"/>
                <w:highlight w:val="none"/>
              </w:rPr>
              <w:t>对个人和家庭的补助</w:t>
            </w:r>
          </w:p>
        </w:tc>
        <w:tc>
          <w:tcPr>
            <w:tcW w:w="850" w:type="dxa"/>
            <w:vMerge w:val="restart"/>
            <w:shd w:val="clear" w:color="auto" w:fill="auto"/>
            <w:vAlign w:val="center"/>
          </w:tcPr>
          <w:p>
            <w:pPr>
              <w:jc w:val="center"/>
              <w:rPr>
                <w:sz w:val="18"/>
                <w:szCs w:val="18"/>
                <w:highlight w:val="none"/>
              </w:rPr>
            </w:pPr>
            <w:r>
              <w:rPr>
                <w:rFonts w:hint="eastAsia"/>
                <w:sz w:val="18"/>
                <w:szCs w:val="18"/>
                <w:highlight w:val="none"/>
              </w:rPr>
              <w:t>债务利息及费用支出</w:t>
            </w:r>
          </w:p>
        </w:tc>
        <w:tc>
          <w:tcPr>
            <w:tcW w:w="850" w:type="dxa"/>
            <w:vMerge w:val="restart"/>
            <w:shd w:val="clear" w:color="auto" w:fill="auto"/>
            <w:vAlign w:val="center"/>
          </w:tcPr>
          <w:p>
            <w:pPr>
              <w:jc w:val="center"/>
              <w:rPr>
                <w:sz w:val="18"/>
                <w:szCs w:val="18"/>
                <w:highlight w:val="none"/>
              </w:rPr>
            </w:pPr>
            <w:r>
              <w:rPr>
                <w:rFonts w:hint="eastAsia"/>
                <w:sz w:val="18"/>
                <w:szCs w:val="18"/>
                <w:highlight w:val="none"/>
              </w:rPr>
              <w:t>资本性支出（基本建设）</w:t>
            </w:r>
          </w:p>
        </w:tc>
        <w:tc>
          <w:tcPr>
            <w:tcW w:w="850" w:type="dxa"/>
            <w:vMerge w:val="restart"/>
            <w:shd w:val="clear" w:color="auto" w:fill="auto"/>
            <w:vAlign w:val="center"/>
          </w:tcPr>
          <w:p>
            <w:pPr>
              <w:jc w:val="center"/>
              <w:rPr>
                <w:sz w:val="18"/>
                <w:szCs w:val="18"/>
                <w:highlight w:val="none"/>
              </w:rPr>
            </w:pPr>
            <w:r>
              <w:rPr>
                <w:rFonts w:hint="eastAsia"/>
                <w:sz w:val="18"/>
                <w:szCs w:val="18"/>
                <w:highlight w:val="none"/>
              </w:rPr>
              <w:t>资本性支出</w:t>
            </w:r>
          </w:p>
        </w:tc>
        <w:tc>
          <w:tcPr>
            <w:tcW w:w="850" w:type="dxa"/>
            <w:vMerge w:val="restart"/>
            <w:shd w:val="clear" w:color="auto" w:fill="auto"/>
            <w:vAlign w:val="center"/>
          </w:tcPr>
          <w:p>
            <w:pPr>
              <w:jc w:val="center"/>
              <w:rPr>
                <w:sz w:val="18"/>
                <w:szCs w:val="18"/>
                <w:highlight w:val="none"/>
              </w:rPr>
            </w:pPr>
            <w:r>
              <w:rPr>
                <w:rFonts w:hint="eastAsia"/>
                <w:sz w:val="18"/>
                <w:szCs w:val="18"/>
                <w:highlight w:val="none"/>
              </w:rPr>
              <w:t>对企业补助（基本建设）</w:t>
            </w:r>
          </w:p>
        </w:tc>
        <w:tc>
          <w:tcPr>
            <w:tcW w:w="850" w:type="dxa"/>
            <w:vMerge w:val="restart"/>
            <w:shd w:val="clear" w:color="auto" w:fill="auto"/>
            <w:vAlign w:val="center"/>
          </w:tcPr>
          <w:p>
            <w:pPr>
              <w:jc w:val="center"/>
              <w:rPr>
                <w:sz w:val="18"/>
                <w:szCs w:val="18"/>
                <w:highlight w:val="none"/>
              </w:rPr>
            </w:pPr>
            <w:r>
              <w:rPr>
                <w:rFonts w:hint="eastAsia"/>
                <w:sz w:val="18"/>
                <w:szCs w:val="18"/>
                <w:highlight w:val="none"/>
              </w:rPr>
              <w:t>对企业补助</w:t>
            </w:r>
          </w:p>
        </w:tc>
        <w:tc>
          <w:tcPr>
            <w:tcW w:w="850" w:type="dxa"/>
            <w:vMerge w:val="restart"/>
            <w:shd w:val="clear" w:color="auto" w:fill="auto"/>
            <w:vAlign w:val="center"/>
          </w:tcPr>
          <w:p>
            <w:pPr>
              <w:jc w:val="center"/>
              <w:rPr>
                <w:sz w:val="18"/>
                <w:szCs w:val="18"/>
                <w:highlight w:val="none"/>
              </w:rPr>
            </w:pPr>
            <w:r>
              <w:rPr>
                <w:rFonts w:hint="eastAsia"/>
                <w:sz w:val="18"/>
                <w:szCs w:val="18"/>
                <w:highlight w:val="none"/>
              </w:rPr>
              <w:t>对社会保障基金补助</w:t>
            </w:r>
          </w:p>
        </w:tc>
        <w:tc>
          <w:tcPr>
            <w:tcW w:w="850" w:type="dxa"/>
            <w:vMerge w:val="restart"/>
            <w:shd w:val="clear" w:color="auto" w:fill="auto"/>
            <w:vAlign w:val="center"/>
          </w:tcPr>
          <w:p>
            <w:pPr>
              <w:jc w:val="center"/>
              <w:rPr>
                <w:sz w:val="18"/>
                <w:szCs w:val="18"/>
                <w:highlight w:val="none"/>
              </w:rPr>
            </w:pPr>
            <w:r>
              <w:rPr>
                <w:rFonts w:hint="eastAsia"/>
                <w:sz w:val="18"/>
                <w:szCs w:val="18"/>
                <w:highlight w:val="none"/>
              </w:rPr>
              <w:t>其他支出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22" w:hRule="atLeast"/>
          <w:tblHeader/>
        </w:trPr>
        <w:tc>
          <w:tcPr>
            <w:tcW w:w="300" w:type="dxa"/>
            <w:shd w:val="clear" w:color="auto" w:fill="auto"/>
            <w:vAlign w:val="center"/>
          </w:tcPr>
          <w:p>
            <w:pPr>
              <w:jc w:val="center"/>
              <w:rPr>
                <w:sz w:val="18"/>
                <w:szCs w:val="18"/>
                <w:highlight w:val="none"/>
              </w:rPr>
            </w:pPr>
            <w:r>
              <w:rPr>
                <w:rFonts w:hint="eastAsia"/>
                <w:sz w:val="18"/>
                <w:szCs w:val="18"/>
                <w:highlight w:val="none"/>
              </w:rPr>
              <w:t>类</w:t>
            </w:r>
          </w:p>
        </w:tc>
        <w:tc>
          <w:tcPr>
            <w:tcW w:w="260" w:type="dxa"/>
            <w:shd w:val="clear" w:color="auto" w:fill="auto"/>
            <w:vAlign w:val="center"/>
          </w:tcPr>
          <w:p>
            <w:pPr>
              <w:jc w:val="center"/>
              <w:rPr>
                <w:sz w:val="18"/>
                <w:szCs w:val="18"/>
                <w:highlight w:val="none"/>
              </w:rPr>
            </w:pPr>
            <w:r>
              <w:rPr>
                <w:rFonts w:hint="eastAsia"/>
                <w:sz w:val="18"/>
                <w:szCs w:val="18"/>
                <w:highlight w:val="none"/>
              </w:rPr>
              <w:t>款</w:t>
            </w:r>
          </w:p>
        </w:tc>
        <w:tc>
          <w:tcPr>
            <w:tcW w:w="260" w:type="dxa"/>
            <w:shd w:val="clear" w:color="auto" w:fill="auto"/>
            <w:vAlign w:val="center"/>
          </w:tcPr>
          <w:p>
            <w:pPr>
              <w:jc w:val="center"/>
              <w:rPr>
                <w:sz w:val="18"/>
                <w:szCs w:val="18"/>
                <w:highlight w:val="none"/>
              </w:rPr>
            </w:pPr>
            <w:r>
              <w:rPr>
                <w:rFonts w:hint="eastAsia"/>
                <w:sz w:val="18"/>
                <w:szCs w:val="18"/>
                <w:highlight w:val="none"/>
              </w:rPr>
              <w:t>项</w:t>
            </w:r>
          </w:p>
        </w:tc>
        <w:tc>
          <w:tcPr>
            <w:tcW w:w="2500" w:type="dxa"/>
            <w:vMerge w:val="continue"/>
            <w:shd w:val="clear" w:color="auto" w:fill="auto"/>
            <w:vAlign w:val="center"/>
          </w:tcPr>
          <w:p>
            <w:pPr>
              <w:jc w:val="center"/>
              <w:rPr>
                <w:sz w:val="18"/>
                <w:szCs w:val="18"/>
                <w:highlight w:val="none"/>
              </w:rPr>
            </w:pPr>
          </w:p>
        </w:tc>
        <w:tc>
          <w:tcPr>
            <w:tcW w:w="2500" w:type="dxa"/>
            <w:vMerge w:val="continue"/>
            <w:shd w:val="clear" w:color="auto" w:fill="auto"/>
            <w:vAlign w:val="center"/>
          </w:tcPr>
          <w:p>
            <w:pPr>
              <w:jc w:val="center"/>
              <w:rPr>
                <w:sz w:val="18"/>
                <w:szCs w:val="18"/>
                <w:highlight w:val="none"/>
              </w:rPr>
            </w:pPr>
          </w:p>
        </w:tc>
        <w:tc>
          <w:tcPr>
            <w:tcW w:w="850" w:type="dxa"/>
            <w:vMerge w:val="continue"/>
            <w:shd w:val="clear" w:color="auto" w:fill="auto"/>
            <w:vAlign w:val="center"/>
          </w:tcPr>
          <w:p>
            <w:pPr>
              <w:jc w:val="center"/>
              <w:rPr>
                <w:sz w:val="18"/>
                <w:szCs w:val="18"/>
                <w:highlight w:val="none"/>
              </w:rPr>
            </w:pPr>
          </w:p>
        </w:tc>
        <w:tc>
          <w:tcPr>
            <w:tcW w:w="850" w:type="dxa"/>
            <w:vMerge w:val="continue"/>
            <w:shd w:val="clear" w:color="auto" w:fill="auto"/>
            <w:vAlign w:val="center"/>
          </w:tcPr>
          <w:p>
            <w:pPr>
              <w:jc w:val="center"/>
              <w:rPr>
                <w:sz w:val="18"/>
                <w:szCs w:val="18"/>
                <w:highlight w:val="none"/>
              </w:rPr>
            </w:pPr>
          </w:p>
        </w:tc>
        <w:tc>
          <w:tcPr>
            <w:tcW w:w="850" w:type="dxa"/>
            <w:vMerge w:val="continue"/>
            <w:shd w:val="clear" w:color="auto" w:fill="auto"/>
            <w:vAlign w:val="center"/>
          </w:tcPr>
          <w:p>
            <w:pPr>
              <w:jc w:val="center"/>
              <w:rPr>
                <w:sz w:val="18"/>
                <w:szCs w:val="18"/>
                <w:highlight w:val="none"/>
              </w:rPr>
            </w:pPr>
          </w:p>
        </w:tc>
        <w:tc>
          <w:tcPr>
            <w:tcW w:w="850" w:type="dxa"/>
            <w:vMerge w:val="continue"/>
            <w:shd w:val="clear" w:color="auto" w:fill="auto"/>
            <w:vAlign w:val="center"/>
          </w:tcPr>
          <w:p>
            <w:pPr>
              <w:jc w:val="center"/>
              <w:rPr>
                <w:sz w:val="18"/>
                <w:szCs w:val="18"/>
                <w:highlight w:val="none"/>
              </w:rPr>
            </w:pPr>
          </w:p>
        </w:tc>
        <w:tc>
          <w:tcPr>
            <w:tcW w:w="850" w:type="dxa"/>
            <w:vMerge w:val="continue"/>
            <w:shd w:val="clear" w:color="auto" w:fill="auto"/>
            <w:vAlign w:val="center"/>
          </w:tcPr>
          <w:p>
            <w:pPr>
              <w:jc w:val="center"/>
              <w:rPr>
                <w:sz w:val="18"/>
                <w:szCs w:val="18"/>
                <w:highlight w:val="none"/>
              </w:rPr>
            </w:pPr>
          </w:p>
        </w:tc>
        <w:tc>
          <w:tcPr>
            <w:tcW w:w="850" w:type="dxa"/>
            <w:vMerge w:val="continue"/>
            <w:shd w:val="clear" w:color="auto" w:fill="auto"/>
            <w:vAlign w:val="center"/>
          </w:tcPr>
          <w:p>
            <w:pPr>
              <w:jc w:val="center"/>
              <w:rPr>
                <w:sz w:val="18"/>
                <w:szCs w:val="18"/>
                <w:highlight w:val="none"/>
              </w:rPr>
            </w:pPr>
          </w:p>
        </w:tc>
        <w:tc>
          <w:tcPr>
            <w:tcW w:w="850" w:type="dxa"/>
            <w:vMerge w:val="continue"/>
            <w:shd w:val="clear" w:color="auto" w:fill="auto"/>
            <w:vAlign w:val="center"/>
          </w:tcPr>
          <w:p>
            <w:pPr>
              <w:jc w:val="center"/>
              <w:rPr>
                <w:sz w:val="18"/>
                <w:szCs w:val="18"/>
                <w:highlight w:val="none"/>
              </w:rPr>
            </w:pPr>
          </w:p>
        </w:tc>
        <w:tc>
          <w:tcPr>
            <w:tcW w:w="850" w:type="dxa"/>
            <w:vMerge w:val="continue"/>
            <w:shd w:val="clear" w:color="auto" w:fill="auto"/>
          </w:tcPr>
          <w:p>
            <w:pPr>
              <w:jc w:val="center"/>
              <w:rPr>
                <w:sz w:val="18"/>
                <w:szCs w:val="18"/>
                <w:highlight w:val="none"/>
              </w:rPr>
            </w:pPr>
          </w:p>
        </w:tc>
        <w:tc>
          <w:tcPr>
            <w:tcW w:w="850" w:type="dxa"/>
            <w:vMerge w:val="continue"/>
            <w:shd w:val="clear" w:color="auto" w:fill="auto"/>
            <w:vAlign w:val="center"/>
          </w:tcPr>
          <w:p>
            <w:pPr>
              <w:jc w:val="center"/>
              <w:rPr>
                <w:sz w:val="18"/>
                <w:szCs w:val="18"/>
                <w:highlight w:val="none"/>
              </w:rPr>
            </w:pPr>
          </w:p>
        </w:tc>
        <w:tc>
          <w:tcPr>
            <w:tcW w:w="850" w:type="dxa"/>
            <w:vMerge w:val="continue"/>
            <w:shd w:val="clear" w:color="auto" w:fill="auto"/>
          </w:tcPr>
          <w:p>
            <w:pPr>
              <w:jc w:val="center"/>
              <w:rPr>
                <w:sz w:val="18"/>
                <w:szCs w:val="18"/>
                <w:highlight w:val="none"/>
              </w:rPr>
            </w:pPr>
          </w:p>
        </w:tc>
        <w:tc>
          <w:tcPr>
            <w:tcW w:w="850" w:type="dxa"/>
            <w:vMerge w:val="continue"/>
            <w:shd w:val="clear" w:color="auto" w:fill="auto"/>
          </w:tcPr>
          <w:p>
            <w:pPr>
              <w:jc w:val="center"/>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highlight w:val="none"/>
              </w:rPr>
            </w:pPr>
            <w:r>
              <w:rPr>
                <w:rFonts w:hint="default" w:ascii="宋体" w:hAnsi="宋体"/>
                <w:b/>
                <w:kern w:val="0"/>
                <w:sz w:val="13"/>
                <w:szCs w:val="13"/>
                <w:highlight w:val="none"/>
              </w:rPr>
              <w:t>215</w:t>
            </w:r>
          </w:p>
        </w:tc>
        <w:tc>
          <w:tcPr>
            <w:tcW w:w="260" w:type="dxa"/>
            <w:shd w:val="clear" w:color="auto" w:fill="auto"/>
            <w:vAlign w:val="center"/>
          </w:tcPr>
          <w:p>
            <w:pPr>
              <w:jc w:val="center"/>
              <w:rPr>
                <w:b/>
                <w:sz w:val="18"/>
                <w:szCs w:val="18"/>
                <w:highlight w:val="none"/>
              </w:rPr>
            </w:pPr>
          </w:p>
        </w:tc>
        <w:tc>
          <w:tcPr>
            <w:tcW w:w="260" w:type="dxa"/>
            <w:shd w:val="clear" w:color="auto" w:fill="auto"/>
            <w:vAlign w:val="center"/>
          </w:tcPr>
          <w:p>
            <w:pPr>
              <w:jc w:val="center"/>
              <w:rPr>
                <w:b/>
                <w:sz w:val="18"/>
                <w:szCs w:val="18"/>
                <w:highlight w:val="none"/>
              </w:rPr>
            </w:pPr>
          </w:p>
        </w:tc>
        <w:tc>
          <w:tcPr>
            <w:tcW w:w="2500" w:type="dxa"/>
            <w:shd w:val="clear" w:color="auto" w:fill="auto"/>
            <w:vAlign w:val="center"/>
          </w:tcPr>
          <w:p>
            <w:pPr>
              <w:jc w:val="left"/>
              <w:rPr>
                <w:b/>
                <w:sz w:val="18"/>
                <w:szCs w:val="18"/>
                <w:highlight w:val="none"/>
              </w:rPr>
            </w:pPr>
            <w:r>
              <w:rPr>
                <w:rFonts w:hint="default" w:ascii="宋体" w:hAnsi="宋体"/>
                <w:b/>
                <w:kern w:val="0"/>
                <w:sz w:val="13"/>
                <w:szCs w:val="13"/>
                <w:highlight w:val="none"/>
              </w:rPr>
              <w:t xml:space="preserve">  资源勘探工业信息等支出</w:t>
            </w:r>
          </w:p>
        </w:tc>
        <w:tc>
          <w:tcPr>
            <w:tcW w:w="2500" w:type="dxa"/>
            <w:shd w:val="clear" w:color="auto" w:fill="auto"/>
            <w:vAlign w:val="center"/>
          </w:tcPr>
          <w:p>
            <w:pPr>
              <w:jc w:val="left"/>
              <w:rPr>
                <w:b/>
                <w:sz w:val="18"/>
                <w:szCs w:val="18"/>
                <w:highlight w:val="none"/>
              </w:rPr>
            </w:pPr>
          </w:p>
        </w:tc>
        <w:tc>
          <w:tcPr>
            <w:tcW w:w="850" w:type="dxa"/>
            <w:shd w:val="clear" w:color="auto" w:fill="auto"/>
            <w:vAlign w:val="center"/>
          </w:tcPr>
          <w:p>
            <w:pPr>
              <w:ind w:right="-29" w:rightChars="-14"/>
              <w:jc w:val="right"/>
              <w:rPr>
                <w:b/>
                <w:sz w:val="18"/>
                <w:szCs w:val="18"/>
                <w:highlight w:val="none"/>
              </w:rPr>
            </w:pPr>
            <w:r>
              <w:rPr>
                <w:rFonts w:hint="default" w:ascii="宋体" w:hAnsi="宋体"/>
                <w:b/>
                <w:kern w:val="0"/>
                <w:sz w:val="13"/>
                <w:szCs w:val="13"/>
                <w:highlight w:val="none"/>
              </w:rPr>
              <w:t>302.14</w:t>
            </w:r>
          </w:p>
        </w:tc>
        <w:tc>
          <w:tcPr>
            <w:tcW w:w="850" w:type="dxa"/>
            <w:shd w:val="clear" w:color="auto" w:fill="auto"/>
            <w:vAlign w:val="center"/>
          </w:tcPr>
          <w:p>
            <w:pPr>
              <w:jc w:val="right"/>
              <w:rPr>
                <w:b/>
                <w:sz w:val="18"/>
                <w:szCs w:val="18"/>
                <w:highlight w:val="none"/>
              </w:rPr>
            </w:pPr>
          </w:p>
        </w:tc>
        <w:tc>
          <w:tcPr>
            <w:tcW w:w="850" w:type="dxa"/>
            <w:shd w:val="clear" w:color="auto" w:fill="auto"/>
            <w:vAlign w:val="center"/>
          </w:tcPr>
          <w:p>
            <w:pPr>
              <w:jc w:val="right"/>
              <w:rPr>
                <w:b/>
                <w:sz w:val="18"/>
                <w:szCs w:val="18"/>
                <w:highlight w:val="none"/>
              </w:rPr>
            </w:pPr>
            <w:r>
              <w:rPr>
                <w:rFonts w:hint="default" w:ascii="宋体" w:hAnsi="宋体"/>
                <w:b/>
                <w:kern w:val="0"/>
                <w:sz w:val="13"/>
                <w:szCs w:val="13"/>
                <w:highlight w:val="none"/>
              </w:rPr>
              <w:t>302.14</w:t>
            </w:r>
          </w:p>
        </w:tc>
        <w:tc>
          <w:tcPr>
            <w:tcW w:w="850" w:type="dxa"/>
            <w:shd w:val="clear" w:color="auto" w:fill="auto"/>
            <w:vAlign w:val="center"/>
          </w:tcPr>
          <w:p>
            <w:pPr>
              <w:jc w:val="right"/>
              <w:rPr>
                <w:b/>
                <w:sz w:val="18"/>
                <w:szCs w:val="18"/>
                <w:highlight w:val="none"/>
              </w:rPr>
            </w:pPr>
          </w:p>
        </w:tc>
        <w:tc>
          <w:tcPr>
            <w:tcW w:w="850" w:type="dxa"/>
            <w:shd w:val="clear" w:color="auto" w:fill="auto"/>
            <w:vAlign w:val="center"/>
          </w:tcPr>
          <w:p>
            <w:pPr>
              <w:jc w:val="right"/>
              <w:rPr>
                <w:b/>
                <w:sz w:val="18"/>
                <w:szCs w:val="18"/>
                <w:highlight w:val="none"/>
              </w:rPr>
            </w:pPr>
          </w:p>
        </w:tc>
        <w:tc>
          <w:tcPr>
            <w:tcW w:w="850" w:type="dxa"/>
            <w:shd w:val="clear" w:color="auto" w:fill="auto"/>
            <w:vAlign w:val="center"/>
          </w:tcPr>
          <w:p>
            <w:pPr>
              <w:jc w:val="right"/>
              <w:rPr>
                <w:b/>
                <w:sz w:val="18"/>
                <w:szCs w:val="18"/>
                <w:highlight w:val="none"/>
              </w:rPr>
            </w:pPr>
          </w:p>
        </w:tc>
        <w:tc>
          <w:tcPr>
            <w:tcW w:w="850" w:type="dxa"/>
            <w:shd w:val="clear" w:color="auto" w:fill="auto"/>
            <w:vAlign w:val="center"/>
          </w:tcPr>
          <w:p>
            <w:pPr>
              <w:jc w:val="right"/>
              <w:rPr>
                <w:b/>
                <w:sz w:val="18"/>
                <w:szCs w:val="18"/>
                <w:highlight w:val="none"/>
              </w:rPr>
            </w:pPr>
          </w:p>
        </w:tc>
        <w:tc>
          <w:tcPr>
            <w:tcW w:w="850" w:type="dxa"/>
            <w:shd w:val="clear" w:color="auto" w:fill="auto"/>
            <w:vAlign w:val="center"/>
          </w:tcPr>
          <w:p>
            <w:pPr>
              <w:jc w:val="right"/>
              <w:rPr>
                <w:b/>
                <w:sz w:val="18"/>
                <w:szCs w:val="18"/>
                <w:highlight w:val="none"/>
              </w:rPr>
            </w:pPr>
          </w:p>
        </w:tc>
        <w:tc>
          <w:tcPr>
            <w:tcW w:w="850" w:type="dxa"/>
            <w:shd w:val="clear" w:color="auto" w:fill="auto"/>
            <w:vAlign w:val="center"/>
          </w:tcPr>
          <w:p>
            <w:pPr>
              <w:jc w:val="right"/>
              <w:rPr>
                <w:b/>
                <w:sz w:val="18"/>
                <w:szCs w:val="18"/>
                <w:highlight w:val="none"/>
              </w:rPr>
            </w:pPr>
          </w:p>
        </w:tc>
        <w:tc>
          <w:tcPr>
            <w:tcW w:w="850" w:type="dxa"/>
            <w:shd w:val="clear" w:color="auto" w:fill="auto"/>
            <w:vAlign w:val="center"/>
          </w:tcPr>
          <w:p>
            <w:pPr>
              <w:jc w:val="right"/>
              <w:rPr>
                <w:b/>
                <w:sz w:val="18"/>
                <w:szCs w:val="18"/>
                <w:highlight w:val="none"/>
              </w:rPr>
            </w:pPr>
          </w:p>
        </w:tc>
        <w:tc>
          <w:tcPr>
            <w:tcW w:w="850" w:type="dxa"/>
            <w:shd w:val="clear" w:color="auto" w:fill="auto"/>
            <w:vAlign w:val="center"/>
          </w:tcPr>
          <w:p>
            <w:pPr>
              <w:jc w:val="right"/>
              <w:rPr>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highlight w:val="none"/>
              </w:rPr>
            </w:pPr>
            <w:r>
              <w:rPr>
                <w:rFonts w:hint="default" w:ascii="宋体" w:hAnsi="宋体"/>
                <w:b/>
                <w:kern w:val="0"/>
                <w:sz w:val="13"/>
                <w:szCs w:val="13"/>
                <w:highlight w:val="none"/>
              </w:rPr>
              <w:t>215</w:t>
            </w:r>
          </w:p>
        </w:tc>
        <w:tc>
          <w:tcPr>
            <w:tcW w:w="260" w:type="dxa"/>
            <w:shd w:val="clear" w:color="auto" w:fill="auto"/>
            <w:vAlign w:val="center"/>
          </w:tcPr>
          <w:p>
            <w:pPr>
              <w:jc w:val="center"/>
              <w:rPr>
                <w:b/>
                <w:sz w:val="18"/>
                <w:szCs w:val="18"/>
                <w:highlight w:val="none"/>
              </w:rPr>
            </w:pPr>
            <w:r>
              <w:rPr>
                <w:rFonts w:hint="default" w:ascii="宋体" w:hAnsi="宋体"/>
                <w:b/>
                <w:kern w:val="0"/>
                <w:sz w:val="13"/>
                <w:szCs w:val="13"/>
                <w:highlight w:val="none"/>
              </w:rPr>
              <w:t>05</w:t>
            </w:r>
          </w:p>
        </w:tc>
        <w:tc>
          <w:tcPr>
            <w:tcW w:w="260" w:type="dxa"/>
            <w:shd w:val="clear" w:color="auto" w:fill="auto"/>
            <w:vAlign w:val="center"/>
          </w:tcPr>
          <w:p>
            <w:pPr>
              <w:jc w:val="center"/>
              <w:rPr>
                <w:b/>
                <w:sz w:val="18"/>
                <w:szCs w:val="18"/>
                <w:highlight w:val="none"/>
              </w:rPr>
            </w:pPr>
          </w:p>
        </w:tc>
        <w:tc>
          <w:tcPr>
            <w:tcW w:w="2500" w:type="dxa"/>
            <w:shd w:val="clear" w:color="auto" w:fill="auto"/>
            <w:vAlign w:val="center"/>
          </w:tcPr>
          <w:p>
            <w:pPr>
              <w:jc w:val="left"/>
              <w:rPr>
                <w:b/>
                <w:sz w:val="18"/>
                <w:szCs w:val="18"/>
                <w:highlight w:val="none"/>
              </w:rPr>
            </w:pPr>
            <w:r>
              <w:rPr>
                <w:rFonts w:hint="default" w:ascii="宋体" w:hAnsi="宋体"/>
                <w:b/>
                <w:kern w:val="0"/>
                <w:sz w:val="13"/>
                <w:szCs w:val="13"/>
                <w:highlight w:val="none"/>
              </w:rPr>
              <w:t xml:space="preserve">    工业和信息产业</w:t>
            </w:r>
          </w:p>
        </w:tc>
        <w:tc>
          <w:tcPr>
            <w:tcW w:w="2500" w:type="dxa"/>
            <w:shd w:val="clear" w:color="auto" w:fill="auto"/>
            <w:vAlign w:val="center"/>
          </w:tcPr>
          <w:p>
            <w:pPr>
              <w:jc w:val="left"/>
              <w:rPr>
                <w:b/>
                <w:sz w:val="18"/>
                <w:szCs w:val="18"/>
                <w:highlight w:val="none"/>
              </w:rPr>
            </w:pPr>
          </w:p>
        </w:tc>
        <w:tc>
          <w:tcPr>
            <w:tcW w:w="850" w:type="dxa"/>
            <w:shd w:val="clear" w:color="auto" w:fill="auto"/>
            <w:vAlign w:val="center"/>
          </w:tcPr>
          <w:p>
            <w:pPr>
              <w:ind w:right="-29" w:rightChars="-14"/>
              <w:jc w:val="right"/>
              <w:rPr>
                <w:b/>
                <w:sz w:val="18"/>
                <w:szCs w:val="18"/>
                <w:highlight w:val="none"/>
              </w:rPr>
            </w:pPr>
            <w:r>
              <w:rPr>
                <w:rFonts w:hint="default" w:ascii="宋体" w:hAnsi="宋体"/>
                <w:b/>
                <w:kern w:val="0"/>
                <w:sz w:val="13"/>
                <w:szCs w:val="13"/>
                <w:highlight w:val="none"/>
              </w:rPr>
              <w:t>302.14</w:t>
            </w:r>
          </w:p>
        </w:tc>
        <w:tc>
          <w:tcPr>
            <w:tcW w:w="850" w:type="dxa"/>
            <w:shd w:val="clear" w:color="auto" w:fill="auto"/>
            <w:vAlign w:val="center"/>
          </w:tcPr>
          <w:p>
            <w:pPr>
              <w:jc w:val="right"/>
              <w:rPr>
                <w:b/>
                <w:sz w:val="18"/>
                <w:szCs w:val="18"/>
                <w:highlight w:val="none"/>
              </w:rPr>
            </w:pPr>
          </w:p>
        </w:tc>
        <w:tc>
          <w:tcPr>
            <w:tcW w:w="850" w:type="dxa"/>
            <w:shd w:val="clear" w:color="auto" w:fill="auto"/>
            <w:vAlign w:val="center"/>
          </w:tcPr>
          <w:p>
            <w:pPr>
              <w:jc w:val="right"/>
              <w:rPr>
                <w:b/>
                <w:sz w:val="18"/>
                <w:szCs w:val="18"/>
                <w:highlight w:val="none"/>
              </w:rPr>
            </w:pPr>
            <w:r>
              <w:rPr>
                <w:rFonts w:hint="default" w:ascii="宋体" w:hAnsi="宋体"/>
                <w:b/>
                <w:kern w:val="0"/>
                <w:sz w:val="13"/>
                <w:szCs w:val="13"/>
                <w:highlight w:val="none"/>
              </w:rPr>
              <w:t>302.14</w:t>
            </w:r>
          </w:p>
        </w:tc>
        <w:tc>
          <w:tcPr>
            <w:tcW w:w="850" w:type="dxa"/>
            <w:shd w:val="clear" w:color="auto" w:fill="auto"/>
            <w:vAlign w:val="center"/>
          </w:tcPr>
          <w:p>
            <w:pPr>
              <w:jc w:val="right"/>
              <w:rPr>
                <w:b/>
                <w:sz w:val="18"/>
                <w:szCs w:val="18"/>
                <w:highlight w:val="none"/>
              </w:rPr>
            </w:pPr>
          </w:p>
        </w:tc>
        <w:tc>
          <w:tcPr>
            <w:tcW w:w="850" w:type="dxa"/>
            <w:shd w:val="clear" w:color="auto" w:fill="auto"/>
            <w:vAlign w:val="center"/>
          </w:tcPr>
          <w:p>
            <w:pPr>
              <w:jc w:val="right"/>
              <w:rPr>
                <w:b/>
                <w:sz w:val="18"/>
                <w:szCs w:val="18"/>
                <w:highlight w:val="none"/>
              </w:rPr>
            </w:pPr>
          </w:p>
        </w:tc>
        <w:tc>
          <w:tcPr>
            <w:tcW w:w="850" w:type="dxa"/>
            <w:shd w:val="clear" w:color="auto" w:fill="auto"/>
            <w:vAlign w:val="center"/>
          </w:tcPr>
          <w:p>
            <w:pPr>
              <w:jc w:val="right"/>
              <w:rPr>
                <w:b/>
                <w:sz w:val="18"/>
                <w:szCs w:val="18"/>
                <w:highlight w:val="none"/>
              </w:rPr>
            </w:pPr>
          </w:p>
        </w:tc>
        <w:tc>
          <w:tcPr>
            <w:tcW w:w="850" w:type="dxa"/>
            <w:shd w:val="clear" w:color="auto" w:fill="auto"/>
            <w:vAlign w:val="center"/>
          </w:tcPr>
          <w:p>
            <w:pPr>
              <w:jc w:val="right"/>
              <w:rPr>
                <w:b/>
                <w:sz w:val="18"/>
                <w:szCs w:val="18"/>
                <w:highlight w:val="none"/>
              </w:rPr>
            </w:pPr>
          </w:p>
        </w:tc>
        <w:tc>
          <w:tcPr>
            <w:tcW w:w="850" w:type="dxa"/>
            <w:shd w:val="clear" w:color="auto" w:fill="auto"/>
            <w:vAlign w:val="center"/>
          </w:tcPr>
          <w:p>
            <w:pPr>
              <w:jc w:val="right"/>
              <w:rPr>
                <w:b/>
                <w:sz w:val="18"/>
                <w:szCs w:val="18"/>
                <w:highlight w:val="none"/>
              </w:rPr>
            </w:pPr>
          </w:p>
        </w:tc>
        <w:tc>
          <w:tcPr>
            <w:tcW w:w="850" w:type="dxa"/>
            <w:shd w:val="clear" w:color="auto" w:fill="auto"/>
            <w:vAlign w:val="center"/>
          </w:tcPr>
          <w:p>
            <w:pPr>
              <w:jc w:val="right"/>
              <w:rPr>
                <w:b/>
                <w:sz w:val="18"/>
                <w:szCs w:val="18"/>
                <w:highlight w:val="none"/>
              </w:rPr>
            </w:pPr>
          </w:p>
        </w:tc>
        <w:tc>
          <w:tcPr>
            <w:tcW w:w="850" w:type="dxa"/>
            <w:shd w:val="clear" w:color="auto" w:fill="auto"/>
            <w:vAlign w:val="center"/>
          </w:tcPr>
          <w:p>
            <w:pPr>
              <w:jc w:val="right"/>
              <w:rPr>
                <w:b/>
                <w:sz w:val="18"/>
                <w:szCs w:val="18"/>
                <w:highlight w:val="none"/>
              </w:rPr>
            </w:pPr>
          </w:p>
        </w:tc>
        <w:tc>
          <w:tcPr>
            <w:tcW w:w="850" w:type="dxa"/>
            <w:shd w:val="clear" w:color="auto" w:fill="auto"/>
            <w:vAlign w:val="center"/>
          </w:tcPr>
          <w:p>
            <w:pPr>
              <w:jc w:val="right"/>
              <w:rPr>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highlight w:val="none"/>
              </w:rPr>
            </w:pPr>
            <w:r>
              <w:rPr>
                <w:rFonts w:hint="default" w:ascii="宋体" w:hAnsi="宋体"/>
                <w:kern w:val="0"/>
                <w:sz w:val="13"/>
                <w:szCs w:val="13"/>
                <w:highlight w:val="none"/>
              </w:rPr>
              <w:t>215</w:t>
            </w:r>
          </w:p>
        </w:tc>
        <w:tc>
          <w:tcPr>
            <w:tcW w:w="260" w:type="dxa"/>
            <w:shd w:val="clear" w:color="auto" w:fill="auto"/>
            <w:vAlign w:val="center"/>
          </w:tcPr>
          <w:p>
            <w:pPr>
              <w:jc w:val="center"/>
              <w:rPr>
                <w:sz w:val="18"/>
                <w:szCs w:val="18"/>
                <w:highlight w:val="none"/>
              </w:rPr>
            </w:pPr>
            <w:r>
              <w:rPr>
                <w:rFonts w:hint="default" w:ascii="宋体" w:hAnsi="宋体"/>
                <w:kern w:val="0"/>
                <w:sz w:val="13"/>
                <w:szCs w:val="13"/>
                <w:highlight w:val="none"/>
              </w:rPr>
              <w:t>05</w:t>
            </w:r>
          </w:p>
        </w:tc>
        <w:tc>
          <w:tcPr>
            <w:tcW w:w="260" w:type="dxa"/>
            <w:shd w:val="clear" w:color="auto" w:fill="auto"/>
            <w:vAlign w:val="center"/>
          </w:tcPr>
          <w:p>
            <w:pPr>
              <w:jc w:val="center"/>
              <w:rPr>
                <w:sz w:val="18"/>
                <w:szCs w:val="18"/>
                <w:highlight w:val="none"/>
              </w:rPr>
            </w:pPr>
            <w:r>
              <w:rPr>
                <w:rFonts w:hint="default" w:ascii="宋体" w:hAnsi="宋体"/>
                <w:kern w:val="0"/>
                <w:sz w:val="13"/>
                <w:szCs w:val="13"/>
                <w:highlight w:val="none"/>
              </w:rPr>
              <w:t>08</w:t>
            </w:r>
          </w:p>
        </w:tc>
        <w:tc>
          <w:tcPr>
            <w:tcW w:w="2500" w:type="dxa"/>
            <w:shd w:val="clear" w:color="auto" w:fill="auto"/>
            <w:vAlign w:val="center"/>
          </w:tcPr>
          <w:p>
            <w:pPr>
              <w:jc w:val="left"/>
              <w:rPr>
                <w:sz w:val="18"/>
                <w:szCs w:val="18"/>
                <w:highlight w:val="none"/>
              </w:rPr>
            </w:pPr>
            <w:r>
              <w:rPr>
                <w:rFonts w:hint="default" w:ascii="宋体" w:hAnsi="宋体"/>
                <w:kern w:val="0"/>
                <w:sz w:val="13"/>
                <w:szCs w:val="13"/>
                <w:highlight w:val="none"/>
              </w:rPr>
              <w:t xml:space="preserve">      无线电及信息通信监管</w:t>
            </w:r>
          </w:p>
        </w:tc>
        <w:tc>
          <w:tcPr>
            <w:tcW w:w="2500" w:type="dxa"/>
            <w:shd w:val="clear" w:color="auto" w:fill="auto"/>
            <w:vAlign w:val="center"/>
          </w:tcPr>
          <w:p>
            <w:pPr>
              <w:jc w:val="left"/>
              <w:rPr>
                <w:sz w:val="18"/>
                <w:szCs w:val="18"/>
                <w:highlight w:val="none"/>
              </w:rPr>
            </w:pPr>
            <w:r>
              <w:rPr>
                <w:rFonts w:hint="default" w:ascii="宋体" w:hAnsi="宋体"/>
                <w:kern w:val="0"/>
                <w:sz w:val="13"/>
                <w:szCs w:val="13"/>
                <w:highlight w:val="none"/>
              </w:rPr>
              <w:t>2026年无线电管理经费</w:t>
            </w:r>
          </w:p>
        </w:tc>
        <w:tc>
          <w:tcPr>
            <w:tcW w:w="850" w:type="dxa"/>
            <w:shd w:val="clear" w:color="auto" w:fill="auto"/>
            <w:vAlign w:val="center"/>
          </w:tcPr>
          <w:p>
            <w:pPr>
              <w:ind w:right="-29" w:rightChars="-14"/>
              <w:jc w:val="right"/>
              <w:rPr>
                <w:sz w:val="18"/>
                <w:szCs w:val="18"/>
                <w:highlight w:val="none"/>
              </w:rPr>
            </w:pPr>
            <w:r>
              <w:rPr>
                <w:rFonts w:hint="default" w:ascii="宋体" w:hAnsi="宋体"/>
                <w:kern w:val="0"/>
                <w:sz w:val="13"/>
                <w:szCs w:val="13"/>
                <w:highlight w:val="none"/>
              </w:rPr>
              <w:t>302.14</w:t>
            </w:r>
          </w:p>
        </w:tc>
        <w:tc>
          <w:tcPr>
            <w:tcW w:w="850" w:type="dxa"/>
            <w:shd w:val="clear" w:color="auto" w:fill="auto"/>
            <w:vAlign w:val="center"/>
          </w:tcPr>
          <w:p>
            <w:pPr>
              <w:jc w:val="right"/>
              <w:rPr>
                <w:sz w:val="18"/>
                <w:szCs w:val="18"/>
                <w:highlight w:val="none"/>
              </w:rPr>
            </w:pPr>
          </w:p>
        </w:tc>
        <w:tc>
          <w:tcPr>
            <w:tcW w:w="850" w:type="dxa"/>
            <w:shd w:val="clear" w:color="auto" w:fill="auto"/>
            <w:vAlign w:val="center"/>
          </w:tcPr>
          <w:p>
            <w:pPr>
              <w:jc w:val="right"/>
              <w:rPr>
                <w:sz w:val="18"/>
                <w:szCs w:val="18"/>
                <w:highlight w:val="none"/>
              </w:rPr>
            </w:pPr>
            <w:r>
              <w:rPr>
                <w:rFonts w:hint="default" w:ascii="宋体" w:hAnsi="宋体"/>
                <w:kern w:val="0"/>
                <w:sz w:val="13"/>
                <w:szCs w:val="13"/>
                <w:highlight w:val="none"/>
              </w:rPr>
              <w:t>302.14</w:t>
            </w:r>
          </w:p>
        </w:tc>
        <w:tc>
          <w:tcPr>
            <w:tcW w:w="850" w:type="dxa"/>
            <w:shd w:val="clear" w:color="auto" w:fill="auto"/>
            <w:vAlign w:val="center"/>
          </w:tcPr>
          <w:p>
            <w:pPr>
              <w:jc w:val="right"/>
              <w:rPr>
                <w:sz w:val="18"/>
                <w:szCs w:val="18"/>
                <w:highlight w:val="none"/>
              </w:rPr>
            </w:pPr>
          </w:p>
        </w:tc>
        <w:tc>
          <w:tcPr>
            <w:tcW w:w="850" w:type="dxa"/>
            <w:shd w:val="clear" w:color="auto" w:fill="auto"/>
            <w:vAlign w:val="center"/>
          </w:tcPr>
          <w:p>
            <w:pPr>
              <w:jc w:val="right"/>
              <w:rPr>
                <w:sz w:val="18"/>
                <w:szCs w:val="18"/>
                <w:highlight w:val="none"/>
              </w:rPr>
            </w:pPr>
          </w:p>
        </w:tc>
        <w:tc>
          <w:tcPr>
            <w:tcW w:w="850" w:type="dxa"/>
            <w:shd w:val="clear" w:color="auto" w:fill="auto"/>
            <w:vAlign w:val="center"/>
          </w:tcPr>
          <w:p>
            <w:pPr>
              <w:jc w:val="right"/>
              <w:rPr>
                <w:sz w:val="18"/>
                <w:szCs w:val="18"/>
                <w:highlight w:val="none"/>
              </w:rPr>
            </w:pPr>
          </w:p>
        </w:tc>
        <w:tc>
          <w:tcPr>
            <w:tcW w:w="850" w:type="dxa"/>
            <w:shd w:val="clear" w:color="auto" w:fill="auto"/>
            <w:vAlign w:val="center"/>
          </w:tcPr>
          <w:p>
            <w:pPr>
              <w:jc w:val="right"/>
              <w:rPr>
                <w:sz w:val="18"/>
                <w:szCs w:val="18"/>
                <w:highlight w:val="none"/>
              </w:rPr>
            </w:pPr>
          </w:p>
        </w:tc>
        <w:tc>
          <w:tcPr>
            <w:tcW w:w="850" w:type="dxa"/>
            <w:shd w:val="clear" w:color="auto" w:fill="auto"/>
            <w:vAlign w:val="center"/>
          </w:tcPr>
          <w:p>
            <w:pPr>
              <w:jc w:val="right"/>
              <w:rPr>
                <w:sz w:val="18"/>
                <w:szCs w:val="18"/>
                <w:highlight w:val="none"/>
              </w:rPr>
            </w:pPr>
          </w:p>
        </w:tc>
        <w:tc>
          <w:tcPr>
            <w:tcW w:w="850" w:type="dxa"/>
            <w:shd w:val="clear" w:color="auto" w:fill="auto"/>
            <w:vAlign w:val="center"/>
          </w:tcPr>
          <w:p>
            <w:pPr>
              <w:jc w:val="right"/>
              <w:rPr>
                <w:sz w:val="18"/>
                <w:szCs w:val="18"/>
                <w:highlight w:val="none"/>
              </w:rPr>
            </w:pPr>
          </w:p>
        </w:tc>
        <w:tc>
          <w:tcPr>
            <w:tcW w:w="850" w:type="dxa"/>
            <w:shd w:val="clear" w:color="auto" w:fill="auto"/>
            <w:vAlign w:val="center"/>
          </w:tcPr>
          <w:p>
            <w:pPr>
              <w:jc w:val="right"/>
              <w:rPr>
                <w:sz w:val="18"/>
                <w:szCs w:val="18"/>
                <w:highlight w:val="none"/>
              </w:rPr>
            </w:pPr>
          </w:p>
        </w:tc>
        <w:tc>
          <w:tcPr>
            <w:tcW w:w="850"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highlight w:val="none"/>
              </w:rPr>
            </w:pPr>
          </w:p>
        </w:tc>
        <w:tc>
          <w:tcPr>
            <w:tcW w:w="260" w:type="dxa"/>
            <w:shd w:val="clear" w:color="auto" w:fill="auto"/>
            <w:vAlign w:val="center"/>
          </w:tcPr>
          <w:p>
            <w:pPr>
              <w:jc w:val="center"/>
              <w:rPr>
                <w:b/>
                <w:sz w:val="18"/>
                <w:szCs w:val="18"/>
                <w:highlight w:val="none"/>
              </w:rPr>
            </w:pPr>
          </w:p>
        </w:tc>
        <w:tc>
          <w:tcPr>
            <w:tcW w:w="260" w:type="dxa"/>
            <w:shd w:val="clear" w:color="auto" w:fill="auto"/>
            <w:vAlign w:val="center"/>
          </w:tcPr>
          <w:p>
            <w:pPr>
              <w:jc w:val="center"/>
              <w:rPr>
                <w:b/>
                <w:sz w:val="18"/>
                <w:szCs w:val="18"/>
                <w:highlight w:val="none"/>
              </w:rPr>
            </w:pPr>
          </w:p>
        </w:tc>
        <w:tc>
          <w:tcPr>
            <w:tcW w:w="2500" w:type="dxa"/>
            <w:shd w:val="clear" w:color="auto" w:fill="auto"/>
            <w:vAlign w:val="center"/>
          </w:tcPr>
          <w:p>
            <w:pPr>
              <w:jc w:val="center"/>
              <w:rPr>
                <w:b/>
                <w:sz w:val="18"/>
                <w:szCs w:val="18"/>
                <w:highlight w:val="none"/>
              </w:rPr>
            </w:pPr>
            <w:r>
              <w:rPr>
                <w:rFonts w:hint="default" w:ascii="宋体" w:hAnsi="宋体"/>
                <w:b/>
                <w:kern w:val="0"/>
                <w:sz w:val="13"/>
                <w:szCs w:val="13"/>
                <w:highlight w:val="none"/>
              </w:rPr>
              <w:t>总计</w:t>
            </w:r>
          </w:p>
        </w:tc>
        <w:tc>
          <w:tcPr>
            <w:tcW w:w="2500" w:type="dxa"/>
            <w:shd w:val="clear" w:color="auto" w:fill="auto"/>
            <w:vAlign w:val="center"/>
          </w:tcPr>
          <w:p>
            <w:pPr>
              <w:jc w:val="left"/>
              <w:rPr>
                <w:b/>
                <w:sz w:val="18"/>
                <w:szCs w:val="18"/>
                <w:highlight w:val="none"/>
              </w:rPr>
            </w:pPr>
          </w:p>
        </w:tc>
        <w:tc>
          <w:tcPr>
            <w:tcW w:w="850" w:type="dxa"/>
            <w:shd w:val="clear" w:color="auto" w:fill="auto"/>
            <w:vAlign w:val="center"/>
          </w:tcPr>
          <w:p>
            <w:pPr>
              <w:ind w:right="-29" w:rightChars="-14"/>
              <w:jc w:val="right"/>
              <w:rPr>
                <w:b/>
                <w:sz w:val="18"/>
                <w:szCs w:val="18"/>
                <w:highlight w:val="none"/>
              </w:rPr>
            </w:pPr>
            <w:r>
              <w:rPr>
                <w:rFonts w:hint="default" w:ascii="宋体" w:hAnsi="宋体"/>
                <w:b/>
                <w:kern w:val="0"/>
                <w:sz w:val="13"/>
                <w:szCs w:val="13"/>
                <w:highlight w:val="none"/>
              </w:rPr>
              <w:t>302.14</w:t>
            </w:r>
          </w:p>
        </w:tc>
        <w:tc>
          <w:tcPr>
            <w:tcW w:w="850" w:type="dxa"/>
            <w:shd w:val="clear" w:color="auto" w:fill="auto"/>
            <w:vAlign w:val="center"/>
          </w:tcPr>
          <w:p>
            <w:pPr>
              <w:jc w:val="right"/>
              <w:rPr>
                <w:b/>
                <w:sz w:val="18"/>
                <w:szCs w:val="18"/>
                <w:highlight w:val="none"/>
              </w:rPr>
            </w:pPr>
          </w:p>
        </w:tc>
        <w:tc>
          <w:tcPr>
            <w:tcW w:w="850" w:type="dxa"/>
            <w:shd w:val="clear" w:color="auto" w:fill="auto"/>
            <w:vAlign w:val="center"/>
          </w:tcPr>
          <w:p>
            <w:pPr>
              <w:jc w:val="right"/>
              <w:rPr>
                <w:b/>
                <w:sz w:val="18"/>
                <w:szCs w:val="18"/>
                <w:highlight w:val="none"/>
              </w:rPr>
            </w:pPr>
            <w:r>
              <w:rPr>
                <w:rFonts w:hint="default" w:ascii="宋体" w:hAnsi="宋体"/>
                <w:b/>
                <w:kern w:val="0"/>
                <w:sz w:val="13"/>
                <w:szCs w:val="13"/>
                <w:highlight w:val="none"/>
              </w:rPr>
              <w:t>302.14</w:t>
            </w:r>
          </w:p>
        </w:tc>
        <w:tc>
          <w:tcPr>
            <w:tcW w:w="850" w:type="dxa"/>
            <w:shd w:val="clear" w:color="auto" w:fill="auto"/>
            <w:vAlign w:val="center"/>
          </w:tcPr>
          <w:p>
            <w:pPr>
              <w:jc w:val="right"/>
              <w:rPr>
                <w:b/>
                <w:sz w:val="18"/>
                <w:szCs w:val="18"/>
                <w:highlight w:val="none"/>
              </w:rPr>
            </w:pPr>
          </w:p>
        </w:tc>
        <w:tc>
          <w:tcPr>
            <w:tcW w:w="850" w:type="dxa"/>
            <w:shd w:val="clear" w:color="auto" w:fill="auto"/>
            <w:vAlign w:val="center"/>
          </w:tcPr>
          <w:p>
            <w:pPr>
              <w:jc w:val="right"/>
              <w:rPr>
                <w:b/>
                <w:sz w:val="18"/>
                <w:szCs w:val="18"/>
                <w:highlight w:val="none"/>
              </w:rPr>
            </w:pPr>
          </w:p>
        </w:tc>
        <w:tc>
          <w:tcPr>
            <w:tcW w:w="850" w:type="dxa"/>
            <w:shd w:val="clear" w:color="auto" w:fill="auto"/>
            <w:vAlign w:val="center"/>
          </w:tcPr>
          <w:p>
            <w:pPr>
              <w:jc w:val="right"/>
              <w:rPr>
                <w:b/>
                <w:sz w:val="18"/>
                <w:szCs w:val="18"/>
                <w:highlight w:val="none"/>
              </w:rPr>
            </w:pPr>
          </w:p>
        </w:tc>
        <w:tc>
          <w:tcPr>
            <w:tcW w:w="850" w:type="dxa"/>
            <w:shd w:val="clear" w:color="auto" w:fill="auto"/>
            <w:vAlign w:val="center"/>
          </w:tcPr>
          <w:p>
            <w:pPr>
              <w:jc w:val="right"/>
              <w:rPr>
                <w:b/>
                <w:sz w:val="18"/>
                <w:szCs w:val="18"/>
                <w:highlight w:val="none"/>
              </w:rPr>
            </w:pPr>
          </w:p>
        </w:tc>
        <w:tc>
          <w:tcPr>
            <w:tcW w:w="850" w:type="dxa"/>
            <w:shd w:val="clear" w:color="auto" w:fill="auto"/>
            <w:vAlign w:val="center"/>
          </w:tcPr>
          <w:p>
            <w:pPr>
              <w:jc w:val="right"/>
              <w:rPr>
                <w:b/>
                <w:sz w:val="18"/>
                <w:szCs w:val="18"/>
                <w:highlight w:val="none"/>
              </w:rPr>
            </w:pPr>
          </w:p>
        </w:tc>
        <w:tc>
          <w:tcPr>
            <w:tcW w:w="850" w:type="dxa"/>
            <w:shd w:val="clear" w:color="auto" w:fill="auto"/>
            <w:vAlign w:val="center"/>
          </w:tcPr>
          <w:p>
            <w:pPr>
              <w:jc w:val="right"/>
              <w:rPr>
                <w:b/>
                <w:sz w:val="18"/>
                <w:szCs w:val="18"/>
                <w:highlight w:val="none"/>
              </w:rPr>
            </w:pPr>
          </w:p>
        </w:tc>
        <w:tc>
          <w:tcPr>
            <w:tcW w:w="850" w:type="dxa"/>
            <w:shd w:val="clear" w:color="auto" w:fill="auto"/>
            <w:vAlign w:val="center"/>
          </w:tcPr>
          <w:p>
            <w:pPr>
              <w:jc w:val="right"/>
              <w:rPr>
                <w:b/>
                <w:sz w:val="18"/>
                <w:szCs w:val="18"/>
                <w:highlight w:val="none"/>
              </w:rPr>
            </w:pPr>
          </w:p>
        </w:tc>
        <w:tc>
          <w:tcPr>
            <w:tcW w:w="850" w:type="dxa"/>
            <w:shd w:val="clear" w:color="auto" w:fill="auto"/>
            <w:vAlign w:val="center"/>
          </w:tcPr>
          <w:p>
            <w:pPr>
              <w:jc w:val="right"/>
              <w:rPr>
                <w:b/>
                <w:sz w:val="18"/>
                <w:szCs w:val="18"/>
                <w:highlight w:val="none"/>
              </w:rPr>
            </w:pPr>
          </w:p>
        </w:tc>
      </w:tr>
    </w:tbl>
    <w:p>
      <w:pPr>
        <w:widowControl/>
        <w:jc w:val="left"/>
        <w:rPr>
          <w:rFonts w:hint="default" w:ascii="仿宋" w:eastAsia="仿宋"/>
          <w:b/>
          <w:color w:val="000000"/>
          <w:szCs w:val="21"/>
          <w:highlight w:val="none"/>
        </w:rPr>
        <w:sectPr>
          <w:pgSz w:w="16838" w:h="11906" w:orient="landscape"/>
          <w:pgMar w:top="1134" w:right="1134" w:bottom="1134" w:left="1134" w:header="851" w:footer="992" w:gutter="0"/>
          <w:cols w:space="425" w:num="1"/>
          <w:docGrid w:type="lines" w:linePitch="312" w:charSpace="0"/>
        </w:sectPr>
      </w:pPr>
    </w:p>
    <w:p>
      <w:pPr>
        <w:rPr>
          <w:highlight w:val="none"/>
        </w:rPr>
      </w:pPr>
      <w:r>
        <w:rPr>
          <w:rFonts w:hint="eastAsia" w:ascii="宋体" w:hAnsi="宋体"/>
          <w:color w:val="000000"/>
          <w:sz w:val="18"/>
          <w:szCs w:val="18"/>
          <w:highlight w:val="none"/>
        </w:rPr>
        <w:t>表8</w:t>
      </w:r>
    </w:p>
    <w:p>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政府性基金预算支出情况表</w:t>
      </w:r>
    </w:p>
    <w:tbl>
      <w:tblP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2551"/>
        <w:gridCol w:w="1418"/>
        <w:gridCol w:w="1417"/>
        <w:gridCol w:w="917"/>
        <w:gridCol w:w="50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7971" w:type="dxa"/>
            <w:gridSpan w:val="7"/>
            <w:tcBorders>
              <w:top w:val="nil"/>
              <w:left w:val="nil"/>
              <w:right w:val="nil"/>
            </w:tcBorders>
            <w:shd w:val="clear" w:color="auto" w:fill="auto"/>
            <w:vAlign w:val="center"/>
          </w:tcPr>
          <w:p>
            <w:pPr>
              <w:jc w:val="left"/>
              <w:rPr>
                <w:sz w:val="18"/>
                <w:szCs w:val="18"/>
                <w:highlight w:val="none"/>
              </w:rPr>
            </w:pPr>
            <w:r>
              <w:rPr>
                <w:rFonts w:hint="eastAsia"/>
                <w:color w:val="000000"/>
                <w:sz w:val="18"/>
                <w:szCs w:val="18"/>
                <w:highlight w:val="none"/>
              </w:rPr>
              <w:t>编制单位：新疆维吾尔自治区无线电监测中心</w:t>
            </w:r>
          </w:p>
        </w:tc>
        <w:tc>
          <w:tcPr>
            <w:tcW w:w="1918" w:type="dxa"/>
            <w:gridSpan w:val="2"/>
            <w:tcBorders>
              <w:top w:val="nil"/>
              <w:left w:val="nil"/>
              <w:right w:val="nil"/>
            </w:tcBorders>
            <w:shd w:val="clear" w:color="auto" w:fill="auto"/>
            <w:vAlign w:val="center"/>
          </w:tcPr>
          <w:p>
            <w:pPr>
              <w:jc w:val="right"/>
              <w:rPr>
                <w:sz w:val="18"/>
                <w:szCs w:val="18"/>
                <w:highlight w:val="none"/>
              </w:rPr>
            </w:pPr>
            <w:r>
              <w:rPr>
                <w:rFonts w:hint="eastAsia"/>
                <w:color w:val="000000"/>
                <w:sz w:val="18"/>
                <w:szCs w:val="18"/>
                <w:highlight w:val="none"/>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4219" w:type="dxa"/>
            <w:gridSpan w:val="4"/>
            <w:shd w:val="clear" w:color="auto" w:fill="auto"/>
            <w:vAlign w:val="center"/>
          </w:tcPr>
          <w:p>
            <w:pPr>
              <w:jc w:val="center"/>
              <w:rPr>
                <w:sz w:val="18"/>
                <w:szCs w:val="18"/>
                <w:highlight w:val="none"/>
              </w:rPr>
            </w:pPr>
            <w:r>
              <w:rPr>
                <w:rFonts w:hint="eastAsia"/>
                <w:sz w:val="18"/>
                <w:szCs w:val="18"/>
                <w:highlight w:val="none"/>
              </w:rPr>
              <w:t>科目</w:t>
            </w:r>
          </w:p>
        </w:tc>
        <w:tc>
          <w:tcPr>
            <w:tcW w:w="5670" w:type="dxa"/>
            <w:gridSpan w:val="5"/>
            <w:shd w:val="clear" w:color="auto" w:fill="auto"/>
            <w:vAlign w:val="center"/>
          </w:tcPr>
          <w:p>
            <w:pPr>
              <w:jc w:val="center"/>
              <w:rPr>
                <w:sz w:val="18"/>
                <w:szCs w:val="18"/>
                <w:highlight w:val="none"/>
              </w:rPr>
            </w:pPr>
            <w:r>
              <w:rPr>
                <w:rFonts w:hint="eastAsia"/>
                <w:sz w:val="18"/>
                <w:szCs w:val="18"/>
                <w:highlight w:val="none"/>
              </w:rPr>
              <w:t>政府性基金预算支出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0" w:hRule="atLeast"/>
          <w:tblHeader/>
        </w:trPr>
        <w:tc>
          <w:tcPr>
            <w:tcW w:w="1668" w:type="dxa"/>
            <w:gridSpan w:val="3"/>
            <w:shd w:val="clear" w:color="auto" w:fill="auto"/>
            <w:vAlign w:val="center"/>
          </w:tcPr>
          <w:p>
            <w:pPr>
              <w:jc w:val="center"/>
              <w:rPr>
                <w:sz w:val="18"/>
                <w:szCs w:val="18"/>
                <w:highlight w:val="none"/>
              </w:rPr>
            </w:pPr>
            <w:r>
              <w:rPr>
                <w:rFonts w:hint="eastAsia"/>
                <w:sz w:val="18"/>
                <w:szCs w:val="18"/>
                <w:highlight w:val="none"/>
              </w:rPr>
              <w:t>科目代码</w:t>
            </w:r>
          </w:p>
        </w:tc>
        <w:tc>
          <w:tcPr>
            <w:tcW w:w="2551" w:type="dxa"/>
            <w:vMerge w:val="restart"/>
            <w:shd w:val="clear" w:color="auto" w:fill="auto"/>
            <w:vAlign w:val="center"/>
          </w:tcPr>
          <w:p>
            <w:pPr>
              <w:jc w:val="center"/>
              <w:rPr>
                <w:sz w:val="18"/>
                <w:szCs w:val="18"/>
                <w:highlight w:val="none"/>
              </w:rPr>
            </w:pPr>
            <w:r>
              <w:rPr>
                <w:rFonts w:hint="eastAsia"/>
                <w:sz w:val="18"/>
                <w:szCs w:val="18"/>
                <w:highlight w:val="none"/>
              </w:rPr>
              <w:t>科目名称</w:t>
            </w:r>
          </w:p>
        </w:tc>
        <w:tc>
          <w:tcPr>
            <w:tcW w:w="1418" w:type="dxa"/>
            <w:vMerge w:val="restart"/>
            <w:shd w:val="clear" w:color="auto" w:fill="auto"/>
            <w:vAlign w:val="center"/>
          </w:tcPr>
          <w:p>
            <w:pPr>
              <w:jc w:val="center"/>
              <w:rPr>
                <w:sz w:val="18"/>
                <w:szCs w:val="18"/>
                <w:highlight w:val="none"/>
              </w:rPr>
            </w:pPr>
            <w:r>
              <w:rPr>
                <w:rFonts w:hint="eastAsia"/>
                <w:sz w:val="18"/>
                <w:szCs w:val="18"/>
                <w:highlight w:val="none"/>
              </w:rPr>
              <w:t>合计</w:t>
            </w:r>
          </w:p>
        </w:tc>
        <w:tc>
          <w:tcPr>
            <w:tcW w:w="2835" w:type="dxa"/>
            <w:gridSpan w:val="3"/>
            <w:shd w:val="clear" w:color="auto" w:fill="auto"/>
            <w:vAlign w:val="center"/>
          </w:tcPr>
          <w:p>
            <w:pPr>
              <w:jc w:val="center"/>
              <w:rPr>
                <w:sz w:val="18"/>
                <w:szCs w:val="18"/>
                <w:highlight w:val="none"/>
              </w:rPr>
            </w:pPr>
            <w:r>
              <w:rPr>
                <w:rFonts w:hint="eastAsia"/>
                <w:sz w:val="18"/>
                <w:szCs w:val="18"/>
                <w:highlight w:val="none"/>
              </w:rPr>
              <w:t>基本支出</w:t>
            </w:r>
          </w:p>
        </w:tc>
        <w:tc>
          <w:tcPr>
            <w:tcW w:w="1417" w:type="dxa"/>
            <w:vMerge w:val="restart"/>
            <w:shd w:val="clear" w:color="auto" w:fill="auto"/>
            <w:vAlign w:val="center"/>
          </w:tcPr>
          <w:p>
            <w:pPr>
              <w:jc w:val="center"/>
              <w:rPr>
                <w:sz w:val="18"/>
                <w:szCs w:val="18"/>
                <w:highlight w:val="none"/>
              </w:rPr>
            </w:pPr>
            <w:r>
              <w:rPr>
                <w:rFonts w:hint="eastAsia"/>
                <w:sz w:val="18"/>
                <w:szCs w:val="18"/>
                <w:highlight w:val="none"/>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10" w:hRule="atLeast"/>
          <w:tblHeader/>
        </w:trPr>
        <w:tc>
          <w:tcPr>
            <w:tcW w:w="534" w:type="dxa"/>
            <w:shd w:val="clear" w:color="auto" w:fill="auto"/>
            <w:vAlign w:val="center"/>
          </w:tcPr>
          <w:p>
            <w:pPr>
              <w:jc w:val="center"/>
              <w:rPr>
                <w:sz w:val="18"/>
                <w:szCs w:val="18"/>
                <w:highlight w:val="none"/>
              </w:rPr>
            </w:pPr>
            <w:r>
              <w:rPr>
                <w:rFonts w:hint="eastAsia"/>
                <w:sz w:val="18"/>
                <w:szCs w:val="18"/>
                <w:highlight w:val="none"/>
              </w:rPr>
              <w:t>类</w:t>
            </w:r>
          </w:p>
        </w:tc>
        <w:tc>
          <w:tcPr>
            <w:tcW w:w="567" w:type="dxa"/>
            <w:shd w:val="clear" w:color="auto" w:fill="auto"/>
            <w:vAlign w:val="center"/>
          </w:tcPr>
          <w:p>
            <w:pPr>
              <w:jc w:val="center"/>
              <w:rPr>
                <w:sz w:val="18"/>
                <w:szCs w:val="18"/>
                <w:highlight w:val="none"/>
              </w:rPr>
            </w:pPr>
            <w:r>
              <w:rPr>
                <w:rFonts w:hint="eastAsia"/>
                <w:sz w:val="18"/>
                <w:szCs w:val="18"/>
                <w:highlight w:val="none"/>
              </w:rPr>
              <w:t>款</w:t>
            </w:r>
          </w:p>
        </w:tc>
        <w:tc>
          <w:tcPr>
            <w:tcW w:w="567" w:type="dxa"/>
            <w:shd w:val="clear" w:color="auto" w:fill="auto"/>
            <w:vAlign w:val="center"/>
          </w:tcPr>
          <w:p>
            <w:pPr>
              <w:jc w:val="center"/>
              <w:rPr>
                <w:sz w:val="18"/>
                <w:szCs w:val="18"/>
                <w:highlight w:val="none"/>
              </w:rPr>
            </w:pPr>
            <w:r>
              <w:rPr>
                <w:rFonts w:hint="eastAsia"/>
                <w:sz w:val="18"/>
                <w:szCs w:val="18"/>
                <w:highlight w:val="none"/>
              </w:rPr>
              <w:t>项</w:t>
            </w:r>
          </w:p>
        </w:tc>
        <w:tc>
          <w:tcPr>
            <w:tcW w:w="2551" w:type="dxa"/>
            <w:vMerge w:val="continue"/>
            <w:shd w:val="clear" w:color="auto" w:fill="auto"/>
            <w:vAlign w:val="center"/>
          </w:tcPr>
          <w:p>
            <w:pPr>
              <w:jc w:val="center"/>
              <w:rPr>
                <w:sz w:val="18"/>
                <w:szCs w:val="18"/>
                <w:highlight w:val="none"/>
              </w:rPr>
            </w:pPr>
          </w:p>
        </w:tc>
        <w:tc>
          <w:tcPr>
            <w:tcW w:w="1418" w:type="dxa"/>
            <w:vMerge w:val="continue"/>
            <w:shd w:val="clear" w:color="auto" w:fill="auto"/>
            <w:vAlign w:val="center"/>
          </w:tcPr>
          <w:p>
            <w:pPr>
              <w:jc w:val="center"/>
              <w:rPr>
                <w:sz w:val="18"/>
                <w:szCs w:val="18"/>
                <w:highlight w:val="none"/>
              </w:rPr>
            </w:pPr>
          </w:p>
        </w:tc>
        <w:tc>
          <w:tcPr>
            <w:tcW w:w="1417" w:type="dxa"/>
            <w:shd w:val="clear" w:color="auto" w:fill="auto"/>
            <w:vAlign w:val="center"/>
          </w:tcPr>
          <w:p>
            <w:pPr>
              <w:jc w:val="center"/>
              <w:rPr>
                <w:sz w:val="18"/>
                <w:szCs w:val="18"/>
                <w:highlight w:val="none"/>
              </w:rPr>
            </w:pPr>
            <w:r>
              <w:rPr>
                <w:rFonts w:hint="eastAsia"/>
                <w:sz w:val="18"/>
                <w:szCs w:val="18"/>
                <w:highlight w:val="none"/>
              </w:rPr>
              <w:t>人员经费</w:t>
            </w:r>
          </w:p>
        </w:tc>
        <w:tc>
          <w:tcPr>
            <w:tcW w:w="1418" w:type="dxa"/>
            <w:gridSpan w:val="2"/>
            <w:shd w:val="clear" w:color="auto" w:fill="auto"/>
            <w:vAlign w:val="center"/>
          </w:tcPr>
          <w:p>
            <w:pPr>
              <w:jc w:val="center"/>
              <w:rPr>
                <w:sz w:val="18"/>
                <w:szCs w:val="18"/>
                <w:highlight w:val="none"/>
              </w:rPr>
            </w:pPr>
            <w:r>
              <w:rPr>
                <w:rFonts w:hint="eastAsia"/>
                <w:sz w:val="18"/>
                <w:szCs w:val="18"/>
                <w:highlight w:val="none"/>
              </w:rPr>
              <w:t>公用经费</w:t>
            </w:r>
          </w:p>
        </w:tc>
        <w:tc>
          <w:tcPr>
            <w:tcW w:w="1417" w:type="dxa"/>
            <w:vMerge w:val="continue"/>
            <w:shd w:val="clear" w:color="auto" w:fill="auto"/>
            <w:vAlign w:val="center"/>
          </w:tcPr>
          <w:p>
            <w:pPr>
              <w:jc w:val="center"/>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highlight w:val="none"/>
              </w:rPr>
            </w:pPr>
          </w:p>
        </w:tc>
        <w:tc>
          <w:tcPr>
            <w:tcW w:w="567" w:type="dxa"/>
            <w:shd w:val="clear" w:color="auto" w:fill="auto"/>
            <w:vAlign w:val="center"/>
          </w:tcPr>
          <w:p>
            <w:pPr>
              <w:jc w:val="center"/>
              <w:rPr>
                <w:sz w:val="18"/>
                <w:szCs w:val="18"/>
                <w:highlight w:val="none"/>
              </w:rPr>
            </w:pPr>
          </w:p>
        </w:tc>
        <w:tc>
          <w:tcPr>
            <w:tcW w:w="567" w:type="dxa"/>
            <w:shd w:val="clear" w:color="auto" w:fill="auto"/>
            <w:vAlign w:val="center"/>
          </w:tcPr>
          <w:p>
            <w:pPr>
              <w:jc w:val="center"/>
              <w:rPr>
                <w:sz w:val="18"/>
                <w:szCs w:val="18"/>
                <w:highlight w:val="none"/>
              </w:rPr>
            </w:pPr>
          </w:p>
        </w:tc>
        <w:tc>
          <w:tcPr>
            <w:tcW w:w="2551" w:type="dxa"/>
            <w:shd w:val="clear" w:color="auto" w:fill="auto"/>
            <w:vAlign w:val="center"/>
          </w:tcPr>
          <w:p>
            <w:pPr>
              <w:jc w:val="left"/>
              <w:rPr>
                <w:sz w:val="18"/>
                <w:szCs w:val="18"/>
                <w:highlight w:val="none"/>
              </w:rPr>
            </w:pPr>
          </w:p>
        </w:tc>
        <w:tc>
          <w:tcPr>
            <w:tcW w:w="1418" w:type="dxa"/>
            <w:shd w:val="clear" w:color="auto" w:fill="auto"/>
            <w:vAlign w:val="center"/>
          </w:tcPr>
          <w:p>
            <w:pPr>
              <w:jc w:val="right"/>
              <w:rPr>
                <w:sz w:val="18"/>
                <w:szCs w:val="18"/>
                <w:highlight w:val="none"/>
              </w:rPr>
            </w:pPr>
          </w:p>
        </w:tc>
        <w:tc>
          <w:tcPr>
            <w:tcW w:w="1417" w:type="dxa"/>
            <w:shd w:val="clear" w:color="auto" w:fill="auto"/>
            <w:vAlign w:val="center"/>
          </w:tcPr>
          <w:p>
            <w:pPr>
              <w:jc w:val="right"/>
              <w:rPr>
                <w:sz w:val="18"/>
                <w:szCs w:val="18"/>
                <w:highlight w:val="none"/>
              </w:rPr>
            </w:pPr>
          </w:p>
        </w:tc>
        <w:tc>
          <w:tcPr>
            <w:tcW w:w="1418" w:type="dxa"/>
            <w:gridSpan w:val="2"/>
            <w:shd w:val="clear" w:color="auto" w:fill="auto"/>
            <w:vAlign w:val="center"/>
          </w:tcPr>
          <w:p>
            <w:pPr>
              <w:jc w:val="right"/>
              <w:rPr>
                <w:sz w:val="18"/>
                <w:szCs w:val="18"/>
                <w:highlight w:val="none"/>
              </w:rPr>
            </w:pPr>
          </w:p>
        </w:tc>
        <w:tc>
          <w:tcPr>
            <w:tcW w:w="1417"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highlight w:val="none"/>
              </w:rPr>
            </w:pPr>
          </w:p>
        </w:tc>
        <w:tc>
          <w:tcPr>
            <w:tcW w:w="567" w:type="dxa"/>
            <w:shd w:val="clear" w:color="auto" w:fill="auto"/>
            <w:vAlign w:val="center"/>
          </w:tcPr>
          <w:p>
            <w:pPr>
              <w:jc w:val="center"/>
              <w:rPr>
                <w:sz w:val="18"/>
                <w:szCs w:val="18"/>
                <w:highlight w:val="none"/>
              </w:rPr>
            </w:pPr>
          </w:p>
        </w:tc>
        <w:tc>
          <w:tcPr>
            <w:tcW w:w="567" w:type="dxa"/>
            <w:shd w:val="clear" w:color="auto" w:fill="auto"/>
            <w:vAlign w:val="center"/>
          </w:tcPr>
          <w:p>
            <w:pPr>
              <w:jc w:val="center"/>
              <w:rPr>
                <w:sz w:val="18"/>
                <w:szCs w:val="18"/>
                <w:highlight w:val="none"/>
              </w:rPr>
            </w:pPr>
          </w:p>
        </w:tc>
        <w:tc>
          <w:tcPr>
            <w:tcW w:w="2551" w:type="dxa"/>
            <w:shd w:val="clear" w:color="auto" w:fill="auto"/>
            <w:vAlign w:val="center"/>
          </w:tcPr>
          <w:p>
            <w:pPr>
              <w:jc w:val="left"/>
              <w:rPr>
                <w:sz w:val="18"/>
                <w:szCs w:val="18"/>
                <w:highlight w:val="none"/>
              </w:rPr>
            </w:pPr>
          </w:p>
        </w:tc>
        <w:tc>
          <w:tcPr>
            <w:tcW w:w="1418" w:type="dxa"/>
            <w:shd w:val="clear" w:color="auto" w:fill="auto"/>
            <w:vAlign w:val="center"/>
          </w:tcPr>
          <w:p>
            <w:pPr>
              <w:jc w:val="right"/>
              <w:rPr>
                <w:sz w:val="18"/>
                <w:szCs w:val="18"/>
                <w:highlight w:val="none"/>
              </w:rPr>
            </w:pPr>
          </w:p>
        </w:tc>
        <w:tc>
          <w:tcPr>
            <w:tcW w:w="1417" w:type="dxa"/>
            <w:shd w:val="clear" w:color="auto" w:fill="auto"/>
            <w:vAlign w:val="center"/>
          </w:tcPr>
          <w:p>
            <w:pPr>
              <w:jc w:val="right"/>
              <w:rPr>
                <w:sz w:val="18"/>
                <w:szCs w:val="18"/>
                <w:highlight w:val="none"/>
              </w:rPr>
            </w:pPr>
          </w:p>
        </w:tc>
        <w:tc>
          <w:tcPr>
            <w:tcW w:w="1418" w:type="dxa"/>
            <w:gridSpan w:val="2"/>
            <w:shd w:val="clear" w:color="auto" w:fill="auto"/>
            <w:vAlign w:val="center"/>
          </w:tcPr>
          <w:p>
            <w:pPr>
              <w:jc w:val="right"/>
              <w:rPr>
                <w:sz w:val="18"/>
                <w:szCs w:val="18"/>
                <w:highlight w:val="none"/>
              </w:rPr>
            </w:pPr>
          </w:p>
        </w:tc>
        <w:tc>
          <w:tcPr>
            <w:tcW w:w="1417"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highlight w:val="none"/>
              </w:rPr>
            </w:pPr>
          </w:p>
        </w:tc>
        <w:tc>
          <w:tcPr>
            <w:tcW w:w="567" w:type="dxa"/>
            <w:shd w:val="clear" w:color="auto" w:fill="auto"/>
            <w:vAlign w:val="center"/>
          </w:tcPr>
          <w:p>
            <w:pPr>
              <w:jc w:val="center"/>
              <w:rPr>
                <w:sz w:val="18"/>
                <w:szCs w:val="18"/>
                <w:highlight w:val="none"/>
              </w:rPr>
            </w:pPr>
          </w:p>
        </w:tc>
        <w:tc>
          <w:tcPr>
            <w:tcW w:w="567" w:type="dxa"/>
            <w:shd w:val="clear" w:color="auto" w:fill="auto"/>
            <w:vAlign w:val="center"/>
          </w:tcPr>
          <w:p>
            <w:pPr>
              <w:jc w:val="center"/>
              <w:rPr>
                <w:sz w:val="18"/>
                <w:szCs w:val="18"/>
                <w:highlight w:val="none"/>
              </w:rPr>
            </w:pPr>
          </w:p>
        </w:tc>
        <w:tc>
          <w:tcPr>
            <w:tcW w:w="2551" w:type="dxa"/>
            <w:shd w:val="clear" w:color="auto" w:fill="auto"/>
            <w:vAlign w:val="center"/>
          </w:tcPr>
          <w:p>
            <w:pPr>
              <w:jc w:val="left"/>
              <w:rPr>
                <w:sz w:val="18"/>
                <w:szCs w:val="18"/>
                <w:highlight w:val="none"/>
              </w:rPr>
            </w:pPr>
          </w:p>
        </w:tc>
        <w:tc>
          <w:tcPr>
            <w:tcW w:w="1418" w:type="dxa"/>
            <w:shd w:val="clear" w:color="auto" w:fill="auto"/>
            <w:vAlign w:val="center"/>
          </w:tcPr>
          <w:p>
            <w:pPr>
              <w:jc w:val="right"/>
              <w:rPr>
                <w:sz w:val="18"/>
                <w:szCs w:val="18"/>
                <w:highlight w:val="none"/>
              </w:rPr>
            </w:pPr>
          </w:p>
        </w:tc>
        <w:tc>
          <w:tcPr>
            <w:tcW w:w="1417" w:type="dxa"/>
            <w:shd w:val="clear" w:color="auto" w:fill="auto"/>
            <w:vAlign w:val="center"/>
          </w:tcPr>
          <w:p>
            <w:pPr>
              <w:jc w:val="right"/>
              <w:rPr>
                <w:sz w:val="18"/>
                <w:szCs w:val="18"/>
                <w:highlight w:val="none"/>
              </w:rPr>
            </w:pPr>
          </w:p>
        </w:tc>
        <w:tc>
          <w:tcPr>
            <w:tcW w:w="1418" w:type="dxa"/>
            <w:gridSpan w:val="2"/>
            <w:shd w:val="clear" w:color="auto" w:fill="auto"/>
            <w:vAlign w:val="center"/>
          </w:tcPr>
          <w:p>
            <w:pPr>
              <w:jc w:val="right"/>
              <w:rPr>
                <w:sz w:val="18"/>
                <w:szCs w:val="18"/>
                <w:highlight w:val="none"/>
              </w:rPr>
            </w:pPr>
          </w:p>
        </w:tc>
        <w:tc>
          <w:tcPr>
            <w:tcW w:w="1417"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highlight w:val="none"/>
              </w:rPr>
            </w:pPr>
          </w:p>
        </w:tc>
        <w:tc>
          <w:tcPr>
            <w:tcW w:w="567" w:type="dxa"/>
            <w:shd w:val="clear" w:color="auto" w:fill="auto"/>
            <w:vAlign w:val="center"/>
          </w:tcPr>
          <w:p>
            <w:pPr>
              <w:jc w:val="center"/>
              <w:rPr>
                <w:sz w:val="18"/>
                <w:szCs w:val="18"/>
                <w:highlight w:val="none"/>
              </w:rPr>
            </w:pPr>
          </w:p>
        </w:tc>
        <w:tc>
          <w:tcPr>
            <w:tcW w:w="567" w:type="dxa"/>
            <w:shd w:val="clear" w:color="auto" w:fill="auto"/>
            <w:vAlign w:val="center"/>
          </w:tcPr>
          <w:p>
            <w:pPr>
              <w:jc w:val="center"/>
              <w:rPr>
                <w:sz w:val="18"/>
                <w:szCs w:val="18"/>
                <w:highlight w:val="none"/>
              </w:rPr>
            </w:pPr>
          </w:p>
        </w:tc>
        <w:tc>
          <w:tcPr>
            <w:tcW w:w="2551" w:type="dxa"/>
            <w:shd w:val="clear" w:color="auto" w:fill="auto"/>
            <w:vAlign w:val="center"/>
          </w:tcPr>
          <w:p>
            <w:pPr>
              <w:jc w:val="left"/>
              <w:rPr>
                <w:sz w:val="18"/>
                <w:szCs w:val="18"/>
                <w:highlight w:val="none"/>
              </w:rPr>
            </w:pPr>
          </w:p>
        </w:tc>
        <w:tc>
          <w:tcPr>
            <w:tcW w:w="1418" w:type="dxa"/>
            <w:shd w:val="clear" w:color="auto" w:fill="auto"/>
            <w:vAlign w:val="center"/>
          </w:tcPr>
          <w:p>
            <w:pPr>
              <w:jc w:val="right"/>
              <w:rPr>
                <w:sz w:val="18"/>
                <w:szCs w:val="18"/>
                <w:highlight w:val="none"/>
              </w:rPr>
            </w:pPr>
          </w:p>
        </w:tc>
        <w:tc>
          <w:tcPr>
            <w:tcW w:w="1417" w:type="dxa"/>
            <w:shd w:val="clear" w:color="auto" w:fill="auto"/>
            <w:vAlign w:val="center"/>
          </w:tcPr>
          <w:p>
            <w:pPr>
              <w:jc w:val="right"/>
              <w:rPr>
                <w:sz w:val="18"/>
                <w:szCs w:val="18"/>
                <w:highlight w:val="none"/>
              </w:rPr>
            </w:pPr>
          </w:p>
        </w:tc>
        <w:tc>
          <w:tcPr>
            <w:tcW w:w="1418" w:type="dxa"/>
            <w:gridSpan w:val="2"/>
            <w:shd w:val="clear" w:color="auto" w:fill="auto"/>
            <w:vAlign w:val="center"/>
          </w:tcPr>
          <w:p>
            <w:pPr>
              <w:jc w:val="right"/>
              <w:rPr>
                <w:sz w:val="18"/>
                <w:szCs w:val="18"/>
                <w:highlight w:val="none"/>
              </w:rPr>
            </w:pPr>
          </w:p>
        </w:tc>
        <w:tc>
          <w:tcPr>
            <w:tcW w:w="1417"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b/>
                <w:sz w:val="18"/>
                <w:szCs w:val="18"/>
                <w:highlight w:val="none"/>
              </w:rPr>
            </w:pPr>
          </w:p>
        </w:tc>
        <w:tc>
          <w:tcPr>
            <w:tcW w:w="567" w:type="dxa"/>
            <w:shd w:val="clear" w:color="auto" w:fill="auto"/>
            <w:vAlign w:val="center"/>
          </w:tcPr>
          <w:p>
            <w:pPr>
              <w:jc w:val="center"/>
              <w:rPr>
                <w:b/>
                <w:sz w:val="18"/>
                <w:szCs w:val="18"/>
                <w:highlight w:val="none"/>
              </w:rPr>
            </w:pPr>
          </w:p>
        </w:tc>
        <w:tc>
          <w:tcPr>
            <w:tcW w:w="567" w:type="dxa"/>
            <w:shd w:val="clear" w:color="auto" w:fill="auto"/>
            <w:vAlign w:val="center"/>
          </w:tcPr>
          <w:p>
            <w:pPr>
              <w:jc w:val="center"/>
              <w:rPr>
                <w:b/>
                <w:sz w:val="18"/>
                <w:szCs w:val="18"/>
                <w:highlight w:val="none"/>
              </w:rPr>
            </w:pPr>
          </w:p>
        </w:tc>
        <w:tc>
          <w:tcPr>
            <w:tcW w:w="2551" w:type="dxa"/>
            <w:shd w:val="clear" w:color="auto" w:fill="auto"/>
            <w:vAlign w:val="center"/>
          </w:tcPr>
          <w:p>
            <w:pPr>
              <w:jc w:val="center"/>
              <w:rPr>
                <w:b/>
                <w:sz w:val="18"/>
                <w:szCs w:val="18"/>
                <w:highlight w:val="none"/>
              </w:rPr>
            </w:pPr>
            <w:r>
              <w:rPr>
                <w:rFonts w:hint="default" w:ascii="宋体" w:hAnsi="宋体"/>
                <w:b/>
                <w:kern w:val="0"/>
                <w:sz w:val="18"/>
                <w:szCs w:val="18"/>
                <w:highlight w:val="none"/>
              </w:rPr>
              <w:t>总计</w:t>
            </w:r>
          </w:p>
        </w:tc>
        <w:tc>
          <w:tcPr>
            <w:tcW w:w="1418" w:type="dxa"/>
            <w:shd w:val="clear" w:color="auto" w:fill="auto"/>
            <w:vAlign w:val="center"/>
          </w:tcPr>
          <w:p>
            <w:pPr>
              <w:jc w:val="right"/>
              <w:rPr>
                <w:b/>
                <w:sz w:val="18"/>
                <w:szCs w:val="18"/>
                <w:highlight w:val="none"/>
              </w:rPr>
            </w:pPr>
          </w:p>
        </w:tc>
        <w:tc>
          <w:tcPr>
            <w:tcW w:w="1417" w:type="dxa"/>
            <w:shd w:val="clear" w:color="auto" w:fill="auto"/>
            <w:vAlign w:val="center"/>
          </w:tcPr>
          <w:p>
            <w:pPr>
              <w:jc w:val="right"/>
              <w:rPr>
                <w:b/>
                <w:sz w:val="18"/>
                <w:szCs w:val="18"/>
                <w:highlight w:val="none"/>
              </w:rPr>
            </w:pPr>
          </w:p>
        </w:tc>
        <w:tc>
          <w:tcPr>
            <w:tcW w:w="1418" w:type="dxa"/>
            <w:gridSpan w:val="2"/>
            <w:shd w:val="clear" w:color="auto" w:fill="auto"/>
            <w:vAlign w:val="center"/>
          </w:tcPr>
          <w:p>
            <w:pPr>
              <w:jc w:val="right"/>
              <w:rPr>
                <w:b/>
                <w:sz w:val="18"/>
                <w:szCs w:val="18"/>
                <w:highlight w:val="none"/>
              </w:rPr>
            </w:pPr>
          </w:p>
        </w:tc>
        <w:tc>
          <w:tcPr>
            <w:tcW w:w="1417" w:type="dxa"/>
            <w:shd w:val="clear" w:color="auto" w:fill="auto"/>
            <w:vAlign w:val="center"/>
          </w:tcPr>
          <w:p>
            <w:pPr>
              <w:jc w:val="right"/>
              <w:rPr>
                <w:b/>
                <w:sz w:val="18"/>
                <w:szCs w:val="18"/>
                <w:highlight w:val="none"/>
              </w:rPr>
            </w:pPr>
          </w:p>
        </w:tc>
      </w:tr>
    </w:tbl>
    <w:p>
      <w:pPr>
        <w:widowControl/>
        <w:jc w:val="left"/>
        <w:rPr>
          <w:rFonts w:hint="default" w:ascii="仿宋" w:eastAsia="仿宋"/>
          <w:b/>
          <w:color w:val="000000"/>
          <w:szCs w:val="21"/>
          <w:highlight w:val="none"/>
        </w:rPr>
      </w:pPr>
      <w:r>
        <w:rPr>
          <w:rFonts w:hint="eastAsia" w:ascii="仿宋" w:eastAsia="仿宋"/>
          <w:b/>
          <w:color w:val="000000"/>
          <w:szCs w:val="21"/>
          <w:highlight w:val="none"/>
        </w:rPr>
        <w:t>新疆维吾尔自治区无线电监测中心2026年没有使用政府性基金预算拨款安排的支出，政府性基金预算支出情况表为空表。</w:t>
      </w:r>
    </w:p>
    <w:p>
      <w:pPr>
        <w:widowControl/>
        <w:jc w:val="left"/>
        <w:rPr>
          <w:rFonts w:hint="default" w:ascii="仿宋" w:eastAsia="仿宋"/>
          <w:b/>
          <w:color w:val="000000"/>
          <w:szCs w:val="21"/>
          <w:highlight w:val="none"/>
        </w:rPr>
        <w:sectPr>
          <w:pgSz w:w="11906" w:h="16838"/>
          <w:pgMar w:top="1134" w:right="1134" w:bottom="1134" w:left="1134" w:header="851" w:footer="992" w:gutter="0"/>
          <w:cols w:space="425" w:num="1"/>
          <w:docGrid w:type="lines" w:linePitch="312" w:charSpace="0"/>
        </w:sectPr>
      </w:pPr>
    </w:p>
    <w:p>
      <w:pPr>
        <w:rPr>
          <w:highlight w:val="none"/>
        </w:rPr>
      </w:pPr>
      <w:r>
        <w:rPr>
          <w:rFonts w:hint="eastAsia" w:ascii="宋体" w:hAnsi="宋体"/>
          <w:color w:val="000000"/>
          <w:sz w:val="18"/>
          <w:szCs w:val="18"/>
          <w:highlight w:val="none"/>
        </w:rPr>
        <w:t>表9</w:t>
      </w:r>
    </w:p>
    <w:p>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国有资本经营预算支出情况表</w:t>
      </w:r>
    </w:p>
    <w:tbl>
      <w:tblP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2551"/>
        <w:gridCol w:w="1418"/>
        <w:gridCol w:w="1417"/>
        <w:gridCol w:w="917"/>
        <w:gridCol w:w="50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7971" w:type="dxa"/>
            <w:gridSpan w:val="7"/>
            <w:tcBorders>
              <w:top w:val="nil"/>
              <w:left w:val="nil"/>
              <w:right w:val="nil"/>
            </w:tcBorders>
            <w:shd w:val="clear" w:color="auto" w:fill="auto"/>
            <w:vAlign w:val="center"/>
          </w:tcPr>
          <w:p>
            <w:pPr>
              <w:jc w:val="left"/>
              <w:rPr>
                <w:sz w:val="18"/>
                <w:szCs w:val="18"/>
                <w:highlight w:val="none"/>
              </w:rPr>
            </w:pPr>
            <w:r>
              <w:rPr>
                <w:rFonts w:hint="eastAsia"/>
                <w:color w:val="000000"/>
                <w:sz w:val="18"/>
                <w:szCs w:val="18"/>
                <w:highlight w:val="none"/>
              </w:rPr>
              <w:t>编制单位：新疆维吾尔自治区无线电监测中心</w:t>
            </w:r>
          </w:p>
        </w:tc>
        <w:tc>
          <w:tcPr>
            <w:tcW w:w="1918" w:type="dxa"/>
            <w:gridSpan w:val="2"/>
            <w:tcBorders>
              <w:top w:val="nil"/>
              <w:left w:val="nil"/>
              <w:right w:val="nil"/>
            </w:tcBorders>
            <w:shd w:val="clear" w:color="auto" w:fill="auto"/>
            <w:vAlign w:val="center"/>
          </w:tcPr>
          <w:p>
            <w:pPr>
              <w:jc w:val="right"/>
              <w:rPr>
                <w:sz w:val="18"/>
                <w:szCs w:val="18"/>
                <w:highlight w:val="none"/>
              </w:rPr>
            </w:pPr>
            <w:r>
              <w:rPr>
                <w:rFonts w:hint="eastAsia"/>
                <w:color w:val="000000"/>
                <w:sz w:val="18"/>
                <w:szCs w:val="18"/>
                <w:highlight w:val="none"/>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4219" w:type="dxa"/>
            <w:gridSpan w:val="4"/>
            <w:shd w:val="clear" w:color="auto" w:fill="auto"/>
            <w:vAlign w:val="center"/>
          </w:tcPr>
          <w:p>
            <w:pPr>
              <w:jc w:val="center"/>
              <w:rPr>
                <w:sz w:val="18"/>
                <w:szCs w:val="18"/>
                <w:highlight w:val="none"/>
              </w:rPr>
            </w:pPr>
            <w:r>
              <w:rPr>
                <w:rFonts w:hint="eastAsia"/>
                <w:sz w:val="18"/>
                <w:szCs w:val="18"/>
                <w:highlight w:val="none"/>
              </w:rPr>
              <w:t>科目</w:t>
            </w:r>
          </w:p>
        </w:tc>
        <w:tc>
          <w:tcPr>
            <w:tcW w:w="5670" w:type="dxa"/>
            <w:gridSpan w:val="5"/>
            <w:shd w:val="clear" w:color="auto" w:fill="auto"/>
            <w:vAlign w:val="center"/>
          </w:tcPr>
          <w:p>
            <w:pPr>
              <w:jc w:val="center"/>
              <w:rPr>
                <w:sz w:val="18"/>
                <w:szCs w:val="18"/>
                <w:highlight w:val="none"/>
              </w:rPr>
            </w:pPr>
            <w:r>
              <w:rPr>
                <w:rFonts w:hint="eastAsia"/>
                <w:sz w:val="18"/>
                <w:szCs w:val="18"/>
                <w:highlight w:val="none"/>
              </w:rPr>
              <w:t>国有资本经营预算支出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0" w:hRule="atLeast"/>
          <w:tblHeader/>
        </w:trPr>
        <w:tc>
          <w:tcPr>
            <w:tcW w:w="1668" w:type="dxa"/>
            <w:gridSpan w:val="3"/>
            <w:shd w:val="clear" w:color="auto" w:fill="auto"/>
            <w:vAlign w:val="center"/>
          </w:tcPr>
          <w:p>
            <w:pPr>
              <w:jc w:val="center"/>
              <w:rPr>
                <w:sz w:val="18"/>
                <w:szCs w:val="18"/>
                <w:highlight w:val="none"/>
              </w:rPr>
            </w:pPr>
            <w:r>
              <w:rPr>
                <w:rFonts w:hint="eastAsia"/>
                <w:sz w:val="18"/>
                <w:szCs w:val="18"/>
                <w:highlight w:val="none"/>
              </w:rPr>
              <w:t>科目代码</w:t>
            </w:r>
          </w:p>
        </w:tc>
        <w:tc>
          <w:tcPr>
            <w:tcW w:w="2551" w:type="dxa"/>
            <w:vMerge w:val="restart"/>
            <w:shd w:val="clear" w:color="auto" w:fill="auto"/>
            <w:vAlign w:val="center"/>
          </w:tcPr>
          <w:p>
            <w:pPr>
              <w:jc w:val="center"/>
              <w:rPr>
                <w:sz w:val="18"/>
                <w:szCs w:val="18"/>
                <w:highlight w:val="none"/>
              </w:rPr>
            </w:pPr>
            <w:r>
              <w:rPr>
                <w:rFonts w:hint="eastAsia"/>
                <w:sz w:val="18"/>
                <w:szCs w:val="18"/>
                <w:highlight w:val="none"/>
              </w:rPr>
              <w:t>科目名称</w:t>
            </w:r>
          </w:p>
        </w:tc>
        <w:tc>
          <w:tcPr>
            <w:tcW w:w="1418" w:type="dxa"/>
            <w:vMerge w:val="restart"/>
            <w:shd w:val="clear" w:color="auto" w:fill="auto"/>
            <w:vAlign w:val="center"/>
          </w:tcPr>
          <w:p>
            <w:pPr>
              <w:jc w:val="center"/>
              <w:rPr>
                <w:sz w:val="18"/>
                <w:szCs w:val="18"/>
                <w:highlight w:val="none"/>
              </w:rPr>
            </w:pPr>
            <w:r>
              <w:rPr>
                <w:rFonts w:hint="eastAsia"/>
                <w:sz w:val="18"/>
                <w:szCs w:val="18"/>
                <w:highlight w:val="none"/>
              </w:rPr>
              <w:t>合计</w:t>
            </w:r>
          </w:p>
        </w:tc>
        <w:tc>
          <w:tcPr>
            <w:tcW w:w="2835" w:type="dxa"/>
            <w:gridSpan w:val="3"/>
            <w:shd w:val="clear" w:color="auto" w:fill="auto"/>
            <w:vAlign w:val="center"/>
          </w:tcPr>
          <w:p>
            <w:pPr>
              <w:jc w:val="center"/>
              <w:rPr>
                <w:sz w:val="18"/>
                <w:szCs w:val="18"/>
                <w:highlight w:val="none"/>
              </w:rPr>
            </w:pPr>
            <w:r>
              <w:rPr>
                <w:rFonts w:hint="eastAsia"/>
                <w:sz w:val="18"/>
                <w:szCs w:val="18"/>
                <w:highlight w:val="none"/>
              </w:rPr>
              <w:t>基本支出</w:t>
            </w:r>
          </w:p>
        </w:tc>
        <w:tc>
          <w:tcPr>
            <w:tcW w:w="1417" w:type="dxa"/>
            <w:vMerge w:val="restart"/>
            <w:shd w:val="clear" w:color="auto" w:fill="auto"/>
            <w:vAlign w:val="center"/>
          </w:tcPr>
          <w:p>
            <w:pPr>
              <w:jc w:val="center"/>
              <w:rPr>
                <w:sz w:val="18"/>
                <w:szCs w:val="18"/>
                <w:highlight w:val="none"/>
              </w:rPr>
            </w:pPr>
            <w:r>
              <w:rPr>
                <w:rFonts w:hint="eastAsia"/>
                <w:sz w:val="18"/>
                <w:szCs w:val="18"/>
                <w:highlight w:val="none"/>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10" w:hRule="atLeast"/>
          <w:tblHeader/>
        </w:trPr>
        <w:tc>
          <w:tcPr>
            <w:tcW w:w="534" w:type="dxa"/>
            <w:shd w:val="clear" w:color="auto" w:fill="auto"/>
            <w:vAlign w:val="center"/>
          </w:tcPr>
          <w:p>
            <w:pPr>
              <w:jc w:val="center"/>
              <w:rPr>
                <w:sz w:val="18"/>
                <w:szCs w:val="18"/>
                <w:highlight w:val="none"/>
              </w:rPr>
            </w:pPr>
            <w:r>
              <w:rPr>
                <w:rFonts w:hint="eastAsia"/>
                <w:sz w:val="18"/>
                <w:szCs w:val="18"/>
                <w:highlight w:val="none"/>
              </w:rPr>
              <w:t>类</w:t>
            </w:r>
          </w:p>
        </w:tc>
        <w:tc>
          <w:tcPr>
            <w:tcW w:w="567" w:type="dxa"/>
            <w:shd w:val="clear" w:color="auto" w:fill="auto"/>
            <w:vAlign w:val="center"/>
          </w:tcPr>
          <w:p>
            <w:pPr>
              <w:jc w:val="center"/>
              <w:rPr>
                <w:sz w:val="18"/>
                <w:szCs w:val="18"/>
                <w:highlight w:val="none"/>
              </w:rPr>
            </w:pPr>
            <w:r>
              <w:rPr>
                <w:rFonts w:hint="eastAsia"/>
                <w:sz w:val="18"/>
                <w:szCs w:val="18"/>
                <w:highlight w:val="none"/>
              </w:rPr>
              <w:t>款</w:t>
            </w:r>
          </w:p>
        </w:tc>
        <w:tc>
          <w:tcPr>
            <w:tcW w:w="567" w:type="dxa"/>
            <w:shd w:val="clear" w:color="auto" w:fill="auto"/>
            <w:vAlign w:val="center"/>
          </w:tcPr>
          <w:p>
            <w:pPr>
              <w:jc w:val="center"/>
              <w:rPr>
                <w:sz w:val="18"/>
                <w:szCs w:val="18"/>
                <w:highlight w:val="none"/>
              </w:rPr>
            </w:pPr>
            <w:r>
              <w:rPr>
                <w:rFonts w:hint="eastAsia"/>
                <w:sz w:val="18"/>
                <w:szCs w:val="18"/>
                <w:highlight w:val="none"/>
              </w:rPr>
              <w:t>项</w:t>
            </w:r>
          </w:p>
        </w:tc>
        <w:tc>
          <w:tcPr>
            <w:tcW w:w="2551" w:type="dxa"/>
            <w:vMerge w:val="continue"/>
            <w:shd w:val="clear" w:color="auto" w:fill="auto"/>
            <w:vAlign w:val="center"/>
          </w:tcPr>
          <w:p>
            <w:pPr>
              <w:jc w:val="center"/>
              <w:rPr>
                <w:sz w:val="18"/>
                <w:szCs w:val="18"/>
                <w:highlight w:val="none"/>
              </w:rPr>
            </w:pPr>
          </w:p>
        </w:tc>
        <w:tc>
          <w:tcPr>
            <w:tcW w:w="1418" w:type="dxa"/>
            <w:vMerge w:val="continue"/>
            <w:shd w:val="clear" w:color="auto" w:fill="auto"/>
            <w:vAlign w:val="center"/>
          </w:tcPr>
          <w:p>
            <w:pPr>
              <w:jc w:val="center"/>
              <w:rPr>
                <w:sz w:val="18"/>
                <w:szCs w:val="18"/>
                <w:highlight w:val="none"/>
              </w:rPr>
            </w:pPr>
          </w:p>
        </w:tc>
        <w:tc>
          <w:tcPr>
            <w:tcW w:w="1417" w:type="dxa"/>
            <w:shd w:val="clear" w:color="auto" w:fill="auto"/>
            <w:vAlign w:val="center"/>
          </w:tcPr>
          <w:p>
            <w:pPr>
              <w:jc w:val="center"/>
              <w:rPr>
                <w:sz w:val="18"/>
                <w:szCs w:val="18"/>
                <w:highlight w:val="none"/>
              </w:rPr>
            </w:pPr>
            <w:r>
              <w:rPr>
                <w:rFonts w:hint="eastAsia"/>
                <w:sz w:val="18"/>
                <w:szCs w:val="18"/>
                <w:highlight w:val="none"/>
              </w:rPr>
              <w:t>人员经费</w:t>
            </w:r>
          </w:p>
        </w:tc>
        <w:tc>
          <w:tcPr>
            <w:tcW w:w="1418" w:type="dxa"/>
            <w:gridSpan w:val="2"/>
            <w:shd w:val="clear" w:color="auto" w:fill="auto"/>
            <w:vAlign w:val="center"/>
          </w:tcPr>
          <w:p>
            <w:pPr>
              <w:jc w:val="center"/>
              <w:rPr>
                <w:sz w:val="18"/>
                <w:szCs w:val="18"/>
                <w:highlight w:val="none"/>
              </w:rPr>
            </w:pPr>
            <w:r>
              <w:rPr>
                <w:rFonts w:hint="eastAsia"/>
                <w:sz w:val="18"/>
                <w:szCs w:val="18"/>
                <w:highlight w:val="none"/>
              </w:rPr>
              <w:t>公用经费</w:t>
            </w:r>
          </w:p>
        </w:tc>
        <w:tc>
          <w:tcPr>
            <w:tcW w:w="1417" w:type="dxa"/>
            <w:vMerge w:val="continue"/>
            <w:shd w:val="clear" w:color="auto" w:fill="auto"/>
            <w:vAlign w:val="center"/>
          </w:tcPr>
          <w:p>
            <w:pPr>
              <w:jc w:val="center"/>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highlight w:val="none"/>
              </w:rPr>
            </w:pPr>
          </w:p>
        </w:tc>
        <w:tc>
          <w:tcPr>
            <w:tcW w:w="567" w:type="dxa"/>
            <w:shd w:val="clear" w:color="auto" w:fill="auto"/>
            <w:vAlign w:val="center"/>
          </w:tcPr>
          <w:p>
            <w:pPr>
              <w:jc w:val="center"/>
              <w:rPr>
                <w:sz w:val="18"/>
                <w:szCs w:val="18"/>
                <w:highlight w:val="none"/>
              </w:rPr>
            </w:pPr>
          </w:p>
        </w:tc>
        <w:tc>
          <w:tcPr>
            <w:tcW w:w="567" w:type="dxa"/>
            <w:shd w:val="clear" w:color="auto" w:fill="auto"/>
            <w:vAlign w:val="center"/>
          </w:tcPr>
          <w:p>
            <w:pPr>
              <w:jc w:val="center"/>
              <w:rPr>
                <w:sz w:val="18"/>
                <w:szCs w:val="18"/>
                <w:highlight w:val="none"/>
              </w:rPr>
            </w:pPr>
          </w:p>
        </w:tc>
        <w:tc>
          <w:tcPr>
            <w:tcW w:w="2551" w:type="dxa"/>
            <w:shd w:val="clear" w:color="auto" w:fill="auto"/>
            <w:vAlign w:val="center"/>
          </w:tcPr>
          <w:p>
            <w:pPr>
              <w:jc w:val="left"/>
              <w:rPr>
                <w:sz w:val="18"/>
                <w:szCs w:val="18"/>
                <w:highlight w:val="none"/>
              </w:rPr>
            </w:pPr>
          </w:p>
        </w:tc>
        <w:tc>
          <w:tcPr>
            <w:tcW w:w="1418" w:type="dxa"/>
            <w:shd w:val="clear" w:color="auto" w:fill="auto"/>
            <w:vAlign w:val="center"/>
          </w:tcPr>
          <w:p>
            <w:pPr>
              <w:jc w:val="right"/>
              <w:rPr>
                <w:sz w:val="18"/>
                <w:szCs w:val="18"/>
                <w:highlight w:val="none"/>
              </w:rPr>
            </w:pPr>
          </w:p>
        </w:tc>
        <w:tc>
          <w:tcPr>
            <w:tcW w:w="1417" w:type="dxa"/>
            <w:shd w:val="clear" w:color="auto" w:fill="auto"/>
            <w:vAlign w:val="center"/>
          </w:tcPr>
          <w:p>
            <w:pPr>
              <w:jc w:val="right"/>
              <w:rPr>
                <w:sz w:val="18"/>
                <w:szCs w:val="18"/>
                <w:highlight w:val="none"/>
              </w:rPr>
            </w:pPr>
          </w:p>
        </w:tc>
        <w:tc>
          <w:tcPr>
            <w:tcW w:w="1418" w:type="dxa"/>
            <w:gridSpan w:val="2"/>
            <w:shd w:val="clear" w:color="auto" w:fill="auto"/>
            <w:vAlign w:val="center"/>
          </w:tcPr>
          <w:p>
            <w:pPr>
              <w:jc w:val="right"/>
              <w:rPr>
                <w:sz w:val="18"/>
                <w:szCs w:val="18"/>
                <w:highlight w:val="none"/>
              </w:rPr>
            </w:pPr>
          </w:p>
        </w:tc>
        <w:tc>
          <w:tcPr>
            <w:tcW w:w="1417"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highlight w:val="none"/>
              </w:rPr>
            </w:pPr>
          </w:p>
        </w:tc>
        <w:tc>
          <w:tcPr>
            <w:tcW w:w="567" w:type="dxa"/>
            <w:shd w:val="clear" w:color="auto" w:fill="auto"/>
            <w:vAlign w:val="center"/>
          </w:tcPr>
          <w:p>
            <w:pPr>
              <w:jc w:val="center"/>
              <w:rPr>
                <w:sz w:val="18"/>
                <w:szCs w:val="18"/>
                <w:highlight w:val="none"/>
              </w:rPr>
            </w:pPr>
          </w:p>
        </w:tc>
        <w:tc>
          <w:tcPr>
            <w:tcW w:w="567" w:type="dxa"/>
            <w:shd w:val="clear" w:color="auto" w:fill="auto"/>
            <w:vAlign w:val="center"/>
          </w:tcPr>
          <w:p>
            <w:pPr>
              <w:jc w:val="center"/>
              <w:rPr>
                <w:sz w:val="18"/>
                <w:szCs w:val="18"/>
                <w:highlight w:val="none"/>
              </w:rPr>
            </w:pPr>
          </w:p>
        </w:tc>
        <w:tc>
          <w:tcPr>
            <w:tcW w:w="2551" w:type="dxa"/>
            <w:shd w:val="clear" w:color="auto" w:fill="auto"/>
            <w:vAlign w:val="center"/>
          </w:tcPr>
          <w:p>
            <w:pPr>
              <w:jc w:val="left"/>
              <w:rPr>
                <w:sz w:val="18"/>
                <w:szCs w:val="18"/>
                <w:highlight w:val="none"/>
              </w:rPr>
            </w:pPr>
          </w:p>
        </w:tc>
        <w:tc>
          <w:tcPr>
            <w:tcW w:w="1418" w:type="dxa"/>
            <w:shd w:val="clear" w:color="auto" w:fill="auto"/>
            <w:vAlign w:val="center"/>
          </w:tcPr>
          <w:p>
            <w:pPr>
              <w:jc w:val="right"/>
              <w:rPr>
                <w:sz w:val="18"/>
                <w:szCs w:val="18"/>
                <w:highlight w:val="none"/>
              </w:rPr>
            </w:pPr>
          </w:p>
        </w:tc>
        <w:tc>
          <w:tcPr>
            <w:tcW w:w="1417" w:type="dxa"/>
            <w:shd w:val="clear" w:color="auto" w:fill="auto"/>
            <w:vAlign w:val="center"/>
          </w:tcPr>
          <w:p>
            <w:pPr>
              <w:jc w:val="right"/>
              <w:rPr>
                <w:sz w:val="18"/>
                <w:szCs w:val="18"/>
                <w:highlight w:val="none"/>
              </w:rPr>
            </w:pPr>
          </w:p>
        </w:tc>
        <w:tc>
          <w:tcPr>
            <w:tcW w:w="1418" w:type="dxa"/>
            <w:gridSpan w:val="2"/>
            <w:shd w:val="clear" w:color="auto" w:fill="auto"/>
            <w:vAlign w:val="center"/>
          </w:tcPr>
          <w:p>
            <w:pPr>
              <w:jc w:val="right"/>
              <w:rPr>
                <w:sz w:val="18"/>
                <w:szCs w:val="18"/>
                <w:highlight w:val="none"/>
              </w:rPr>
            </w:pPr>
          </w:p>
        </w:tc>
        <w:tc>
          <w:tcPr>
            <w:tcW w:w="1417"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highlight w:val="none"/>
              </w:rPr>
            </w:pPr>
          </w:p>
        </w:tc>
        <w:tc>
          <w:tcPr>
            <w:tcW w:w="567" w:type="dxa"/>
            <w:shd w:val="clear" w:color="auto" w:fill="auto"/>
            <w:vAlign w:val="center"/>
          </w:tcPr>
          <w:p>
            <w:pPr>
              <w:jc w:val="center"/>
              <w:rPr>
                <w:sz w:val="18"/>
                <w:szCs w:val="18"/>
                <w:highlight w:val="none"/>
              </w:rPr>
            </w:pPr>
          </w:p>
        </w:tc>
        <w:tc>
          <w:tcPr>
            <w:tcW w:w="567" w:type="dxa"/>
            <w:shd w:val="clear" w:color="auto" w:fill="auto"/>
            <w:vAlign w:val="center"/>
          </w:tcPr>
          <w:p>
            <w:pPr>
              <w:jc w:val="center"/>
              <w:rPr>
                <w:sz w:val="18"/>
                <w:szCs w:val="18"/>
                <w:highlight w:val="none"/>
              </w:rPr>
            </w:pPr>
          </w:p>
        </w:tc>
        <w:tc>
          <w:tcPr>
            <w:tcW w:w="2551" w:type="dxa"/>
            <w:shd w:val="clear" w:color="auto" w:fill="auto"/>
            <w:vAlign w:val="center"/>
          </w:tcPr>
          <w:p>
            <w:pPr>
              <w:jc w:val="left"/>
              <w:rPr>
                <w:sz w:val="18"/>
                <w:szCs w:val="18"/>
                <w:highlight w:val="none"/>
              </w:rPr>
            </w:pPr>
          </w:p>
        </w:tc>
        <w:tc>
          <w:tcPr>
            <w:tcW w:w="1418" w:type="dxa"/>
            <w:shd w:val="clear" w:color="auto" w:fill="auto"/>
            <w:vAlign w:val="center"/>
          </w:tcPr>
          <w:p>
            <w:pPr>
              <w:jc w:val="right"/>
              <w:rPr>
                <w:sz w:val="18"/>
                <w:szCs w:val="18"/>
                <w:highlight w:val="none"/>
              </w:rPr>
            </w:pPr>
          </w:p>
        </w:tc>
        <w:tc>
          <w:tcPr>
            <w:tcW w:w="1417" w:type="dxa"/>
            <w:shd w:val="clear" w:color="auto" w:fill="auto"/>
            <w:vAlign w:val="center"/>
          </w:tcPr>
          <w:p>
            <w:pPr>
              <w:jc w:val="right"/>
              <w:rPr>
                <w:sz w:val="18"/>
                <w:szCs w:val="18"/>
                <w:highlight w:val="none"/>
              </w:rPr>
            </w:pPr>
          </w:p>
        </w:tc>
        <w:tc>
          <w:tcPr>
            <w:tcW w:w="1418" w:type="dxa"/>
            <w:gridSpan w:val="2"/>
            <w:shd w:val="clear" w:color="auto" w:fill="auto"/>
            <w:vAlign w:val="center"/>
          </w:tcPr>
          <w:p>
            <w:pPr>
              <w:jc w:val="right"/>
              <w:rPr>
                <w:sz w:val="18"/>
                <w:szCs w:val="18"/>
                <w:highlight w:val="none"/>
              </w:rPr>
            </w:pPr>
          </w:p>
        </w:tc>
        <w:tc>
          <w:tcPr>
            <w:tcW w:w="1417"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highlight w:val="none"/>
              </w:rPr>
            </w:pPr>
          </w:p>
        </w:tc>
        <w:tc>
          <w:tcPr>
            <w:tcW w:w="567" w:type="dxa"/>
            <w:shd w:val="clear" w:color="auto" w:fill="auto"/>
            <w:vAlign w:val="center"/>
          </w:tcPr>
          <w:p>
            <w:pPr>
              <w:jc w:val="center"/>
              <w:rPr>
                <w:sz w:val="18"/>
                <w:szCs w:val="18"/>
                <w:highlight w:val="none"/>
              </w:rPr>
            </w:pPr>
          </w:p>
        </w:tc>
        <w:tc>
          <w:tcPr>
            <w:tcW w:w="567" w:type="dxa"/>
            <w:shd w:val="clear" w:color="auto" w:fill="auto"/>
            <w:vAlign w:val="center"/>
          </w:tcPr>
          <w:p>
            <w:pPr>
              <w:jc w:val="center"/>
              <w:rPr>
                <w:sz w:val="18"/>
                <w:szCs w:val="18"/>
                <w:highlight w:val="none"/>
              </w:rPr>
            </w:pPr>
          </w:p>
        </w:tc>
        <w:tc>
          <w:tcPr>
            <w:tcW w:w="2551" w:type="dxa"/>
            <w:shd w:val="clear" w:color="auto" w:fill="auto"/>
            <w:vAlign w:val="center"/>
          </w:tcPr>
          <w:p>
            <w:pPr>
              <w:jc w:val="left"/>
              <w:rPr>
                <w:sz w:val="18"/>
                <w:szCs w:val="18"/>
                <w:highlight w:val="none"/>
              </w:rPr>
            </w:pPr>
          </w:p>
        </w:tc>
        <w:tc>
          <w:tcPr>
            <w:tcW w:w="1418" w:type="dxa"/>
            <w:shd w:val="clear" w:color="auto" w:fill="auto"/>
            <w:vAlign w:val="center"/>
          </w:tcPr>
          <w:p>
            <w:pPr>
              <w:jc w:val="right"/>
              <w:rPr>
                <w:sz w:val="18"/>
                <w:szCs w:val="18"/>
                <w:highlight w:val="none"/>
              </w:rPr>
            </w:pPr>
          </w:p>
        </w:tc>
        <w:tc>
          <w:tcPr>
            <w:tcW w:w="1417" w:type="dxa"/>
            <w:shd w:val="clear" w:color="auto" w:fill="auto"/>
            <w:vAlign w:val="center"/>
          </w:tcPr>
          <w:p>
            <w:pPr>
              <w:jc w:val="right"/>
              <w:rPr>
                <w:sz w:val="18"/>
                <w:szCs w:val="18"/>
                <w:highlight w:val="none"/>
              </w:rPr>
            </w:pPr>
          </w:p>
        </w:tc>
        <w:tc>
          <w:tcPr>
            <w:tcW w:w="1418" w:type="dxa"/>
            <w:gridSpan w:val="2"/>
            <w:shd w:val="clear" w:color="auto" w:fill="auto"/>
            <w:vAlign w:val="center"/>
          </w:tcPr>
          <w:p>
            <w:pPr>
              <w:jc w:val="right"/>
              <w:rPr>
                <w:sz w:val="18"/>
                <w:szCs w:val="18"/>
                <w:highlight w:val="none"/>
              </w:rPr>
            </w:pPr>
          </w:p>
        </w:tc>
        <w:tc>
          <w:tcPr>
            <w:tcW w:w="1417"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b/>
                <w:sz w:val="18"/>
                <w:szCs w:val="18"/>
                <w:highlight w:val="none"/>
              </w:rPr>
            </w:pPr>
          </w:p>
        </w:tc>
        <w:tc>
          <w:tcPr>
            <w:tcW w:w="567" w:type="dxa"/>
            <w:shd w:val="clear" w:color="auto" w:fill="auto"/>
            <w:vAlign w:val="center"/>
          </w:tcPr>
          <w:p>
            <w:pPr>
              <w:jc w:val="center"/>
              <w:rPr>
                <w:b/>
                <w:sz w:val="18"/>
                <w:szCs w:val="18"/>
                <w:highlight w:val="none"/>
              </w:rPr>
            </w:pPr>
          </w:p>
        </w:tc>
        <w:tc>
          <w:tcPr>
            <w:tcW w:w="567" w:type="dxa"/>
            <w:shd w:val="clear" w:color="auto" w:fill="auto"/>
            <w:vAlign w:val="center"/>
          </w:tcPr>
          <w:p>
            <w:pPr>
              <w:jc w:val="center"/>
              <w:rPr>
                <w:b/>
                <w:sz w:val="18"/>
                <w:szCs w:val="18"/>
                <w:highlight w:val="none"/>
              </w:rPr>
            </w:pPr>
          </w:p>
        </w:tc>
        <w:tc>
          <w:tcPr>
            <w:tcW w:w="2551" w:type="dxa"/>
            <w:shd w:val="clear" w:color="auto" w:fill="auto"/>
            <w:vAlign w:val="center"/>
          </w:tcPr>
          <w:p>
            <w:pPr>
              <w:jc w:val="center"/>
              <w:rPr>
                <w:b/>
                <w:sz w:val="18"/>
                <w:szCs w:val="18"/>
                <w:highlight w:val="none"/>
              </w:rPr>
            </w:pPr>
            <w:r>
              <w:rPr>
                <w:rFonts w:hint="default" w:ascii="宋体" w:hAnsi="宋体"/>
                <w:b/>
                <w:kern w:val="0"/>
                <w:sz w:val="18"/>
                <w:szCs w:val="18"/>
                <w:highlight w:val="none"/>
              </w:rPr>
              <w:t>总计</w:t>
            </w:r>
          </w:p>
        </w:tc>
        <w:tc>
          <w:tcPr>
            <w:tcW w:w="1418" w:type="dxa"/>
            <w:shd w:val="clear" w:color="auto" w:fill="auto"/>
            <w:vAlign w:val="center"/>
          </w:tcPr>
          <w:p>
            <w:pPr>
              <w:jc w:val="right"/>
              <w:rPr>
                <w:b/>
                <w:sz w:val="18"/>
                <w:szCs w:val="18"/>
                <w:highlight w:val="none"/>
              </w:rPr>
            </w:pPr>
          </w:p>
        </w:tc>
        <w:tc>
          <w:tcPr>
            <w:tcW w:w="1417" w:type="dxa"/>
            <w:shd w:val="clear" w:color="auto" w:fill="auto"/>
            <w:vAlign w:val="center"/>
          </w:tcPr>
          <w:p>
            <w:pPr>
              <w:jc w:val="right"/>
              <w:rPr>
                <w:b/>
                <w:sz w:val="18"/>
                <w:szCs w:val="18"/>
                <w:highlight w:val="none"/>
              </w:rPr>
            </w:pPr>
          </w:p>
        </w:tc>
        <w:tc>
          <w:tcPr>
            <w:tcW w:w="1418" w:type="dxa"/>
            <w:gridSpan w:val="2"/>
            <w:shd w:val="clear" w:color="auto" w:fill="auto"/>
            <w:vAlign w:val="center"/>
          </w:tcPr>
          <w:p>
            <w:pPr>
              <w:jc w:val="right"/>
              <w:rPr>
                <w:b/>
                <w:sz w:val="18"/>
                <w:szCs w:val="18"/>
                <w:highlight w:val="none"/>
              </w:rPr>
            </w:pPr>
          </w:p>
        </w:tc>
        <w:tc>
          <w:tcPr>
            <w:tcW w:w="1417" w:type="dxa"/>
            <w:shd w:val="clear" w:color="auto" w:fill="auto"/>
            <w:vAlign w:val="center"/>
          </w:tcPr>
          <w:p>
            <w:pPr>
              <w:jc w:val="right"/>
              <w:rPr>
                <w:b/>
                <w:sz w:val="18"/>
                <w:szCs w:val="18"/>
                <w:highlight w:val="none"/>
              </w:rPr>
            </w:pPr>
          </w:p>
        </w:tc>
      </w:tr>
    </w:tbl>
    <w:p>
      <w:pPr>
        <w:widowControl/>
        <w:jc w:val="left"/>
        <w:rPr>
          <w:rFonts w:hint="default" w:ascii="仿宋" w:eastAsia="仿宋"/>
          <w:b/>
          <w:color w:val="000000"/>
          <w:szCs w:val="21"/>
          <w:highlight w:val="none"/>
        </w:rPr>
      </w:pPr>
      <w:r>
        <w:rPr>
          <w:rFonts w:hint="eastAsia" w:ascii="仿宋" w:eastAsia="仿宋"/>
          <w:b/>
          <w:color w:val="000000"/>
          <w:szCs w:val="21"/>
          <w:highlight w:val="none"/>
        </w:rPr>
        <w:t>新疆维吾尔自治区无线电监测中心2026年没有使用国有资本经营预算拨款安排的支出，国有资本经营预算支出情况表为空表。</w:t>
      </w:r>
    </w:p>
    <w:p>
      <w:pPr>
        <w:widowControl/>
        <w:jc w:val="left"/>
        <w:rPr>
          <w:rFonts w:hint="default" w:ascii="仿宋" w:eastAsia="仿宋"/>
          <w:b/>
          <w:color w:val="000000"/>
          <w:szCs w:val="21"/>
          <w:highlight w:val="none"/>
        </w:rPr>
        <w:sectPr>
          <w:pgSz w:w="11906" w:h="16838"/>
          <w:pgMar w:top="1134" w:right="1134" w:bottom="1134" w:left="1134" w:header="851" w:footer="992" w:gutter="0"/>
          <w:cols w:space="425" w:num="1"/>
          <w:docGrid w:type="lines" w:linePitch="312" w:charSpace="0"/>
        </w:sectPr>
      </w:pPr>
    </w:p>
    <w:p>
      <w:pPr>
        <w:rPr>
          <w:highlight w:val="none"/>
        </w:rPr>
      </w:pPr>
      <w:r>
        <w:rPr>
          <w:rFonts w:hint="eastAsia" w:ascii="宋体" w:hAnsi="宋体"/>
          <w:color w:val="000000"/>
          <w:sz w:val="18"/>
          <w:szCs w:val="18"/>
          <w:highlight w:val="none"/>
        </w:rPr>
        <w:t>表10</w:t>
      </w:r>
    </w:p>
    <w:p>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财政拨款“三公”经费支出情况表</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4327"/>
        <w:gridCol w:w="1407"/>
        <w:gridCol w:w="1407"/>
        <w:gridCol w:w="1407"/>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9720" w:type="dxa"/>
            <w:gridSpan w:val="4"/>
            <w:tcBorders>
              <w:top w:val="nil"/>
              <w:left w:val="nil"/>
              <w:right w:val="nil"/>
            </w:tcBorders>
            <w:shd w:val="clear" w:color="auto" w:fill="auto"/>
            <w:vAlign w:val="center"/>
          </w:tcPr>
          <w:p>
            <w:pPr>
              <w:jc w:val="left"/>
              <w:rPr>
                <w:rFonts w:hint="default" w:ascii="宋体" w:hAnsi="宋体"/>
                <w:sz w:val="18"/>
                <w:szCs w:val="18"/>
                <w:highlight w:val="none"/>
              </w:rPr>
            </w:pPr>
            <w:r>
              <w:rPr>
                <w:rFonts w:hint="eastAsia"/>
                <w:color w:val="000000"/>
                <w:sz w:val="18"/>
                <w:szCs w:val="18"/>
                <w:highlight w:val="none"/>
              </w:rPr>
              <w:t>编制单位：新疆维吾尔自治区无线电监测中心</w:t>
            </w:r>
          </w:p>
        </w:tc>
        <w:tc>
          <w:tcPr>
            <w:tcW w:w="1600" w:type="dxa"/>
            <w:tcBorders>
              <w:top w:val="nil"/>
              <w:left w:val="nil"/>
              <w:right w:val="nil"/>
            </w:tcBorders>
            <w:shd w:val="clear" w:color="auto" w:fill="auto"/>
            <w:vAlign w:val="center"/>
          </w:tcPr>
          <w:p>
            <w:pPr>
              <w:jc w:val="right"/>
              <w:rPr>
                <w:rFonts w:hint="default" w:ascii="宋体" w:hAnsi="宋体"/>
                <w:sz w:val="18"/>
                <w:szCs w:val="18"/>
                <w:highlight w:val="none"/>
              </w:rPr>
            </w:pPr>
            <w:r>
              <w:rPr>
                <w:rFonts w:hint="eastAsia"/>
                <w:color w:val="000000"/>
                <w:sz w:val="18"/>
                <w:szCs w:val="18"/>
                <w:highlight w:val="none"/>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4920" w:type="dxa"/>
            <w:vMerge w:val="restart"/>
            <w:shd w:val="clear" w:color="auto" w:fill="auto"/>
            <w:vAlign w:val="center"/>
          </w:tcPr>
          <w:p>
            <w:pPr>
              <w:jc w:val="center"/>
              <w:rPr>
                <w:rFonts w:hint="default" w:ascii="宋体" w:hAnsi="宋体"/>
                <w:color w:val="000000"/>
                <w:sz w:val="18"/>
                <w:szCs w:val="18"/>
                <w:highlight w:val="none"/>
              </w:rPr>
            </w:pPr>
            <w:r>
              <w:rPr>
                <w:rFonts w:hint="eastAsia" w:ascii="宋体" w:hAnsi="宋体"/>
                <w:color w:val="000000"/>
                <w:sz w:val="18"/>
                <w:szCs w:val="18"/>
                <w:highlight w:val="none"/>
              </w:rPr>
              <w:t>“三公”经费支出内容</w:t>
            </w:r>
          </w:p>
        </w:tc>
        <w:tc>
          <w:tcPr>
            <w:tcW w:w="1600" w:type="dxa"/>
            <w:vMerge w:val="restart"/>
            <w:shd w:val="clear" w:color="auto" w:fill="auto"/>
            <w:vAlign w:val="center"/>
          </w:tcPr>
          <w:p>
            <w:pPr>
              <w:jc w:val="center"/>
              <w:rPr>
                <w:rFonts w:hint="default" w:ascii="宋体" w:hAnsi="宋体"/>
                <w:color w:val="000000"/>
                <w:sz w:val="18"/>
                <w:szCs w:val="18"/>
                <w:highlight w:val="none"/>
              </w:rPr>
            </w:pPr>
            <w:r>
              <w:rPr>
                <w:rFonts w:hint="eastAsia" w:ascii="宋体" w:hAnsi="宋体"/>
                <w:sz w:val="18"/>
                <w:szCs w:val="18"/>
                <w:highlight w:val="none"/>
              </w:rPr>
              <w:t>合计</w:t>
            </w:r>
          </w:p>
        </w:tc>
        <w:tc>
          <w:tcPr>
            <w:tcW w:w="4800" w:type="dxa"/>
            <w:gridSpan w:val="3"/>
            <w:shd w:val="clear" w:color="auto" w:fill="auto"/>
            <w:vAlign w:val="center"/>
          </w:tcPr>
          <w:p>
            <w:pPr>
              <w:jc w:val="center"/>
              <w:rPr>
                <w:rFonts w:hint="default" w:ascii="宋体" w:hAnsi="宋体"/>
                <w:color w:val="000000"/>
                <w:sz w:val="18"/>
                <w:szCs w:val="18"/>
                <w:highlight w:val="none"/>
              </w:rPr>
            </w:pPr>
            <w:r>
              <w:rPr>
                <w:rFonts w:hint="eastAsia"/>
                <w:sz w:val="18"/>
                <w:szCs w:val="18"/>
                <w:highlight w:val="none"/>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421" w:hRule="atLeast"/>
          <w:tblHeader/>
          <w:jc w:val="center"/>
        </w:trPr>
        <w:tc>
          <w:tcPr>
            <w:tcW w:w="4920" w:type="dxa"/>
            <w:vMerge w:val="continue"/>
            <w:shd w:val="clear" w:color="auto" w:fill="auto"/>
            <w:vAlign w:val="center"/>
          </w:tcPr>
          <w:p>
            <w:pPr>
              <w:jc w:val="center"/>
              <w:rPr>
                <w:rFonts w:hint="default" w:ascii="宋体" w:hAnsi="宋体"/>
                <w:color w:val="000000"/>
                <w:sz w:val="18"/>
                <w:szCs w:val="18"/>
                <w:highlight w:val="none"/>
              </w:rPr>
            </w:pPr>
          </w:p>
        </w:tc>
        <w:tc>
          <w:tcPr>
            <w:tcW w:w="1600" w:type="dxa"/>
            <w:vMerge w:val="continue"/>
            <w:shd w:val="clear" w:color="auto" w:fill="auto"/>
            <w:vAlign w:val="center"/>
          </w:tcPr>
          <w:p>
            <w:pPr>
              <w:jc w:val="center"/>
              <w:rPr>
                <w:rFonts w:hint="default" w:ascii="宋体" w:hAnsi="宋体"/>
                <w:color w:val="000000"/>
                <w:sz w:val="18"/>
                <w:szCs w:val="18"/>
                <w:highlight w:val="none"/>
              </w:rPr>
            </w:pPr>
          </w:p>
        </w:tc>
        <w:tc>
          <w:tcPr>
            <w:tcW w:w="1600" w:type="dxa"/>
            <w:shd w:val="clear" w:color="auto" w:fill="auto"/>
            <w:vAlign w:val="center"/>
          </w:tcPr>
          <w:p>
            <w:pPr>
              <w:jc w:val="center"/>
              <w:rPr>
                <w:rFonts w:hint="default" w:ascii="宋体" w:hAnsi="宋体"/>
                <w:sz w:val="18"/>
                <w:szCs w:val="18"/>
                <w:highlight w:val="none"/>
              </w:rPr>
            </w:pPr>
            <w:r>
              <w:rPr>
                <w:rFonts w:hint="eastAsia" w:ascii="宋体" w:hAnsi="宋体"/>
                <w:sz w:val="18"/>
                <w:szCs w:val="18"/>
                <w:highlight w:val="none"/>
              </w:rPr>
              <w:t>一般公共预算</w:t>
            </w:r>
          </w:p>
        </w:tc>
        <w:tc>
          <w:tcPr>
            <w:tcW w:w="1600" w:type="dxa"/>
            <w:shd w:val="clear" w:color="auto" w:fill="auto"/>
            <w:vAlign w:val="center"/>
          </w:tcPr>
          <w:p>
            <w:pPr>
              <w:jc w:val="center"/>
              <w:rPr>
                <w:rFonts w:hint="default" w:ascii="宋体" w:hAnsi="宋体"/>
                <w:sz w:val="18"/>
                <w:szCs w:val="18"/>
                <w:highlight w:val="none"/>
              </w:rPr>
            </w:pPr>
            <w:r>
              <w:rPr>
                <w:rFonts w:hint="eastAsia" w:ascii="宋体" w:hAnsi="宋体"/>
                <w:sz w:val="18"/>
                <w:szCs w:val="18"/>
                <w:highlight w:val="none"/>
              </w:rPr>
              <w:t>政府性基金</w:t>
            </w:r>
          </w:p>
        </w:tc>
        <w:tc>
          <w:tcPr>
            <w:tcW w:w="1600" w:type="dxa"/>
            <w:shd w:val="clear" w:color="auto" w:fill="auto"/>
            <w:vAlign w:val="center"/>
          </w:tcPr>
          <w:p>
            <w:pPr>
              <w:jc w:val="center"/>
              <w:rPr>
                <w:rFonts w:hint="default" w:ascii="宋体" w:hAnsi="宋体"/>
                <w:sz w:val="18"/>
                <w:szCs w:val="18"/>
                <w:highlight w:val="none"/>
              </w:rPr>
            </w:pPr>
            <w:r>
              <w:rPr>
                <w:rFonts w:hint="eastAsia" w:ascii="宋体" w:hAnsi="宋体"/>
                <w:sz w:val="18"/>
                <w:szCs w:val="18"/>
                <w:highlight w:val="none"/>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highlight w:val="none"/>
              </w:rPr>
            </w:pPr>
            <w:r>
              <w:rPr>
                <w:rFonts w:hint="default" w:ascii="宋体" w:hAnsi="宋体"/>
                <w:kern w:val="0"/>
                <w:sz w:val="18"/>
                <w:szCs w:val="18"/>
                <w:highlight w:val="none"/>
              </w:rPr>
              <w:t>因公出国（境）费用</w:t>
            </w:r>
          </w:p>
        </w:tc>
        <w:tc>
          <w:tcPr>
            <w:tcW w:w="1600" w:type="dxa"/>
            <w:shd w:val="clear" w:color="auto" w:fill="auto"/>
            <w:vAlign w:val="center"/>
          </w:tcPr>
          <w:p>
            <w:pPr>
              <w:jc w:val="right"/>
              <w:rPr>
                <w:rFonts w:hint="default" w:ascii="宋体" w:hAnsi="宋体"/>
                <w:color w:val="000000"/>
                <w:sz w:val="18"/>
                <w:szCs w:val="18"/>
                <w:highlight w:val="none"/>
              </w:rPr>
            </w:pPr>
          </w:p>
        </w:tc>
        <w:tc>
          <w:tcPr>
            <w:tcW w:w="1600" w:type="dxa"/>
            <w:shd w:val="clear" w:color="auto" w:fill="auto"/>
            <w:vAlign w:val="center"/>
          </w:tcPr>
          <w:p>
            <w:pPr>
              <w:jc w:val="right"/>
              <w:rPr>
                <w:rFonts w:hint="default" w:ascii="宋体" w:hAnsi="宋体"/>
                <w:color w:val="000000"/>
                <w:sz w:val="18"/>
                <w:szCs w:val="18"/>
                <w:highlight w:val="none"/>
              </w:rPr>
            </w:pPr>
          </w:p>
        </w:tc>
        <w:tc>
          <w:tcPr>
            <w:tcW w:w="1600" w:type="dxa"/>
            <w:shd w:val="clear" w:color="auto" w:fill="auto"/>
            <w:vAlign w:val="center"/>
          </w:tcPr>
          <w:p>
            <w:pPr>
              <w:jc w:val="right"/>
              <w:rPr>
                <w:rFonts w:hint="default" w:ascii="宋体" w:hAnsi="宋体"/>
                <w:color w:val="000000"/>
                <w:sz w:val="18"/>
                <w:szCs w:val="18"/>
                <w:highlight w:val="none"/>
              </w:rPr>
            </w:pPr>
          </w:p>
        </w:tc>
        <w:tc>
          <w:tcPr>
            <w:tcW w:w="160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highlight w:val="none"/>
              </w:rPr>
            </w:pPr>
            <w:r>
              <w:rPr>
                <w:rFonts w:hint="default" w:ascii="宋体" w:hAnsi="宋体"/>
                <w:kern w:val="0"/>
                <w:sz w:val="18"/>
                <w:szCs w:val="18"/>
                <w:highlight w:val="none"/>
              </w:rPr>
              <w:t>公务接待费</w:t>
            </w:r>
          </w:p>
        </w:tc>
        <w:tc>
          <w:tcPr>
            <w:tcW w:w="1600" w:type="dxa"/>
            <w:shd w:val="clear" w:color="auto" w:fill="auto"/>
            <w:vAlign w:val="center"/>
          </w:tcPr>
          <w:p>
            <w:pPr>
              <w:jc w:val="right"/>
              <w:rPr>
                <w:rFonts w:hint="default" w:ascii="宋体" w:hAnsi="宋体"/>
                <w:color w:val="000000"/>
                <w:sz w:val="18"/>
                <w:szCs w:val="18"/>
                <w:highlight w:val="none"/>
              </w:rPr>
            </w:pPr>
          </w:p>
        </w:tc>
        <w:tc>
          <w:tcPr>
            <w:tcW w:w="1600" w:type="dxa"/>
            <w:shd w:val="clear" w:color="auto" w:fill="auto"/>
            <w:vAlign w:val="center"/>
          </w:tcPr>
          <w:p>
            <w:pPr>
              <w:jc w:val="right"/>
              <w:rPr>
                <w:rFonts w:hint="default" w:ascii="宋体" w:hAnsi="宋体"/>
                <w:color w:val="000000"/>
                <w:sz w:val="18"/>
                <w:szCs w:val="18"/>
                <w:highlight w:val="none"/>
              </w:rPr>
            </w:pPr>
          </w:p>
        </w:tc>
        <w:tc>
          <w:tcPr>
            <w:tcW w:w="1600" w:type="dxa"/>
            <w:shd w:val="clear" w:color="auto" w:fill="auto"/>
            <w:vAlign w:val="center"/>
          </w:tcPr>
          <w:p>
            <w:pPr>
              <w:jc w:val="right"/>
              <w:rPr>
                <w:rFonts w:hint="default" w:ascii="宋体" w:hAnsi="宋体"/>
                <w:color w:val="000000"/>
                <w:sz w:val="18"/>
                <w:szCs w:val="18"/>
                <w:highlight w:val="none"/>
              </w:rPr>
            </w:pPr>
          </w:p>
        </w:tc>
        <w:tc>
          <w:tcPr>
            <w:tcW w:w="160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highlight w:val="none"/>
              </w:rPr>
            </w:pPr>
            <w:r>
              <w:rPr>
                <w:rFonts w:hint="default" w:ascii="宋体" w:hAnsi="宋体"/>
                <w:b/>
                <w:kern w:val="0"/>
                <w:sz w:val="18"/>
                <w:szCs w:val="18"/>
                <w:highlight w:val="none"/>
              </w:rPr>
              <w:t>公务用车购置及运行维护费（小计）</w:t>
            </w:r>
          </w:p>
        </w:tc>
        <w:tc>
          <w:tcPr>
            <w:tcW w:w="1600" w:type="dxa"/>
            <w:shd w:val="clear" w:color="auto" w:fill="auto"/>
            <w:vAlign w:val="center"/>
          </w:tcPr>
          <w:p>
            <w:pPr>
              <w:jc w:val="right"/>
              <w:rPr>
                <w:rFonts w:hint="default" w:ascii="宋体" w:hAnsi="宋体"/>
                <w:color w:val="000000"/>
                <w:sz w:val="18"/>
                <w:szCs w:val="18"/>
                <w:highlight w:val="none"/>
              </w:rPr>
            </w:pPr>
            <w:r>
              <w:rPr>
                <w:rFonts w:hint="default" w:ascii="宋体" w:hAnsi="宋体"/>
                <w:b/>
                <w:kern w:val="0"/>
                <w:sz w:val="18"/>
                <w:szCs w:val="18"/>
                <w:highlight w:val="none"/>
              </w:rPr>
              <w:t>12.54</w:t>
            </w:r>
          </w:p>
        </w:tc>
        <w:tc>
          <w:tcPr>
            <w:tcW w:w="1600" w:type="dxa"/>
            <w:shd w:val="clear" w:color="auto" w:fill="auto"/>
            <w:vAlign w:val="center"/>
          </w:tcPr>
          <w:p>
            <w:pPr>
              <w:jc w:val="right"/>
              <w:rPr>
                <w:rFonts w:hint="default" w:ascii="宋体" w:hAnsi="宋体"/>
                <w:color w:val="000000"/>
                <w:sz w:val="18"/>
                <w:szCs w:val="18"/>
                <w:highlight w:val="none"/>
              </w:rPr>
            </w:pPr>
            <w:r>
              <w:rPr>
                <w:rFonts w:hint="default" w:ascii="宋体" w:hAnsi="宋体"/>
                <w:b/>
                <w:kern w:val="0"/>
                <w:sz w:val="18"/>
                <w:szCs w:val="18"/>
                <w:highlight w:val="none"/>
              </w:rPr>
              <w:t>12.54</w:t>
            </w:r>
          </w:p>
        </w:tc>
        <w:tc>
          <w:tcPr>
            <w:tcW w:w="1600" w:type="dxa"/>
            <w:shd w:val="clear" w:color="auto" w:fill="auto"/>
            <w:vAlign w:val="center"/>
          </w:tcPr>
          <w:p>
            <w:pPr>
              <w:jc w:val="right"/>
              <w:rPr>
                <w:rFonts w:hint="default" w:ascii="宋体" w:hAnsi="宋体"/>
                <w:color w:val="000000"/>
                <w:sz w:val="18"/>
                <w:szCs w:val="18"/>
                <w:highlight w:val="none"/>
              </w:rPr>
            </w:pPr>
          </w:p>
        </w:tc>
        <w:tc>
          <w:tcPr>
            <w:tcW w:w="160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highlight w:val="none"/>
              </w:rPr>
            </w:pPr>
            <w:r>
              <w:rPr>
                <w:rFonts w:hint="default" w:ascii="宋体" w:hAnsi="宋体"/>
                <w:kern w:val="0"/>
                <w:sz w:val="18"/>
                <w:szCs w:val="18"/>
                <w:highlight w:val="none"/>
              </w:rPr>
              <w:t>其中：公务用车购置</w:t>
            </w:r>
          </w:p>
        </w:tc>
        <w:tc>
          <w:tcPr>
            <w:tcW w:w="1600" w:type="dxa"/>
            <w:shd w:val="clear" w:color="auto" w:fill="auto"/>
            <w:vAlign w:val="center"/>
          </w:tcPr>
          <w:p>
            <w:pPr>
              <w:jc w:val="right"/>
              <w:rPr>
                <w:rFonts w:hint="default" w:ascii="宋体" w:hAnsi="宋体"/>
                <w:color w:val="000000"/>
                <w:sz w:val="18"/>
                <w:szCs w:val="18"/>
                <w:highlight w:val="none"/>
              </w:rPr>
            </w:pPr>
          </w:p>
        </w:tc>
        <w:tc>
          <w:tcPr>
            <w:tcW w:w="1600" w:type="dxa"/>
            <w:shd w:val="clear" w:color="auto" w:fill="auto"/>
            <w:vAlign w:val="center"/>
          </w:tcPr>
          <w:p>
            <w:pPr>
              <w:jc w:val="right"/>
              <w:rPr>
                <w:rFonts w:hint="default" w:ascii="宋体" w:hAnsi="宋体"/>
                <w:color w:val="000000"/>
                <w:sz w:val="18"/>
                <w:szCs w:val="18"/>
                <w:highlight w:val="none"/>
              </w:rPr>
            </w:pPr>
          </w:p>
        </w:tc>
        <w:tc>
          <w:tcPr>
            <w:tcW w:w="1600" w:type="dxa"/>
            <w:shd w:val="clear" w:color="auto" w:fill="auto"/>
            <w:vAlign w:val="center"/>
          </w:tcPr>
          <w:p>
            <w:pPr>
              <w:jc w:val="right"/>
              <w:rPr>
                <w:rFonts w:hint="default" w:ascii="宋体" w:hAnsi="宋体"/>
                <w:color w:val="000000"/>
                <w:sz w:val="18"/>
                <w:szCs w:val="18"/>
                <w:highlight w:val="none"/>
              </w:rPr>
            </w:pPr>
          </w:p>
        </w:tc>
        <w:tc>
          <w:tcPr>
            <w:tcW w:w="160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highlight w:val="none"/>
              </w:rPr>
            </w:pPr>
            <w:r>
              <w:rPr>
                <w:rFonts w:hint="default" w:ascii="宋体" w:hAnsi="宋体"/>
                <w:kern w:val="0"/>
                <w:sz w:val="18"/>
                <w:szCs w:val="18"/>
                <w:highlight w:val="none"/>
              </w:rPr>
              <w:t xml:space="preserve">      公务用车运行维护费</w:t>
            </w:r>
          </w:p>
        </w:tc>
        <w:tc>
          <w:tcPr>
            <w:tcW w:w="1600" w:type="dxa"/>
            <w:shd w:val="clear" w:color="auto" w:fill="auto"/>
            <w:vAlign w:val="center"/>
          </w:tcPr>
          <w:p>
            <w:pPr>
              <w:jc w:val="right"/>
              <w:rPr>
                <w:rFonts w:hint="default" w:ascii="宋体" w:hAnsi="宋体"/>
                <w:color w:val="000000"/>
                <w:sz w:val="18"/>
                <w:szCs w:val="18"/>
                <w:highlight w:val="none"/>
              </w:rPr>
            </w:pPr>
            <w:r>
              <w:rPr>
                <w:rFonts w:hint="default" w:ascii="宋体" w:hAnsi="宋体"/>
                <w:kern w:val="0"/>
                <w:sz w:val="18"/>
                <w:szCs w:val="18"/>
                <w:highlight w:val="none"/>
              </w:rPr>
              <w:t>12.54</w:t>
            </w:r>
          </w:p>
        </w:tc>
        <w:tc>
          <w:tcPr>
            <w:tcW w:w="1600" w:type="dxa"/>
            <w:shd w:val="clear" w:color="auto" w:fill="auto"/>
            <w:vAlign w:val="center"/>
          </w:tcPr>
          <w:p>
            <w:pPr>
              <w:jc w:val="right"/>
              <w:rPr>
                <w:rFonts w:hint="default" w:ascii="宋体" w:hAnsi="宋体"/>
                <w:color w:val="000000"/>
                <w:sz w:val="18"/>
                <w:szCs w:val="18"/>
                <w:highlight w:val="none"/>
              </w:rPr>
            </w:pPr>
            <w:r>
              <w:rPr>
                <w:rFonts w:hint="default" w:ascii="宋体" w:hAnsi="宋体"/>
                <w:kern w:val="0"/>
                <w:sz w:val="18"/>
                <w:szCs w:val="18"/>
                <w:highlight w:val="none"/>
              </w:rPr>
              <w:t>12.54</w:t>
            </w:r>
          </w:p>
        </w:tc>
        <w:tc>
          <w:tcPr>
            <w:tcW w:w="1600" w:type="dxa"/>
            <w:shd w:val="clear" w:color="auto" w:fill="auto"/>
            <w:vAlign w:val="center"/>
          </w:tcPr>
          <w:p>
            <w:pPr>
              <w:jc w:val="right"/>
              <w:rPr>
                <w:rFonts w:hint="default" w:ascii="宋体" w:hAnsi="宋体"/>
                <w:color w:val="000000"/>
                <w:sz w:val="18"/>
                <w:szCs w:val="18"/>
                <w:highlight w:val="none"/>
              </w:rPr>
            </w:pPr>
          </w:p>
        </w:tc>
        <w:tc>
          <w:tcPr>
            <w:tcW w:w="160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highlight w:val="none"/>
              </w:rPr>
            </w:pPr>
            <w:r>
              <w:rPr>
                <w:rFonts w:hint="default" w:ascii="宋体" w:hAnsi="宋体"/>
                <w:b/>
                <w:kern w:val="0"/>
                <w:sz w:val="18"/>
                <w:szCs w:val="18"/>
                <w:highlight w:val="none"/>
              </w:rPr>
              <w:t>总计</w:t>
            </w:r>
          </w:p>
        </w:tc>
        <w:tc>
          <w:tcPr>
            <w:tcW w:w="1600" w:type="dxa"/>
            <w:shd w:val="clear" w:color="auto" w:fill="auto"/>
            <w:vAlign w:val="center"/>
          </w:tcPr>
          <w:p>
            <w:pPr>
              <w:jc w:val="right"/>
              <w:rPr>
                <w:rFonts w:hint="default" w:ascii="宋体" w:hAnsi="宋体"/>
                <w:color w:val="000000"/>
                <w:sz w:val="18"/>
                <w:szCs w:val="18"/>
                <w:highlight w:val="none"/>
              </w:rPr>
            </w:pPr>
            <w:r>
              <w:rPr>
                <w:rFonts w:hint="default" w:ascii="宋体" w:hAnsi="宋体"/>
                <w:b/>
                <w:kern w:val="0"/>
                <w:sz w:val="18"/>
                <w:szCs w:val="18"/>
                <w:highlight w:val="none"/>
              </w:rPr>
              <w:t>12.54</w:t>
            </w:r>
          </w:p>
        </w:tc>
        <w:tc>
          <w:tcPr>
            <w:tcW w:w="1600" w:type="dxa"/>
            <w:shd w:val="clear" w:color="auto" w:fill="auto"/>
            <w:vAlign w:val="center"/>
          </w:tcPr>
          <w:p>
            <w:pPr>
              <w:jc w:val="right"/>
              <w:rPr>
                <w:rFonts w:hint="default" w:ascii="宋体" w:hAnsi="宋体"/>
                <w:color w:val="000000"/>
                <w:sz w:val="18"/>
                <w:szCs w:val="18"/>
                <w:highlight w:val="none"/>
              </w:rPr>
            </w:pPr>
            <w:r>
              <w:rPr>
                <w:rFonts w:hint="default" w:ascii="宋体" w:hAnsi="宋体"/>
                <w:b/>
                <w:kern w:val="0"/>
                <w:sz w:val="18"/>
                <w:szCs w:val="18"/>
                <w:highlight w:val="none"/>
              </w:rPr>
              <w:t>12.54</w:t>
            </w:r>
          </w:p>
        </w:tc>
        <w:tc>
          <w:tcPr>
            <w:tcW w:w="1600" w:type="dxa"/>
            <w:shd w:val="clear" w:color="auto" w:fill="auto"/>
            <w:vAlign w:val="center"/>
          </w:tcPr>
          <w:p>
            <w:pPr>
              <w:jc w:val="right"/>
              <w:rPr>
                <w:rFonts w:hint="default" w:ascii="宋体" w:hAnsi="宋体"/>
                <w:color w:val="000000"/>
                <w:sz w:val="18"/>
                <w:szCs w:val="18"/>
                <w:highlight w:val="none"/>
              </w:rPr>
            </w:pPr>
          </w:p>
        </w:tc>
        <w:tc>
          <w:tcPr>
            <w:tcW w:w="1600" w:type="dxa"/>
            <w:shd w:val="clear" w:color="auto" w:fill="auto"/>
            <w:vAlign w:val="center"/>
          </w:tcPr>
          <w:p>
            <w:pPr>
              <w:jc w:val="right"/>
              <w:rPr>
                <w:rFonts w:hint="default" w:ascii="宋体" w:hAnsi="宋体"/>
                <w:color w:val="000000"/>
                <w:sz w:val="18"/>
                <w:szCs w:val="18"/>
                <w:highlight w:val="none"/>
              </w:rPr>
            </w:pPr>
          </w:p>
        </w:tc>
      </w:tr>
    </w:tbl>
    <w:p>
      <w:pPr>
        <w:widowControl/>
        <w:jc w:val="left"/>
        <w:rPr>
          <w:rFonts w:hint="default" w:ascii="仿宋" w:eastAsia="仿宋"/>
          <w:b/>
          <w:color w:val="000000"/>
          <w:szCs w:val="21"/>
          <w:highlight w:val="none"/>
        </w:rPr>
        <w:sectPr>
          <w:pgSz w:w="11906" w:h="16838"/>
          <w:pgMar w:top="1134" w:right="1134" w:bottom="1134" w:left="1134" w:header="851" w:footer="992" w:gutter="0"/>
          <w:cols w:space="425" w:num="1"/>
          <w:docGrid w:type="lines" w:linePitch="312" w:charSpace="0"/>
        </w:sectPr>
      </w:pPr>
    </w:p>
    <w:p>
      <w:pPr>
        <w:rPr>
          <w:highlight w:val="none"/>
        </w:rPr>
      </w:pPr>
      <w:r>
        <w:rPr>
          <w:rFonts w:hint="eastAsia" w:ascii="宋体" w:hAnsi="宋体"/>
          <w:color w:val="000000"/>
          <w:sz w:val="18"/>
          <w:szCs w:val="18"/>
          <w:highlight w:val="none"/>
        </w:rPr>
        <w:t>表11</w:t>
      </w:r>
    </w:p>
    <w:p>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财政拨款委托业务费支出情况表</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5092"/>
        <w:gridCol w:w="1216"/>
        <w:gridCol w:w="1216"/>
        <w:gridCol w:w="1216"/>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10062" w:type="dxa"/>
            <w:gridSpan w:val="4"/>
            <w:tcBorders>
              <w:top w:val="nil"/>
              <w:left w:val="nil"/>
              <w:right w:val="nil"/>
            </w:tcBorders>
            <w:shd w:val="clear" w:color="auto" w:fill="auto"/>
            <w:vAlign w:val="center"/>
          </w:tcPr>
          <w:p>
            <w:pPr>
              <w:jc w:val="left"/>
              <w:rPr>
                <w:rFonts w:hint="default" w:ascii="宋体" w:hAnsi="宋体"/>
                <w:sz w:val="18"/>
                <w:szCs w:val="18"/>
                <w:highlight w:val="none"/>
              </w:rPr>
            </w:pPr>
            <w:r>
              <w:rPr>
                <w:rFonts w:hint="eastAsia"/>
                <w:color w:val="000000"/>
                <w:sz w:val="18"/>
                <w:szCs w:val="18"/>
                <w:highlight w:val="none"/>
              </w:rPr>
              <w:t>编制单位：新疆维吾尔自治区无线电监测中心</w:t>
            </w:r>
          </w:p>
        </w:tc>
        <w:tc>
          <w:tcPr>
            <w:tcW w:w="1400" w:type="dxa"/>
            <w:tcBorders>
              <w:top w:val="nil"/>
              <w:left w:val="nil"/>
              <w:right w:val="nil"/>
            </w:tcBorders>
            <w:shd w:val="clear" w:color="auto" w:fill="auto"/>
            <w:vAlign w:val="center"/>
          </w:tcPr>
          <w:p>
            <w:pPr>
              <w:jc w:val="right"/>
              <w:rPr>
                <w:rFonts w:hint="default" w:ascii="宋体" w:hAnsi="宋体"/>
                <w:sz w:val="18"/>
                <w:szCs w:val="18"/>
                <w:highlight w:val="none"/>
              </w:rPr>
            </w:pPr>
            <w:r>
              <w:rPr>
                <w:rFonts w:hint="eastAsia"/>
                <w:color w:val="000000"/>
                <w:sz w:val="18"/>
                <w:szCs w:val="18"/>
                <w:highlight w:val="none"/>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5862" w:type="dxa"/>
            <w:vMerge w:val="restart"/>
            <w:shd w:val="clear" w:color="auto" w:fill="auto"/>
            <w:vAlign w:val="center"/>
          </w:tcPr>
          <w:p>
            <w:pPr>
              <w:jc w:val="center"/>
              <w:rPr>
                <w:rFonts w:hint="default" w:ascii="宋体" w:hAnsi="宋体"/>
                <w:color w:val="000000"/>
                <w:sz w:val="18"/>
                <w:szCs w:val="18"/>
                <w:highlight w:val="none"/>
              </w:rPr>
            </w:pPr>
            <w:r>
              <w:rPr>
                <w:rFonts w:hint="eastAsia" w:ascii="宋体" w:hAnsi="宋体"/>
                <w:color w:val="000000"/>
                <w:sz w:val="18"/>
                <w:szCs w:val="18"/>
                <w:highlight w:val="none"/>
              </w:rPr>
              <w:t>项目名称</w:t>
            </w:r>
          </w:p>
        </w:tc>
        <w:tc>
          <w:tcPr>
            <w:tcW w:w="1400" w:type="dxa"/>
            <w:vMerge w:val="restart"/>
            <w:shd w:val="clear" w:color="auto" w:fill="auto"/>
            <w:vAlign w:val="center"/>
          </w:tcPr>
          <w:p>
            <w:pPr>
              <w:jc w:val="center"/>
              <w:rPr>
                <w:rFonts w:hint="default" w:ascii="宋体" w:hAnsi="宋体"/>
                <w:color w:val="000000"/>
                <w:sz w:val="18"/>
                <w:szCs w:val="18"/>
                <w:highlight w:val="none"/>
              </w:rPr>
            </w:pPr>
            <w:r>
              <w:rPr>
                <w:rFonts w:hint="eastAsia" w:ascii="宋体" w:hAnsi="宋体"/>
                <w:sz w:val="18"/>
                <w:szCs w:val="18"/>
                <w:highlight w:val="none"/>
              </w:rPr>
              <w:t>合计</w:t>
            </w:r>
          </w:p>
        </w:tc>
        <w:tc>
          <w:tcPr>
            <w:tcW w:w="4200" w:type="dxa"/>
            <w:gridSpan w:val="3"/>
            <w:shd w:val="clear" w:color="auto" w:fill="auto"/>
            <w:vAlign w:val="center"/>
          </w:tcPr>
          <w:p>
            <w:pPr>
              <w:jc w:val="center"/>
              <w:rPr>
                <w:rFonts w:hint="default" w:ascii="宋体" w:hAnsi="宋体"/>
                <w:color w:val="000000"/>
                <w:sz w:val="18"/>
                <w:szCs w:val="18"/>
                <w:highlight w:val="none"/>
              </w:rPr>
            </w:pPr>
            <w:r>
              <w:rPr>
                <w:rFonts w:hint="eastAsia"/>
                <w:sz w:val="18"/>
                <w:szCs w:val="18"/>
                <w:highlight w:val="none"/>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421" w:hRule="atLeast"/>
          <w:tblHeader/>
          <w:jc w:val="center"/>
        </w:trPr>
        <w:tc>
          <w:tcPr>
            <w:tcW w:w="5862" w:type="dxa"/>
            <w:vMerge w:val="continue"/>
            <w:shd w:val="clear" w:color="auto" w:fill="auto"/>
            <w:vAlign w:val="center"/>
          </w:tcPr>
          <w:p>
            <w:pPr>
              <w:jc w:val="center"/>
              <w:rPr>
                <w:rFonts w:hint="default" w:ascii="宋体" w:hAnsi="宋体"/>
                <w:color w:val="000000"/>
                <w:sz w:val="18"/>
                <w:szCs w:val="18"/>
                <w:highlight w:val="none"/>
              </w:rPr>
            </w:pPr>
          </w:p>
        </w:tc>
        <w:tc>
          <w:tcPr>
            <w:tcW w:w="1400" w:type="dxa"/>
            <w:vMerge w:val="continue"/>
            <w:shd w:val="clear" w:color="auto" w:fill="auto"/>
            <w:vAlign w:val="center"/>
          </w:tcPr>
          <w:p>
            <w:pPr>
              <w:jc w:val="center"/>
              <w:rPr>
                <w:rFonts w:hint="default" w:ascii="宋体" w:hAnsi="宋体"/>
                <w:color w:val="000000"/>
                <w:sz w:val="18"/>
                <w:szCs w:val="18"/>
                <w:highlight w:val="none"/>
              </w:rPr>
            </w:pPr>
          </w:p>
        </w:tc>
        <w:tc>
          <w:tcPr>
            <w:tcW w:w="1400" w:type="dxa"/>
            <w:shd w:val="clear" w:color="auto" w:fill="auto"/>
            <w:vAlign w:val="center"/>
          </w:tcPr>
          <w:p>
            <w:pPr>
              <w:jc w:val="center"/>
              <w:rPr>
                <w:rFonts w:hint="default" w:ascii="宋体" w:hAnsi="宋体"/>
                <w:sz w:val="18"/>
                <w:szCs w:val="18"/>
                <w:highlight w:val="none"/>
              </w:rPr>
            </w:pPr>
            <w:r>
              <w:rPr>
                <w:rFonts w:hint="eastAsia" w:ascii="宋体" w:hAnsi="宋体"/>
                <w:sz w:val="18"/>
                <w:szCs w:val="18"/>
                <w:highlight w:val="none"/>
              </w:rPr>
              <w:t>一般公共预算</w:t>
            </w:r>
          </w:p>
        </w:tc>
        <w:tc>
          <w:tcPr>
            <w:tcW w:w="1400" w:type="dxa"/>
            <w:shd w:val="clear" w:color="auto" w:fill="auto"/>
            <w:vAlign w:val="center"/>
          </w:tcPr>
          <w:p>
            <w:pPr>
              <w:jc w:val="center"/>
              <w:rPr>
                <w:rFonts w:hint="default" w:ascii="宋体" w:hAnsi="宋体"/>
                <w:sz w:val="18"/>
                <w:szCs w:val="18"/>
                <w:highlight w:val="none"/>
              </w:rPr>
            </w:pPr>
            <w:r>
              <w:rPr>
                <w:rFonts w:hint="eastAsia" w:ascii="宋体" w:hAnsi="宋体"/>
                <w:sz w:val="18"/>
                <w:szCs w:val="18"/>
                <w:highlight w:val="none"/>
              </w:rPr>
              <w:t>政府性基金</w:t>
            </w:r>
          </w:p>
        </w:tc>
        <w:tc>
          <w:tcPr>
            <w:tcW w:w="1400" w:type="dxa"/>
            <w:shd w:val="clear" w:color="auto" w:fill="auto"/>
            <w:vAlign w:val="center"/>
          </w:tcPr>
          <w:p>
            <w:pPr>
              <w:jc w:val="center"/>
              <w:rPr>
                <w:rFonts w:hint="default" w:ascii="宋体" w:hAnsi="宋体"/>
                <w:sz w:val="18"/>
                <w:szCs w:val="18"/>
                <w:highlight w:val="none"/>
              </w:rPr>
            </w:pPr>
            <w:r>
              <w:rPr>
                <w:rFonts w:hint="eastAsia" w:ascii="宋体" w:hAnsi="宋体"/>
                <w:sz w:val="18"/>
                <w:szCs w:val="18"/>
                <w:highlight w:val="none"/>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b/>
                <w:color w:val="000000"/>
                <w:sz w:val="18"/>
                <w:szCs w:val="18"/>
                <w:highlight w:val="none"/>
              </w:rPr>
            </w:pPr>
            <w:r>
              <w:rPr>
                <w:rFonts w:hint="default" w:ascii="宋体" w:hAnsi="宋体"/>
                <w:b/>
                <w:kern w:val="0"/>
                <w:sz w:val="18"/>
                <w:szCs w:val="18"/>
                <w:highlight w:val="none"/>
              </w:rPr>
              <w:t>新疆维吾尔自治区无线电监测中心</w:t>
            </w:r>
          </w:p>
        </w:tc>
        <w:tc>
          <w:tcPr>
            <w:tcW w:w="1400" w:type="dxa"/>
            <w:shd w:val="clear" w:color="auto" w:fill="auto"/>
            <w:vAlign w:val="center"/>
          </w:tcPr>
          <w:p>
            <w:pPr>
              <w:jc w:val="right"/>
              <w:rPr>
                <w:rFonts w:hint="default" w:ascii="宋体" w:hAnsi="宋体"/>
                <w:b/>
                <w:color w:val="000000"/>
                <w:sz w:val="18"/>
                <w:szCs w:val="18"/>
                <w:highlight w:val="none"/>
              </w:rPr>
            </w:pPr>
            <w:r>
              <w:rPr>
                <w:rFonts w:hint="default" w:ascii="宋体" w:hAnsi="宋体"/>
                <w:b/>
                <w:kern w:val="0"/>
                <w:sz w:val="18"/>
                <w:szCs w:val="18"/>
                <w:highlight w:val="none"/>
              </w:rPr>
              <w:t>24.00</w:t>
            </w:r>
          </w:p>
        </w:tc>
        <w:tc>
          <w:tcPr>
            <w:tcW w:w="1400" w:type="dxa"/>
            <w:shd w:val="clear" w:color="auto" w:fill="auto"/>
            <w:vAlign w:val="center"/>
          </w:tcPr>
          <w:p>
            <w:pPr>
              <w:jc w:val="right"/>
              <w:rPr>
                <w:rFonts w:hint="default" w:ascii="宋体" w:hAnsi="宋体"/>
                <w:b/>
                <w:color w:val="000000"/>
                <w:sz w:val="18"/>
                <w:szCs w:val="18"/>
                <w:highlight w:val="none"/>
              </w:rPr>
            </w:pPr>
            <w:r>
              <w:rPr>
                <w:rFonts w:hint="default" w:ascii="宋体" w:hAnsi="宋体"/>
                <w:b/>
                <w:kern w:val="0"/>
                <w:sz w:val="18"/>
                <w:szCs w:val="18"/>
                <w:highlight w:val="none"/>
              </w:rPr>
              <w:t>24.00</w:t>
            </w:r>
          </w:p>
        </w:tc>
        <w:tc>
          <w:tcPr>
            <w:tcW w:w="1400" w:type="dxa"/>
            <w:shd w:val="clear" w:color="auto" w:fill="auto"/>
            <w:vAlign w:val="center"/>
          </w:tcPr>
          <w:p>
            <w:pPr>
              <w:jc w:val="right"/>
              <w:rPr>
                <w:rFonts w:hint="default" w:ascii="宋体" w:hAnsi="宋体"/>
                <w:b/>
                <w:color w:val="000000"/>
                <w:sz w:val="18"/>
                <w:szCs w:val="18"/>
                <w:highlight w:val="none"/>
              </w:rPr>
            </w:pPr>
          </w:p>
        </w:tc>
        <w:tc>
          <w:tcPr>
            <w:tcW w:w="1400" w:type="dxa"/>
            <w:shd w:val="clear" w:color="auto" w:fill="auto"/>
            <w:vAlign w:val="center"/>
          </w:tcPr>
          <w:p>
            <w:pPr>
              <w:jc w:val="right"/>
              <w:rPr>
                <w:rFonts w:hint="default" w:ascii="宋体" w:hAnsi="宋体"/>
                <w:b/>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color w:val="000000"/>
                <w:sz w:val="18"/>
                <w:szCs w:val="18"/>
                <w:highlight w:val="none"/>
              </w:rPr>
            </w:pPr>
            <w:r>
              <w:rPr>
                <w:rFonts w:hint="default" w:ascii="宋体" w:hAnsi="宋体"/>
                <w:kern w:val="0"/>
                <w:sz w:val="18"/>
                <w:szCs w:val="18"/>
                <w:highlight w:val="none"/>
              </w:rPr>
              <w:t xml:space="preserve">  2026年无线电管理经费</w:t>
            </w:r>
          </w:p>
        </w:tc>
        <w:tc>
          <w:tcPr>
            <w:tcW w:w="1400" w:type="dxa"/>
            <w:shd w:val="clear" w:color="auto" w:fill="auto"/>
            <w:vAlign w:val="center"/>
          </w:tcPr>
          <w:p>
            <w:pPr>
              <w:jc w:val="right"/>
              <w:rPr>
                <w:rFonts w:hint="default" w:ascii="宋体" w:hAnsi="宋体"/>
                <w:color w:val="000000"/>
                <w:sz w:val="18"/>
                <w:szCs w:val="18"/>
                <w:highlight w:val="none"/>
              </w:rPr>
            </w:pPr>
            <w:r>
              <w:rPr>
                <w:rFonts w:hint="default" w:ascii="宋体" w:hAnsi="宋体"/>
                <w:kern w:val="0"/>
                <w:sz w:val="18"/>
                <w:szCs w:val="18"/>
                <w:highlight w:val="none"/>
              </w:rPr>
              <w:t>24.00</w:t>
            </w:r>
          </w:p>
        </w:tc>
        <w:tc>
          <w:tcPr>
            <w:tcW w:w="1400" w:type="dxa"/>
            <w:shd w:val="clear" w:color="auto" w:fill="auto"/>
            <w:vAlign w:val="center"/>
          </w:tcPr>
          <w:p>
            <w:pPr>
              <w:jc w:val="right"/>
              <w:rPr>
                <w:rFonts w:hint="default" w:ascii="宋体" w:hAnsi="宋体"/>
                <w:color w:val="000000"/>
                <w:sz w:val="18"/>
                <w:szCs w:val="18"/>
                <w:highlight w:val="none"/>
              </w:rPr>
            </w:pPr>
            <w:r>
              <w:rPr>
                <w:rFonts w:hint="default" w:ascii="宋体" w:hAnsi="宋体"/>
                <w:kern w:val="0"/>
                <w:sz w:val="18"/>
                <w:szCs w:val="18"/>
                <w:highlight w:val="none"/>
              </w:rPr>
              <w:t>24.00</w:t>
            </w:r>
          </w:p>
        </w:tc>
        <w:tc>
          <w:tcPr>
            <w:tcW w:w="1400" w:type="dxa"/>
            <w:shd w:val="clear" w:color="auto" w:fill="auto"/>
            <w:vAlign w:val="center"/>
          </w:tcPr>
          <w:p>
            <w:pPr>
              <w:jc w:val="right"/>
              <w:rPr>
                <w:rFonts w:hint="default" w:ascii="宋体" w:hAnsi="宋体"/>
                <w:color w:val="000000"/>
                <w:sz w:val="18"/>
                <w:szCs w:val="18"/>
                <w:highlight w:val="none"/>
              </w:rPr>
            </w:pPr>
          </w:p>
        </w:tc>
        <w:tc>
          <w:tcPr>
            <w:tcW w:w="140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center"/>
              <w:rPr>
                <w:rFonts w:hint="default" w:ascii="宋体" w:hAnsi="宋体"/>
                <w:b/>
                <w:color w:val="000000"/>
                <w:sz w:val="18"/>
                <w:szCs w:val="18"/>
                <w:highlight w:val="none"/>
              </w:rPr>
            </w:pPr>
            <w:r>
              <w:rPr>
                <w:rFonts w:hint="default" w:ascii="宋体" w:hAnsi="宋体"/>
                <w:b/>
                <w:kern w:val="0"/>
                <w:sz w:val="18"/>
                <w:szCs w:val="18"/>
                <w:highlight w:val="none"/>
              </w:rPr>
              <w:t>总计</w:t>
            </w:r>
          </w:p>
        </w:tc>
        <w:tc>
          <w:tcPr>
            <w:tcW w:w="1400" w:type="dxa"/>
            <w:shd w:val="clear" w:color="auto" w:fill="auto"/>
            <w:vAlign w:val="center"/>
          </w:tcPr>
          <w:p>
            <w:pPr>
              <w:jc w:val="right"/>
              <w:rPr>
                <w:rFonts w:hint="default" w:ascii="宋体" w:hAnsi="宋体"/>
                <w:b/>
                <w:color w:val="000000"/>
                <w:sz w:val="18"/>
                <w:szCs w:val="18"/>
                <w:highlight w:val="none"/>
              </w:rPr>
            </w:pPr>
            <w:r>
              <w:rPr>
                <w:rFonts w:hint="default" w:ascii="宋体" w:hAnsi="宋体"/>
                <w:b/>
                <w:kern w:val="0"/>
                <w:sz w:val="18"/>
                <w:szCs w:val="18"/>
                <w:highlight w:val="none"/>
              </w:rPr>
              <w:t>24.00</w:t>
            </w:r>
          </w:p>
        </w:tc>
        <w:tc>
          <w:tcPr>
            <w:tcW w:w="1400" w:type="dxa"/>
            <w:shd w:val="clear" w:color="auto" w:fill="auto"/>
            <w:vAlign w:val="center"/>
          </w:tcPr>
          <w:p>
            <w:pPr>
              <w:jc w:val="right"/>
              <w:rPr>
                <w:rFonts w:hint="default" w:ascii="宋体" w:hAnsi="宋体"/>
                <w:b/>
                <w:color w:val="000000"/>
                <w:sz w:val="18"/>
                <w:szCs w:val="18"/>
                <w:highlight w:val="none"/>
              </w:rPr>
            </w:pPr>
            <w:r>
              <w:rPr>
                <w:rFonts w:hint="default" w:ascii="宋体" w:hAnsi="宋体"/>
                <w:b/>
                <w:kern w:val="0"/>
                <w:sz w:val="18"/>
                <w:szCs w:val="18"/>
                <w:highlight w:val="none"/>
              </w:rPr>
              <w:t>24.00</w:t>
            </w:r>
          </w:p>
        </w:tc>
        <w:tc>
          <w:tcPr>
            <w:tcW w:w="1400" w:type="dxa"/>
            <w:shd w:val="clear" w:color="auto" w:fill="auto"/>
            <w:vAlign w:val="center"/>
          </w:tcPr>
          <w:p>
            <w:pPr>
              <w:jc w:val="right"/>
              <w:rPr>
                <w:rFonts w:hint="default" w:ascii="宋体" w:hAnsi="宋体"/>
                <w:b/>
                <w:color w:val="000000"/>
                <w:sz w:val="18"/>
                <w:szCs w:val="18"/>
                <w:highlight w:val="none"/>
              </w:rPr>
            </w:pPr>
          </w:p>
        </w:tc>
        <w:tc>
          <w:tcPr>
            <w:tcW w:w="1400" w:type="dxa"/>
            <w:shd w:val="clear" w:color="auto" w:fill="auto"/>
            <w:vAlign w:val="center"/>
          </w:tcPr>
          <w:p>
            <w:pPr>
              <w:jc w:val="right"/>
              <w:rPr>
                <w:rFonts w:hint="default" w:ascii="宋体" w:hAnsi="宋体"/>
                <w:b/>
                <w:color w:val="000000"/>
                <w:sz w:val="18"/>
                <w:szCs w:val="18"/>
                <w:highlight w:val="none"/>
              </w:rPr>
            </w:pPr>
          </w:p>
        </w:tc>
      </w:tr>
    </w:tbl>
    <w:p>
      <w:pPr>
        <w:widowControl/>
        <w:jc w:val="left"/>
        <w:rPr>
          <w:rFonts w:hint="default" w:ascii="仿宋" w:eastAsia="仿宋"/>
          <w:b/>
          <w:color w:val="000000"/>
          <w:szCs w:val="21"/>
          <w:highlight w:val="none"/>
        </w:rPr>
        <w:sectPr>
          <w:pgSz w:w="11906" w:h="16838"/>
          <w:pgMar w:top="1134" w:right="1134" w:bottom="1134" w:left="1134" w:header="851" w:footer="992" w:gutter="0"/>
          <w:cols w:space="425" w:num="1"/>
          <w:docGrid w:type="lines" w:linePitch="312" w:charSpace="0"/>
        </w:sectPr>
      </w:pPr>
    </w:p>
    <w:p>
      <w:pPr>
        <w:rPr>
          <w:highlight w:val="none"/>
        </w:rPr>
      </w:pPr>
      <w:r>
        <w:rPr>
          <w:rFonts w:hint="eastAsia" w:ascii="宋体" w:hAnsi="宋体"/>
          <w:color w:val="000000"/>
          <w:sz w:val="18"/>
          <w:szCs w:val="18"/>
          <w:highlight w:val="none"/>
        </w:rPr>
        <w:t>表12</w:t>
      </w:r>
    </w:p>
    <w:p>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上年结转结余情况表</w:t>
      </w:r>
    </w:p>
    <w:tbl>
      <w:tblPr>
        <w:tblW w:w="14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402"/>
        <w:gridCol w:w="1247"/>
        <w:gridCol w:w="1247"/>
        <w:gridCol w:w="1247"/>
        <w:gridCol w:w="1247"/>
        <w:gridCol w:w="1247"/>
        <w:gridCol w:w="740"/>
        <w:gridCol w:w="507"/>
        <w:gridCol w:w="1247"/>
        <w:gridCol w:w="1247"/>
        <w:gridCol w:w="124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52" w:hRule="atLeast"/>
          <w:tblHeader/>
        </w:trPr>
        <w:tc>
          <w:tcPr>
            <w:tcW w:w="10377" w:type="dxa"/>
            <w:gridSpan w:val="7"/>
            <w:tcBorders>
              <w:top w:val="nil"/>
              <w:left w:val="nil"/>
              <w:right w:val="nil"/>
            </w:tcBorders>
            <w:shd w:val="clear" w:color="auto" w:fill="auto"/>
            <w:vAlign w:val="center"/>
          </w:tcPr>
          <w:p>
            <w:pPr>
              <w:jc w:val="left"/>
              <w:rPr>
                <w:rFonts w:hint="eastAsia"/>
                <w:color w:val="000000"/>
                <w:sz w:val="18"/>
                <w:szCs w:val="18"/>
                <w:highlight w:val="none"/>
              </w:rPr>
            </w:pPr>
            <w:r>
              <w:rPr>
                <w:rFonts w:hint="eastAsia"/>
                <w:color w:val="000000"/>
                <w:sz w:val="18"/>
                <w:szCs w:val="18"/>
                <w:highlight w:val="none"/>
              </w:rPr>
              <w:t>编制单位：新疆维吾尔自治区无线电监测中心</w:t>
            </w:r>
          </w:p>
        </w:tc>
        <w:tc>
          <w:tcPr>
            <w:tcW w:w="4254" w:type="dxa"/>
            <w:gridSpan w:val="5"/>
            <w:tcBorders>
              <w:top w:val="nil"/>
              <w:left w:val="nil"/>
              <w:right w:val="nil"/>
            </w:tcBorders>
            <w:shd w:val="clear" w:color="auto" w:fill="auto"/>
          </w:tcPr>
          <w:p>
            <w:pPr>
              <w:jc w:val="right"/>
              <w:rPr>
                <w:rFonts w:hint="eastAsia"/>
                <w:color w:val="000000"/>
                <w:sz w:val="18"/>
                <w:szCs w:val="18"/>
                <w:highlight w:val="none"/>
              </w:rPr>
            </w:pPr>
            <w:r>
              <w:rPr>
                <w:rFonts w:hint="eastAsia"/>
                <w:color w:val="000000"/>
                <w:sz w:val="18"/>
                <w:szCs w:val="18"/>
                <w:highlight w:val="none"/>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20" w:hRule="atLeast"/>
          <w:tblHeader/>
        </w:trPr>
        <w:tc>
          <w:tcPr>
            <w:tcW w:w="3402" w:type="dxa"/>
            <w:vMerge w:val="restart"/>
            <w:shd w:val="clear" w:color="auto" w:fill="auto"/>
            <w:vAlign w:val="center"/>
          </w:tcPr>
          <w:p>
            <w:pPr>
              <w:jc w:val="center"/>
              <w:rPr>
                <w:sz w:val="18"/>
                <w:szCs w:val="18"/>
                <w:highlight w:val="none"/>
              </w:rPr>
            </w:pPr>
            <w:r>
              <w:rPr>
                <w:rFonts w:hint="eastAsia"/>
                <w:sz w:val="18"/>
                <w:szCs w:val="18"/>
                <w:highlight w:val="none"/>
              </w:rPr>
              <w:t>项目</w:t>
            </w:r>
          </w:p>
        </w:tc>
        <w:tc>
          <w:tcPr>
            <w:tcW w:w="1247" w:type="dxa"/>
            <w:vMerge w:val="restart"/>
            <w:shd w:val="clear" w:color="auto" w:fill="auto"/>
            <w:vAlign w:val="center"/>
          </w:tcPr>
          <w:p>
            <w:pPr>
              <w:jc w:val="center"/>
              <w:rPr>
                <w:sz w:val="18"/>
                <w:szCs w:val="18"/>
                <w:highlight w:val="none"/>
              </w:rPr>
            </w:pPr>
            <w:r>
              <w:rPr>
                <w:rFonts w:hint="eastAsia"/>
                <w:sz w:val="18"/>
                <w:szCs w:val="18"/>
                <w:highlight w:val="none"/>
              </w:rPr>
              <w:t>合计</w:t>
            </w:r>
          </w:p>
        </w:tc>
        <w:tc>
          <w:tcPr>
            <w:tcW w:w="4988" w:type="dxa"/>
            <w:gridSpan w:val="4"/>
            <w:shd w:val="clear" w:color="auto" w:fill="auto"/>
            <w:vAlign w:val="center"/>
          </w:tcPr>
          <w:p>
            <w:pPr>
              <w:jc w:val="center"/>
              <w:rPr>
                <w:rFonts w:hint="eastAsia"/>
                <w:sz w:val="18"/>
                <w:szCs w:val="18"/>
                <w:highlight w:val="none"/>
              </w:rPr>
            </w:pPr>
            <w:r>
              <w:rPr>
                <w:rFonts w:hint="eastAsia"/>
                <w:sz w:val="18"/>
                <w:szCs w:val="18"/>
                <w:highlight w:val="none"/>
              </w:rPr>
              <w:t>财政拨款</w:t>
            </w:r>
          </w:p>
        </w:tc>
        <w:tc>
          <w:tcPr>
            <w:tcW w:w="4988" w:type="dxa"/>
            <w:gridSpan w:val="5"/>
            <w:shd w:val="clear" w:color="auto" w:fill="auto"/>
            <w:vAlign w:val="center"/>
          </w:tcPr>
          <w:p>
            <w:pPr>
              <w:jc w:val="center"/>
              <w:rPr>
                <w:rFonts w:hint="eastAsia"/>
                <w:sz w:val="18"/>
                <w:szCs w:val="18"/>
                <w:highlight w:val="none"/>
              </w:rPr>
            </w:pPr>
            <w:r>
              <w:rPr>
                <w:rFonts w:hint="eastAsia"/>
                <w:sz w:val="18"/>
                <w:szCs w:val="18"/>
                <w:highlight w:val="none"/>
              </w:rPr>
              <w:t>非财政拨款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77" w:hRule="atLeast"/>
          <w:tblHeader/>
        </w:trPr>
        <w:tc>
          <w:tcPr>
            <w:tcW w:w="3402" w:type="dxa"/>
            <w:vMerge w:val="continue"/>
            <w:shd w:val="clear" w:color="auto" w:fill="auto"/>
            <w:vAlign w:val="center"/>
          </w:tcPr>
          <w:p>
            <w:pPr>
              <w:jc w:val="center"/>
              <w:rPr>
                <w:sz w:val="18"/>
                <w:szCs w:val="18"/>
                <w:highlight w:val="none"/>
              </w:rPr>
            </w:pPr>
          </w:p>
        </w:tc>
        <w:tc>
          <w:tcPr>
            <w:tcW w:w="1247" w:type="dxa"/>
            <w:vMerge w:val="continue"/>
            <w:shd w:val="clear" w:color="auto" w:fill="auto"/>
            <w:vAlign w:val="center"/>
          </w:tcPr>
          <w:p>
            <w:pPr>
              <w:jc w:val="center"/>
              <w:rPr>
                <w:sz w:val="18"/>
                <w:szCs w:val="18"/>
                <w:highlight w:val="none"/>
              </w:rPr>
            </w:pPr>
          </w:p>
        </w:tc>
        <w:tc>
          <w:tcPr>
            <w:tcW w:w="1247" w:type="dxa"/>
            <w:vMerge w:val="restart"/>
            <w:shd w:val="clear" w:color="auto" w:fill="auto"/>
            <w:vAlign w:val="center"/>
          </w:tcPr>
          <w:p>
            <w:pPr>
              <w:jc w:val="center"/>
              <w:rPr>
                <w:sz w:val="18"/>
                <w:szCs w:val="18"/>
                <w:highlight w:val="none"/>
              </w:rPr>
            </w:pPr>
            <w:r>
              <w:rPr>
                <w:rFonts w:hint="eastAsia"/>
                <w:sz w:val="18"/>
                <w:szCs w:val="18"/>
                <w:highlight w:val="none"/>
              </w:rPr>
              <w:t>小计</w:t>
            </w:r>
          </w:p>
        </w:tc>
        <w:tc>
          <w:tcPr>
            <w:tcW w:w="2494" w:type="dxa"/>
            <w:gridSpan w:val="2"/>
            <w:shd w:val="clear" w:color="auto" w:fill="auto"/>
            <w:vAlign w:val="center"/>
          </w:tcPr>
          <w:p>
            <w:pPr>
              <w:jc w:val="center"/>
              <w:rPr>
                <w:sz w:val="18"/>
                <w:szCs w:val="18"/>
                <w:highlight w:val="none"/>
              </w:rPr>
            </w:pPr>
            <w:r>
              <w:rPr>
                <w:rFonts w:hint="eastAsia"/>
                <w:sz w:val="18"/>
                <w:szCs w:val="18"/>
                <w:highlight w:val="none"/>
              </w:rPr>
              <w:t>基本支出</w:t>
            </w:r>
          </w:p>
        </w:tc>
        <w:tc>
          <w:tcPr>
            <w:tcW w:w="1247" w:type="dxa"/>
            <w:vMerge w:val="restart"/>
            <w:shd w:val="clear" w:color="auto" w:fill="auto"/>
            <w:vAlign w:val="center"/>
          </w:tcPr>
          <w:p>
            <w:pPr>
              <w:jc w:val="center"/>
              <w:rPr>
                <w:sz w:val="18"/>
                <w:szCs w:val="18"/>
                <w:highlight w:val="none"/>
              </w:rPr>
            </w:pPr>
            <w:r>
              <w:rPr>
                <w:rFonts w:hint="eastAsia"/>
                <w:sz w:val="18"/>
                <w:szCs w:val="18"/>
                <w:highlight w:val="none"/>
              </w:rPr>
              <w:t>项目支出</w:t>
            </w:r>
          </w:p>
        </w:tc>
        <w:tc>
          <w:tcPr>
            <w:tcW w:w="1247" w:type="dxa"/>
            <w:gridSpan w:val="2"/>
            <w:vMerge w:val="restart"/>
            <w:shd w:val="clear" w:color="auto" w:fill="auto"/>
            <w:vAlign w:val="center"/>
          </w:tcPr>
          <w:p>
            <w:pPr>
              <w:jc w:val="center"/>
              <w:rPr>
                <w:sz w:val="18"/>
                <w:szCs w:val="18"/>
                <w:highlight w:val="none"/>
              </w:rPr>
            </w:pPr>
            <w:r>
              <w:rPr>
                <w:rFonts w:hint="eastAsia"/>
                <w:sz w:val="18"/>
                <w:szCs w:val="18"/>
                <w:highlight w:val="none"/>
              </w:rPr>
              <w:t>小计</w:t>
            </w:r>
          </w:p>
        </w:tc>
        <w:tc>
          <w:tcPr>
            <w:tcW w:w="2494" w:type="dxa"/>
            <w:gridSpan w:val="2"/>
            <w:shd w:val="clear" w:color="auto" w:fill="auto"/>
            <w:vAlign w:val="center"/>
          </w:tcPr>
          <w:p>
            <w:pPr>
              <w:jc w:val="center"/>
              <w:rPr>
                <w:sz w:val="18"/>
                <w:szCs w:val="18"/>
                <w:highlight w:val="none"/>
              </w:rPr>
            </w:pPr>
            <w:r>
              <w:rPr>
                <w:rFonts w:hint="eastAsia"/>
                <w:sz w:val="18"/>
                <w:szCs w:val="18"/>
                <w:highlight w:val="none"/>
              </w:rPr>
              <w:t>基本支出</w:t>
            </w:r>
          </w:p>
        </w:tc>
        <w:tc>
          <w:tcPr>
            <w:tcW w:w="1247" w:type="dxa"/>
            <w:vMerge w:val="restart"/>
            <w:shd w:val="clear" w:color="auto" w:fill="auto"/>
            <w:vAlign w:val="center"/>
          </w:tcPr>
          <w:p>
            <w:pPr>
              <w:jc w:val="center"/>
              <w:rPr>
                <w:sz w:val="18"/>
                <w:szCs w:val="18"/>
                <w:highlight w:val="none"/>
              </w:rPr>
            </w:pPr>
            <w:r>
              <w:rPr>
                <w:rFonts w:hint="eastAsia"/>
                <w:sz w:val="18"/>
                <w:szCs w:val="18"/>
                <w:highlight w:val="none"/>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77" w:hRule="atLeast"/>
          <w:tblHeader/>
        </w:trPr>
        <w:tc>
          <w:tcPr>
            <w:tcW w:w="3402" w:type="dxa"/>
            <w:vMerge w:val="continue"/>
            <w:shd w:val="clear" w:color="auto" w:fill="auto"/>
            <w:vAlign w:val="center"/>
          </w:tcPr>
          <w:p>
            <w:pPr>
              <w:jc w:val="center"/>
              <w:rPr>
                <w:sz w:val="18"/>
                <w:szCs w:val="18"/>
                <w:highlight w:val="none"/>
              </w:rPr>
            </w:pPr>
          </w:p>
        </w:tc>
        <w:tc>
          <w:tcPr>
            <w:tcW w:w="1247" w:type="dxa"/>
            <w:vMerge w:val="continue"/>
            <w:shd w:val="clear" w:color="auto" w:fill="auto"/>
            <w:vAlign w:val="center"/>
          </w:tcPr>
          <w:p>
            <w:pPr>
              <w:jc w:val="center"/>
              <w:rPr>
                <w:sz w:val="18"/>
                <w:szCs w:val="18"/>
                <w:highlight w:val="none"/>
              </w:rPr>
            </w:pPr>
          </w:p>
        </w:tc>
        <w:tc>
          <w:tcPr>
            <w:tcW w:w="1247" w:type="dxa"/>
            <w:vMerge w:val="continue"/>
            <w:shd w:val="clear" w:color="auto" w:fill="auto"/>
            <w:vAlign w:val="center"/>
          </w:tcPr>
          <w:p>
            <w:pPr>
              <w:jc w:val="center"/>
              <w:rPr>
                <w:sz w:val="18"/>
                <w:szCs w:val="18"/>
                <w:highlight w:val="none"/>
              </w:rPr>
            </w:pPr>
          </w:p>
        </w:tc>
        <w:tc>
          <w:tcPr>
            <w:tcW w:w="1247" w:type="dxa"/>
            <w:shd w:val="clear" w:color="auto" w:fill="auto"/>
            <w:vAlign w:val="center"/>
          </w:tcPr>
          <w:p>
            <w:pPr>
              <w:jc w:val="center"/>
              <w:rPr>
                <w:sz w:val="18"/>
                <w:szCs w:val="18"/>
                <w:highlight w:val="none"/>
              </w:rPr>
            </w:pPr>
            <w:r>
              <w:rPr>
                <w:rFonts w:hint="eastAsia"/>
                <w:sz w:val="18"/>
                <w:szCs w:val="18"/>
                <w:highlight w:val="none"/>
              </w:rPr>
              <w:t>人员经费</w:t>
            </w:r>
          </w:p>
        </w:tc>
        <w:tc>
          <w:tcPr>
            <w:tcW w:w="1247" w:type="dxa"/>
            <w:shd w:val="clear" w:color="auto" w:fill="auto"/>
            <w:vAlign w:val="center"/>
          </w:tcPr>
          <w:p>
            <w:pPr>
              <w:jc w:val="center"/>
              <w:rPr>
                <w:sz w:val="18"/>
                <w:szCs w:val="18"/>
                <w:highlight w:val="none"/>
              </w:rPr>
            </w:pPr>
            <w:r>
              <w:rPr>
                <w:rFonts w:hint="eastAsia"/>
                <w:sz w:val="18"/>
                <w:szCs w:val="18"/>
                <w:highlight w:val="none"/>
              </w:rPr>
              <w:t>公用经费</w:t>
            </w:r>
          </w:p>
        </w:tc>
        <w:tc>
          <w:tcPr>
            <w:tcW w:w="1247" w:type="dxa"/>
            <w:vMerge w:val="continue"/>
            <w:shd w:val="clear" w:color="auto" w:fill="auto"/>
            <w:vAlign w:val="center"/>
          </w:tcPr>
          <w:p>
            <w:pPr>
              <w:jc w:val="center"/>
              <w:rPr>
                <w:sz w:val="18"/>
                <w:szCs w:val="18"/>
                <w:highlight w:val="none"/>
              </w:rPr>
            </w:pPr>
          </w:p>
        </w:tc>
        <w:tc>
          <w:tcPr>
            <w:tcW w:w="1247" w:type="dxa"/>
            <w:gridSpan w:val="2"/>
            <w:vMerge w:val="continue"/>
            <w:shd w:val="clear" w:color="auto" w:fill="auto"/>
            <w:vAlign w:val="center"/>
          </w:tcPr>
          <w:p>
            <w:pPr>
              <w:jc w:val="center"/>
              <w:rPr>
                <w:sz w:val="18"/>
                <w:szCs w:val="18"/>
                <w:highlight w:val="none"/>
              </w:rPr>
            </w:pPr>
          </w:p>
        </w:tc>
        <w:tc>
          <w:tcPr>
            <w:tcW w:w="1247" w:type="dxa"/>
            <w:shd w:val="clear" w:color="auto" w:fill="auto"/>
            <w:vAlign w:val="center"/>
          </w:tcPr>
          <w:p>
            <w:pPr>
              <w:jc w:val="center"/>
              <w:rPr>
                <w:sz w:val="18"/>
                <w:szCs w:val="18"/>
                <w:highlight w:val="none"/>
              </w:rPr>
            </w:pPr>
            <w:r>
              <w:rPr>
                <w:rFonts w:hint="eastAsia"/>
                <w:sz w:val="18"/>
                <w:szCs w:val="18"/>
                <w:highlight w:val="none"/>
              </w:rPr>
              <w:t>人员经费</w:t>
            </w:r>
          </w:p>
        </w:tc>
        <w:tc>
          <w:tcPr>
            <w:tcW w:w="1247" w:type="dxa"/>
            <w:shd w:val="clear" w:color="auto" w:fill="auto"/>
            <w:vAlign w:val="center"/>
          </w:tcPr>
          <w:p>
            <w:pPr>
              <w:jc w:val="center"/>
              <w:rPr>
                <w:sz w:val="18"/>
                <w:szCs w:val="18"/>
                <w:highlight w:val="none"/>
              </w:rPr>
            </w:pPr>
            <w:r>
              <w:rPr>
                <w:rFonts w:hint="eastAsia"/>
                <w:sz w:val="18"/>
                <w:szCs w:val="18"/>
                <w:highlight w:val="none"/>
              </w:rPr>
              <w:t>公用经费</w:t>
            </w:r>
          </w:p>
        </w:tc>
        <w:tc>
          <w:tcPr>
            <w:tcW w:w="1247" w:type="dxa"/>
            <w:vMerge w:val="continue"/>
            <w:shd w:val="clear" w:color="auto" w:fill="auto"/>
            <w:vAlign w:val="center"/>
          </w:tcPr>
          <w:p>
            <w:pPr>
              <w:jc w:val="center"/>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b/>
                <w:sz w:val="18"/>
                <w:szCs w:val="18"/>
                <w:highlight w:val="none"/>
              </w:rPr>
            </w:pPr>
            <w:r>
              <w:rPr>
                <w:rFonts w:hint="default" w:ascii="宋体" w:hAnsi="宋体"/>
                <w:b/>
                <w:kern w:val="0"/>
                <w:sz w:val="13"/>
                <w:szCs w:val="13"/>
                <w:highlight w:val="none"/>
              </w:rPr>
              <w:t>新疆维吾尔自治区无线电监测中心</w:t>
            </w:r>
          </w:p>
        </w:tc>
        <w:tc>
          <w:tcPr>
            <w:tcW w:w="1247" w:type="dxa"/>
            <w:shd w:val="clear" w:color="auto" w:fill="auto"/>
            <w:vAlign w:val="center"/>
          </w:tcPr>
          <w:p>
            <w:pPr>
              <w:ind w:right="-29" w:rightChars="-14"/>
              <w:jc w:val="right"/>
              <w:rPr>
                <w:b/>
                <w:sz w:val="18"/>
                <w:szCs w:val="18"/>
                <w:highlight w:val="none"/>
              </w:rPr>
            </w:pPr>
            <w:r>
              <w:rPr>
                <w:rFonts w:hint="default" w:ascii="宋体" w:hAnsi="宋体"/>
                <w:b/>
                <w:kern w:val="0"/>
                <w:sz w:val="13"/>
                <w:szCs w:val="13"/>
                <w:highlight w:val="none"/>
              </w:rPr>
              <w:t>310.63</w:t>
            </w:r>
          </w:p>
        </w:tc>
        <w:tc>
          <w:tcPr>
            <w:tcW w:w="1247" w:type="dxa"/>
            <w:shd w:val="clear" w:color="auto" w:fill="auto"/>
            <w:vAlign w:val="center"/>
          </w:tcPr>
          <w:p>
            <w:pPr>
              <w:ind w:right="-29" w:rightChars="-14"/>
              <w:jc w:val="right"/>
              <w:rPr>
                <w:b/>
                <w:sz w:val="18"/>
                <w:szCs w:val="18"/>
                <w:highlight w:val="none"/>
              </w:rPr>
            </w:pPr>
            <w:r>
              <w:rPr>
                <w:rFonts w:hint="default" w:ascii="宋体" w:hAnsi="宋体"/>
                <w:b/>
                <w:kern w:val="0"/>
                <w:sz w:val="13"/>
                <w:szCs w:val="13"/>
                <w:highlight w:val="none"/>
              </w:rPr>
              <w:t>310.63</w:t>
            </w:r>
          </w:p>
        </w:tc>
        <w:tc>
          <w:tcPr>
            <w:tcW w:w="1247" w:type="dxa"/>
            <w:shd w:val="clear" w:color="auto" w:fill="auto"/>
            <w:vAlign w:val="center"/>
          </w:tcPr>
          <w:p>
            <w:pPr>
              <w:ind w:right="-29" w:rightChars="-14"/>
              <w:jc w:val="right"/>
              <w:rPr>
                <w:b/>
                <w:sz w:val="18"/>
                <w:szCs w:val="18"/>
                <w:highlight w:val="none"/>
              </w:rPr>
            </w:pPr>
          </w:p>
        </w:tc>
        <w:tc>
          <w:tcPr>
            <w:tcW w:w="1247" w:type="dxa"/>
            <w:shd w:val="clear" w:color="auto" w:fill="auto"/>
            <w:vAlign w:val="center"/>
          </w:tcPr>
          <w:p>
            <w:pPr>
              <w:ind w:right="-29" w:rightChars="-14"/>
              <w:jc w:val="right"/>
              <w:rPr>
                <w:b/>
                <w:sz w:val="18"/>
                <w:szCs w:val="18"/>
                <w:highlight w:val="none"/>
              </w:rPr>
            </w:pPr>
          </w:p>
        </w:tc>
        <w:tc>
          <w:tcPr>
            <w:tcW w:w="1247" w:type="dxa"/>
            <w:shd w:val="clear" w:color="auto" w:fill="auto"/>
            <w:vAlign w:val="center"/>
          </w:tcPr>
          <w:p>
            <w:pPr>
              <w:ind w:right="-29" w:rightChars="-14"/>
              <w:jc w:val="right"/>
              <w:rPr>
                <w:b/>
                <w:sz w:val="18"/>
                <w:szCs w:val="18"/>
                <w:highlight w:val="none"/>
              </w:rPr>
            </w:pPr>
            <w:r>
              <w:rPr>
                <w:rFonts w:hint="default" w:ascii="宋体" w:hAnsi="宋体"/>
                <w:b/>
                <w:kern w:val="0"/>
                <w:sz w:val="13"/>
                <w:szCs w:val="13"/>
                <w:highlight w:val="none"/>
              </w:rPr>
              <w:t>310.63</w:t>
            </w:r>
          </w:p>
        </w:tc>
        <w:tc>
          <w:tcPr>
            <w:tcW w:w="1247" w:type="dxa"/>
            <w:gridSpan w:val="2"/>
            <w:shd w:val="clear" w:color="auto" w:fill="auto"/>
            <w:vAlign w:val="center"/>
          </w:tcPr>
          <w:p>
            <w:pPr>
              <w:ind w:right="-29" w:rightChars="-14"/>
              <w:jc w:val="right"/>
              <w:rPr>
                <w:b/>
                <w:sz w:val="18"/>
                <w:szCs w:val="18"/>
                <w:highlight w:val="none"/>
              </w:rPr>
            </w:pPr>
          </w:p>
        </w:tc>
        <w:tc>
          <w:tcPr>
            <w:tcW w:w="1247" w:type="dxa"/>
            <w:shd w:val="clear" w:color="auto" w:fill="auto"/>
            <w:vAlign w:val="center"/>
          </w:tcPr>
          <w:p>
            <w:pPr>
              <w:ind w:right="-29" w:rightChars="-14"/>
              <w:jc w:val="right"/>
              <w:rPr>
                <w:b/>
                <w:sz w:val="18"/>
                <w:szCs w:val="18"/>
                <w:highlight w:val="none"/>
              </w:rPr>
            </w:pPr>
          </w:p>
        </w:tc>
        <w:tc>
          <w:tcPr>
            <w:tcW w:w="1247" w:type="dxa"/>
            <w:shd w:val="clear" w:color="auto" w:fill="auto"/>
            <w:vAlign w:val="center"/>
          </w:tcPr>
          <w:p>
            <w:pPr>
              <w:ind w:right="-29" w:rightChars="-14"/>
              <w:jc w:val="right"/>
              <w:rPr>
                <w:b/>
                <w:sz w:val="18"/>
                <w:szCs w:val="18"/>
                <w:highlight w:val="none"/>
              </w:rPr>
            </w:pPr>
          </w:p>
        </w:tc>
        <w:tc>
          <w:tcPr>
            <w:tcW w:w="1247" w:type="dxa"/>
            <w:shd w:val="clear" w:color="auto" w:fill="auto"/>
            <w:vAlign w:val="center"/>
          </w:tcPr>
          <w:p>
            <w:pPr>
              <w:ind w:right="-29" w:rightChars="-14"/>
              <w:jc w:val="right"/>
              <w:rPr>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highlight w:val="none"/>
              </w:rPr>
            </w:pPr>
            <w:r>
              <w:rPr>
                <w:rFonts w:hint="default" w:ascii="宋体" w:hAnsi="宋体"/>
                <w:kern w:val="0"/>
                <w:sz w:val="13"/>
                <w:szCs w:val="13"/>
                <w:highlight w:val="none"/>
              </w:rPr>
              <w:t xml:space="preserve">  2025年无线电管理经费</w:t>
            </w:r>
          </w:p>
        </w:tc>
        <w:tc>
          <w:tcPr>
            <w:tcW w:w="1247" w:type="dxa"/>
            <w:shd w:val="clear" w:color="auto" w:fill="auto"/>
            <w:vAlign w:val="center"/>
          </w:tcPr>
          <w:p>
            <w:pPr>
              <w:ind w:right="-29" w:rightChars="-14"/>
              <w:jc w:val="right"/>
              <w:rPr>
                <w:sz w:val="18"/>
                <w:szCs w:val="18"/>
                <w:highlight w:val="none"/>
              </w:rPr>
            </w:pPr>
            <w:r>
              <w:rPr>
                <w:rFonts w:hint="default" w:ascii="宋体" w:hAnsi="宋体"/>
                <w:kern w:val="0"/>
                <w:sz w:val="13"/>
                <w:szCs w:val="13"/>
                <w:highlight w:val="none"/>
              </w:rPr>
              <w:t>205.40</w:t>
            </w:r>
          </w:p>
        </w:tc>
        <w:tc>
          <w:tcPr>
            <w:tcW w:w="1247" w:type="dxa"/>
            <w:shd w:val="clear" w:color="auto" w:fill="auto"/>
            <w:vAlign w:val="center"/>
          </w:tcPr>
          <w:p>
            <w:pPr>
              <w:ind w:right="-29" w:rightChars="-14"/>
              <w:jc w:val="right"/>
              <w:rPr>
                <w:sz w:val="18"/>
                <w:szCs w:val="18"/>
                <w:highlight w:val="none"/>
              </w:rPr>
            </w:pPr>
            <w:r>
              <w:rPr>
                <w:rFonts w:hint="default" w:ascii="宋体" w:hAnsi="宋体"/>
                <w:kern w:val="0"/>
                <w:sz w:val="13"/>
                <w:szCs w:val="13"/>
                <w:highlight w:val="none"/>
              </w:rPr>
              <w:t>205.40</w:t>
            </w:r>
          </w:p>
        </w:tc>
        <w:tc>
          <w:tcPr>
            <w:tcW w:w="1247" w:type="dxa"/>
            <w:shd w:val="clear" w:color="auto" w:fill="auto"/>
            <w:vAlign w:val="center"/>
          </w:tcPr>
          <w:p>
            <w:pPr>
              <w:ind w:right="-29" w:rightChars="-14"/>
              <w:jc w:val="right"/>
              <w:rPr>
                <w:sz w:val="18"/>
                <w:szCs w:val="18"/>
                <w:highlight w:val="none"/>
              </w:rPr>
            </w:pPr>
          </w:p>
        </w:tc>
        <w:tc>
          <w:tcPr>
            <w:tcW w:w="1247" w:type="dxa"/>
            <w:shd w:val="clear" w:color="auto" w:fill="auto"/>
            <w:vAlign w:val="center"/>
          </w:tcPr>
          <w:p>
            <w:pPr>
              <w:ind w:right="-29" w:rightChars="-14"/>
              <w:jc w:val="right"/>
              <w:rPr>
                <w:sz w:val="18"/>
                <w:szCs w:val="18"/>
                <w:highlight w:val="none"/>
              </w:rPr>
            </w:pPr>
          </w:p>
        </w:tc>
        <w:tc>
          <w:tcPr>
            <w:tcW w:w="1247" w:type="dxa"/>
            <w:shd w:val="clear" w:color="auto" w:fill="auto"/>
            <w:vAlign w:val="center"/>
          </w:tcPr>
          <w:p>
            <w:pPr>
              <w:ind w:right="-29" w:rightChars="-14"/>
              <w:jc w:val="right"/>
              <w:rPr>
                <w:sz w:val="18"/>
                <w:szCs w:val="18"/>
                <w:highlight w:val="none"/>
              </w:rPr>
            </w:pPr>
            <w:r>
              <w:rPr>
                <w:rFonts w:hint="default" w:ascii="宋体" w:hAnsi="宋体"/>
                <w:kern w:val="0"/>
                <w:sz w:val="13"/>
                <w:szCs w:val="13"/>
                <w:highlight w:val="none"/>
              </w:rPr>
              <w:t>205.40</w:t>
            </w:r>
          </w:p>
        </w:tc>
        <w:tc>
          <w:tcPr>
            <w:tcW w:w="1247" w:type="dxa"/>
            <w:gridSpan w:val="2"/>
            <w:shd w:val="clear" w:color="auto" w:fill="auto"/>
            <w:vAlign w:val="center"/>
          </w:tcPr>
          <w:p>
            <w:pPr>
              <w:ind w:right="-29" w:rightChars="-14"/>
              <w:jc w:val="right"/>
              <w:rPr>
                <w:sz w:val="18"/>
                <w:szCs w:val="18"/>
                <w:highlight w:val="none"/>
              </w:rPr>
            </w:pPr>
          </w:p>
        </w:tc>
        <w:tc>
          <w:tcPr>
            <w:tcW w:w="1247" w:type="dxa"/>
            <w:shd w:val="clear" w:color="auto" w:fill="auto"/>
            <w:vAlign w:val="center"/>
          </w:tcPr>
          <w:p>
            <w:pPr>
              <w:ind w:right="-29" w:rightChars="-14"/>
              <w:jc w:val="right"/>
              <w:rPr>
                <w:sz w:val="18"/>
                <w:szCs w:val="18"/>
                <w:highlight w:val="none"/>
              </w:rPr>
            </w:pPr>
          </w:p>
        </w:tc>
        <w:tc>
          <w:tcPr>
            <w:tcW w:w="1247" w:type="dxa"/>
            <w:shd w:val="clear" w:color="auto" w:fill="auto"/>
            <w:vAlign w:val="center"/>
          </w:tcPr>
          <w:p>
            <w:pPr>
              <w:ind w:right="-29" w:rightChars="-14"/>
              <w:jc w:val="right"/>
              <w:rPr>
                <w:sz w:val="18"/>
                <w:szCs w:val="18"/>
                <w:highlight w:val="none"/>
              </w:rPr>
            </w:pPr>
          </w:p>
        </w:tc>
        <w:tc>
          <w:tcPr>
            <w:tcW w:w="1247" w:type="dxa"/>
            <w:shd w:val="clear" w:color="auto" w:fill="auto"/>
            <w:vAlign w:val="center"/>
          </w:tcPr>
          <w:p>
            <w:pPr>
              <w:ind w:right="-29" w:rightChars="-14"/>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highlight w:val="none"/>
              </w:rPr>
            </w:pPr>
            <w:r>
              <w:rPr>
                <w:rFonts w:hint="default" w:ascii="宋体" w:hAnsi="宋体"/>
                <w:kern w:val="0"/>
                <w:sz w:val="13"/>
                <w:szCs w:val="13"/>
                <w:highlight w:val="none"/>
              </w:rPr>
              <w:t xml:space="preserve">  2025年中央无线电管理经费</w:t>
            </w:r>
          </w:p>
        </w:tc>
        <w:tc>
          <w:tcPr>
            <w:tcW w:w="1247" w:type="dxa"/>
            <w:shd w:val="clear" w:color="auto" w:fill="auto"/>
            <w:vAlign w:val="center"/>
          </w:tcPr>
          <w:p>
            <w:pPr>
              <w:ind w:right="-29" w:rightChars="-14"/>
              <w:jc w:val="right"/>
              <w:rPr>
                <w:sz w:val="18"/>
                <w:szCs w:val="18"/>
                <w:highlight w:val="none"/>
              </w:rPr>
            </w:pPr>
            <w:r>
              <w:rPr>
                <w:rFonts w:hint="default" w:ascii="宋体" w:hAnsi="宋体"/>
                <w:kern w:val="0"/>
                <w:sz w:val="13"/>
                <w:szCs w:val="13"/>
                <w:highlight w:val="none"/>
              </w:rPr>
              <w:t>105.24</w:t>
            </w:r>
          </w:p>
        </w:tc>
        <w:tc>
          <w:tcPr>
            <w:tcW w:w="1247" w:type="dxa"/>
            <w:shd w:val="clear" w:color="auto" w:fill="auto"/>
            <w:vAlign w:val="center"/>
          </w:tcPr>
          <w:p>
            <w:pPr>
              <w:ind w:right="-29" w:rightChars="-14"/>
              <w:jc w:val="right"/>
              <w:rPr>
                <w:sz w:val="18"/>
                <w:szCs w:val="18"/>
                <w:highlight w:val="none"/>
              </w:rPr>
            </w:pPr>
            <w:r>
              <w:rPr>
                <w:rFonts w:hint="default" w:ascii="宋体" w:hAnsi="宋体"/>
                <w:kern w:val="0"/>
                <w:sz w:val="13"/>
                <w:szCs w:val="13"/>
                <w:highlight w:val="none"/>
              </w:rPr>
              <w:t>105.24</w:t>
            </w:r>
          </w:p>
        </w:tc>
        <w:tc>
          <w:tcPr>
            <w:tcW w:w="1247" w:type="dxa"/>
            <w:shd w:val="clear" w:color="auto" w:fill="auto"/>
            <w:vAlign w:val="center"/>
          </w:tcPr>
          <w:p>
            <w:pPr>
              <w:ind w:right="-29" w:rightChars="-14"/>
              <w:jc w:val="right"/>
              <w:rPr>
                <w:sz w:val="18"/>
                <w:szCs w:val="18"/>
                <w:highlight w:val="none"/>
              </w:rPr>
            </w:pPr>
          </w:p>
        </w:tc>
        <w:tc>
          <w:tcPr>
            <w:tcW w:w="1247" w:type="dxa"/>
            <w:shd w:val="clear" w:color="auto" w:fill="auto"/>
            <w:vAlign w:val="center"/>
          </w:tcPr>
          <w:p>
            <w:pPr>
              <w:ind w:right="-29" w:rightChars="-14"/>
              <w:jc w:val="right"/>
              <w:rPr>
                <w:sz w:val="18"/>
                <w:szCs w:val="18"/>
                <w:highlight w:val="none"/>
              </w:rPr>
            </w:pPr>
          </w:p>
        </w:tc>
        <w:tc>
          <w:tcPr>
            <w:tcW w:w="1247" w:type="dxa"/>
            <w:shd w:val="clear" w:color="auto" w:fill="auto"/>
            <w:vAlign w:val="center"/>
          </w:tcPr>
          <w:p>
            <w:pPr>
              <w:ind w:right="-29" w:rightChars="-14"/>
              <w:jc w:val="right"/>
              <w:rPr>
                <w:sz w:val="18"/>
                <w:szCs w:val="18"/>
                <w:highlight w:val="none"/>
              </w:rPr>
            </w:pPr>
            <w:r>
              <w:rPr>
                <w:rFonts w:hint="default" w:ascii="宋体" w:hAnsi="宋体"/>
                <w:kern w:val="0"/>
                <w:sz w:val="13"/>
                <w:szCs w:val="13"/>
                <w:highlight w:val="none"/>
              </w:rPr>
              <w:t>105.24</w:t>
            </w:r>
          </w:p>
        </w:tc>
        <w:tc>
          <w:tcPr>
            <w:tcW w:w="1247" w:type="dxa"/>
            <w:gridSpan w:val="2"/>
            <w:shd w:val="clear" w:color="auto" w:fill="auto"/>
            <w:vAlign w:val="center"/>
          </w:tcPr>
          <w:p>
            <w:pPr>
              <w:ind w:right="-29" w:rightChars="-14"/>
              <w:jc w:val="right"/>
              <w:rPr>
                <w:sz w:val="18"/>
                <w:szCs w:val="18"/>
                <w:highlight w:val="none"/>
              </w:rPr>
            </w:pPr>
          </w:p>
        </w:tc>
        <w:tc>
          <w:tcPr>
            <w:tcW w:w="1247" w:type="dxa"/>
            <w:shd w:val="clear" w:color="auto" w:fill="auto"/>
            <w:vAlign w:val="center"/>
          </w:tcPr>
          <w:p>
            <w:pPr>
              <w:ind w:right="-29" w:rightChars="-14"/>
              <w:jc w:val="right"/>
              <w:rPr>
                <w:sz w:val="18"/>
                <w:szCs w:val="18"/>
                <w:highlight w:val="none"/>
              </w:rPr>
            </w:pPr>
          </w:p>
        </w:tc>
        <w:tc>
          <w:tcPr>
            <w:tcW w:w="1247" w:type="dxa"/>
            <w:shd w:val="clear" w:color="auto" w:fill="auto"/>
            <w:vAlign w:val="center"/>
          </w:tcPr>
          <w:p>
            <w:pPr>
              <w:ind w:right="-29" w:rightChars="-14"/>
              <w:jc w:val="right"/>
              <w:rPr>
                <w:sz w:val="18"/>
                <w:szCs w:val="18"/>
                <w:highlight w:val="none"/>
              </w:rPr>
            </w:pPr>
          </w:p>
        </w:tc>
        <w:tc>
          <w:tcPr>
            <w:tcW w:w="1247" w:type="dxa"/>
            <w:shd w:val="clear" w:color="auto" w:fill="auto"/>
            <w:vAlign w:val="center"/>
          </w:tcPr>
          <w:p>
            <w:pPr>
              <w:ind w:right="-29" w:rightChars="-14"/>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center"/>
              <w:rPr>
                <w:b/>
                <w:sz w:val="18"/>
                <w:szCs w:val="18"/>
                <w:highlight w:val="none"/>
              </w:rPr>
            </w:pPr>
            <w:r>
              <w:rPr>
                <w:rFonts w:hint="default" w:ascii="宋体" w:hAnsi="宋体"/>
                <w:b/>
                <w:kern w:val="0"/>
                <w:sz w:val="13"/>
                <w:szCs w:val="13"/>
                <w:highlight w:val="none"/>
              </w:rPr>
              <w:t>总计</w:t>
            </w:r>
          </w:p>
        </w:tc>
        <w:tc>
          <w:tcPr>
            <w:tcW w:w="1247" w:type="dxa"/>
            <w:shd w:val="clear" w:color="auto" w:fill="auto"/>
            <w:vAlign w:val="center"/>
          </w:tcPr>
          <w:p>
            <w:pPr>
              <w:ind w:right="-29" w:rightChars="-14"/>
              <w:jc w:val="right"/>
              <w:rPr>
                <w:b/>
                <w:sz w:val="18"/>
                <w:szCs w:val="18"/>
                <w:highlight w:val="none"/>
              </w:rPr>
            </w:pPr>
            <w:r>
              <w:rPr>
                <w:rFonts w:hint="default" w:ascii="宋体" w:hAnsi="宋体"/>
                <w:b/>
                <w:kern w:val="0"/>
                <w:sz w:val="13"/>
                <w:szCs w:val="13"/>
                <w:highlight w:val="none"/>
              </w:rPr>
              <w:t>310.63</w:t>
            </w:r>
          </w:p>
        </w:tc>
        <w:tc>
          <w:tcPr>
            <w:tcW w:w="1247" w:type="dxa"/>
            <w:shd w:val="clear" w:color="auto" w:fill="auto"/>
            <w:vAlign w:val="center"/>
          </w:tcPr>
          <w:p>
            <w:pPr>
              <w:ind w:right="-29" w:rightChars="-14"/>
              <w:jc w:val="right"/>
              <w:rPr>
                <w:b/>
                <w:sz w:val="18"/>
                <w:szCs w:val="18"/>
                <w:highlight w:val="none"/>
              </w:rPr>
            </w:pPr>
            <w:r>
              <w:rPr>
                <w:rFonts w:hint="default" w:ascii="宋体" w:hAnsi="宋体"/>
                <w:b/>
                <w:kern w:val="0"/>
                <w:sz w:val="13"/>
                <w:szCs w:val="13"/>
                <w:highlight w:val="none"/>
              </w:rPr>
              <w:t>310.63</w:t>
            </w:r>
          </w:p>
        </w:tc>
        <w:tc>
          <w:tcPr>
            <w:tcW w:w="1247" w:type="dxa"/>
            <w:shd w:val="clear" w:color="auto" w:fill="auto"/>
            <w:vAlign w:val="center"/>
          </w:tcPr>
          <w:p>
            <w:pPr>
              <w:ind w:right="-29" w:rightChars="-14"/>
              <w:jc w:val="right"/>
              <w:rPr>
                <w:b/>
                <w:sz w:val="18"/>
                <w:szCs w:val="18"/>
                <w:highlight w:val="none"/>
              </w:rPr>
            </w:pPr>
          </w:p>
        </w:tc>
        <w:tc>
          <w:tcPr>
            <w:tcW w:w="1247" w:type="dxa"/>
            <w:shd w:val="clear" w:color="auto" w:fill="auto"/>
            <w:vAlign w:val="center"/>
          </w:tcPr>
          <w:p>
            <w:pPr>
              <w:ind w:right="-29" w:rightChars="-14"/>
              <w:jc w:val="right"/>
              <w:rPr>
                <w:b/>
                <w:sz w:val="18"/>
                <w:szCs w:val="18"/>
                <w:highlight w:val="none"/>
              </w:rPr>
            </w:pPr>
          </w:p>
        </w:tc>
        <w:tc>
          <w:tcPr>
            <w:tcW w:w="1247" w:type="dxa"/>
            <w:shd w:val="clear" w:color="auto" w:fill="auto"/>
            <w:vAlign w:val="center"/>
          </w:tcPr>
          <w:p>
            <w:pPr>
              <w:ind w:right="-29" w:rightChars="-14"/>
              <w:jc w:val="right"/>
              <w:rPr>
                <w:b/>
                <w:sz w:val="18"/>
                <w:szCs w:val="18"/>
                <w:highlight w:val="none"/>
              </w:rPr>
            </w:pPr>
            <w:r>
              <w:rPr>
                <w:rFonts w:hint="default" w:ascii="宋体" w:hAnsi="宋体"/>
                <w:b/>
                <w:kern w:val="0"/>
                <w:sz w:val="13"/>
                <w:szCs w:val="13"/>
                <w:highlight w:val="none"/>
              </w:rPr>
              <w:t>310.63</w:t>
            </w:r>
          </w:p>
        </w:tc>
        <w:tc>
          <w:tcPr>
            <w:tcW w:w="1247" w:type="dxa"/>
            <w:gridSpan w:val="2"/>
            <w:shd w:val="clear" w:color="auto" w:fill="auto"/>
            <w:vAlign w:val="center"/>
          </w:tcPr>
          <w:p>
            <w:pPr>
              <w:ind w:right="-29" w:rightChars="-14"/>
              <w:jc w:val="right"/>
              <w:rPr>
                <w:b/>
                <w:sz w:val="18"/>
                <w:szCs w:val="18"/>
                <w:highlight w:val="none"/>
              </w:rPr>
            </w:pPr>
          </w:p>
        </w:tc>
        <w:tc>
          <w:tcPr>
            <w:tcW w:w="1247" w:type="dxa"/>
            <w:shd w:val="clear" w:color="auto" w:fill="auto"/>
            <w:vAlign w:val="center"/>
          </w:tcPr>
          <w:p>
            <w:pPr>
              <w:ind w:right="-29" w:rightChars="-14"/>
              <w:jc w:val="right"/>
              <w:rPr>
                <w:b/>
                <w:sz w:val="18"/>
                <w:szCs w:val="18"/>
                <w:highlight w:val="none"/>
              </w:rPr>
            </w:pPr>
          </w:p>
        </w:tc>
        <w:tc>
          <w:tcPr>
            <w:tcW w:w="1247" w:type="dxa"/>
            <w:shd w:val="clear" w:color="auto" w:fill="auto"/>
            <w:vAlign w:val="center"/>
          </w:tcPr>
          <w:p>
            <w:pPr>
              <w:ind w:right="-29" w:rightChars="-14"/>
              <w:jc w:val="right"/>
              <w:rPr>
                <w:b/>
                <w:sz w:val="18"/>
                <w:szCs w:val="18"/>
                <w:highlight w:val="none"/>
              </w:rPr>
            </w:pPr>
          </w:p>
        </w:tc>
        <w:tc>
          <w:tcPr>
            <w:tcW w:w="1247" w:type="dxa"/>
            <w:shd w:val="clear" w:color="auto" w:fill="auto"/>
            <w:vAlign w:val="center"/>
          </w:tcPr>
          <w:p>
            <w:pPr>
              <w:ind w:right="-29" w:rightChars="-14"/>
              <w:jc w:val="right"/>
              <w:rPr>
                <w:b/>
                <w:sz w:val="18"/>
                <w:szCs w:val="18"/>
                <w:highlight w:val="none"/>
              </w:rPr>
            </w:pPr>
          </w:p>
        </w:tc>
      </w:tr>
    </w:tbl>
    <w:p>
      <w:pPr>
        <w:widowControl/>
        <w:jc w:val="left"/>
        <w:rPr>
          <w:rFonts w:hint="default" w:ascii="仿宋" w:eastAsia="仿宋"/>
          <w:b/>
          <w:color w:val="000000"/>
          <w:szCs w:val="21"/>
          <w:highlight w:val="none"/>
        </w:rPr>
        <w:sectPr>
          <w:pgSz w:w="16838" w:h="11906" w:orient="landscape"/>
          <w:pgMar w:top="1134" w:right="1134" w:bottom="1134" w:left="1134" w:header="851" w:footer="992" w:gutter="0"/>
          <w:cols w:space="425" w:num="1"/>
          <w:docGrid w:type="lines" w:linePitch="312" w:charSpace="0"/>
        </w:sectPr>
      </w:pPr>
    </w:p>
    <w:p>
      <w:pPr>
        <w:pStyle w:val="2"/>
        <w:spacing w:before="156" w:beforeLines="50" w:after="156" w:afterLines="50" w:line="240" w:lineRule="atLeast"/>
        <w:jc w:val="center"/>
        <w:rPr>
          <w:rFonts w:hint="default" w:ascii="黑体" w:eastAsia="黑体"/>
          <w:sz w:val="30"/>
          <w:szCs w:val="30"/>
          <w:highlight w:val="none"/>
        </w:rPr>
      </w:pPr>
      <w:r>
        <w:rPr>
          <w:rFonts w:hint="eastAsia" w:ascii="黑体" w:eastAsia="黑体"/>
          <w:sz w:val="30"/>
          <w:szCs w:val="30"/>
          <w:highlight w:val="none"/>
        </w:rPr>
        <w:t>第三部分 2026年单位预算情况说明</w:t>
      </w:r>
    </w:p>
    <w:p>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关于新疆维吾尔自治区无线电监测中心2026年收支预算情况总体说明</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按照全口径预算的原则，新疆维吾尔自治区无线电监测中心2026年所有收入和支出均纳入单位预算管理。收支总预算914.14万元。</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收入预算包括：一般公共预算、财政拨款结转结余。</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支出预算包括：社会保障和就业支出、卫生健康支出、资源勘探工业信息等支出、住房保障支出。</w:t>
      </w:r>
    </w:p>
    <w:p>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关于新疆维吾尔自治区无线电监测中心2026年收入预算情况说明</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新疆维吾尔自治区无线电监测中心单位收入预算914.14万元，其中：</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一般公共预算301.37万元，占32.97%，比上年预算增加12.15万元，增长4.20%，主要原因是2026年在职人员正常晋升，</w:t>
      </w:r>
      <w:r>
        <w:rPr>
          <w:rFonts w:hint="eastAsia" w:ascii="仿宋" w:hAnsi="微软雅黑" w:eastAsia="仿宋"/>
          <w:sz w:val="28"/>
          <w:szCs w:val="28"/>
          <w:highlight w:val="none"/>
          <w:lang w:val="en-US" w:eastAsia="zh-CN"/>
        </w:rPr>
        <w:t>人员及公用经费</w:t>
      </w:r>
      <w:r>
        <w:rPr>
          <w:rFonts w:hint="eastAsia" w:ascii="仿宋" w:hAnsi="微软雅黑" w:eastAsia="仿宋"/>
          <w:sz w:val="28"/>
          <w:szCs w:val="28"/>
          <w:highlight w:val="none"/>
        </w:rPr>
        <w:t>增加。</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上级一般公共预算安排的转移支付资金302.14万元，占33.05%，比上年预算减少268.96万元，下降47.10%，主要原因是当年根据国家分配预算情况，减少无线电管理设施构建支出项目160万元，减少无线电管理基础设施和技术设施运行维护支出92.46万元，减少无线电专项监管和其他相关支出16.5万元。</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政府性基金预算未安排。</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上级政府性基金安排的转移支付资金未安排。</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国有资本经营预算未安排。</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上级国有资本经营预算安排的转移支付资金未安排。</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财政拨款结转310.63万元，占33.98%，比上年预算增加277.35万元，增长833.38%，主要原因是2024年财政拨款结转33.28万元。2025年无线电项目完成率较低，无线电项目执行完成382.61万元，剩余310.63万元结转2026年，较上年增加277.35万元。</w:t>
      </w:r>
    </w:p>
    <w:p>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关于新疆维吾尔自治区无线电监测中心2026年支出预算情况说明</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新疆维吾尔自治区无线电监测中心2026年支出预算914.14万元，其中：</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基本支出301.37万元，占32.97%，比上年预算增加12.15万元，增长4.20%，主要原因是根据实际工作情况，2026年在职人员正常晋升等原因正常调薪，邮电费、电费、物业管理费、残疾人就业保障金增加。</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项目支出612.77万元，占67.03%，比上年预算增加8.39万元，增长1.39%，主要原因是1.当年根据国家分配情况，减少无线电管理设施构建支出项目160万元，减少无线电管理基础设施和技术设施运行维护支出92.46万元，减少无线电专项监管和其他相关支出16.5万元。2.上年结转无线电管理基础设施和技术设施运行维护及无线电专项监管和其他相关支出增加277.35万元。</w:t>
      </w:r>
    </w:p>
    <w:p>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关于新疆维吾尔自治区无线电监测中心2026年财政拨款收支预算情况的总体说明</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2026年财政拨款收支总预算603.51万元。</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收入全部为一般公共预算拨款，无政府性基金预算拨款和国有资本经营预算。</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收入预算包括：一般公共预算拨款603.51万元。</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一般公共预算支出包括：社会保障和就业支出50.08万元，主要用于机关事业单位基本养老保险缴费支出、事业单位离退休；卫生健康支出34.20万元，主要用于事业单位医疗、公务员医疗补助；资源勘探工业信息等支出496.22万元，主要用于无线电及信息通信监管；住房保障支出23.00万元，主要用于住房公积金。</w:t>
      </w:r>
    </w:p>
    <w:p>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关于新疆维吾尔自治区无线电监测中心2026年一般公共预算当年拨款情况说明</w:t>
      </w:r>
    </w:p>
    <w:p>
      <w:pPr>
        <w:widowControl/>
        <w:spacing w:line="560" w:lineRule="exact"/>
        <w:ind w:firstLine="560" w:firstLineChars="200"/>
        <w:rPr>
          <w:rFonts w:hint="default" w:ascii="仿宋" w:hAnsi="微软雅黑" w:eastAsia="仿宋"/>
          <w:b/>
          <w:sz w:val="28"/>
          <w:szCs w:val="28"/>
          <w:highlight w:val="none"/>
        </w:rPr>
      </w:pPr>
      <w:r>
        <w:rPr>
          <w:rFonts w:hint="eastAsia" w:ascii="仿宋" w:hAnsi="微软雅黑" w:eastAsia="仿宋"/>
          <w:b/>
          <w:sz w:val="28"/>
          <w:szCs w:val="28"/>
          <w:highlight w:val="none"/>
        </w:rPr>
        <w:t>（一）一般公共预算当年拨款规模变化情况</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新疆维吾尔自治区无线电监测中心2026年一般公共预算拨款合计603.51万元，其中：</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基本支出301.37万元，比上年预算增加12.15万元，增长4.20%，主要原因是根据实际工作情况，2026年在职人员正常晋升等原因正常调薪，邮电费、电费、物业管理费、残疾人就业保障金增加。</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项目支出302.14万元，比上年预算减少268.96万元，下降47.10%，主要原因是当年根据国家分配情况，减少无线电管理设施构建支出项目160万元，减少无线电管理基础设施和技术设施运行维护项目支出92.46万元，减少无线电专项监管和其他相关支出项目16.5万元。</w:t>
      </w:r>
    </w:p>
    <w:p>
      <w:pPr>
        <w:widowControl/>
        <w:spacing w:line="560" w:lineRule="exact"/>
        <w:ind w:firstLine="560" w:firstLineChars="200"/>
        <w:rPr>
          <w:rFonts w:hint="default" w:ascii="仿宋" w:hAnsi="微软雅黑" w:eastAsia="仿宋"/>
          <w:b/>
          <w:sz w:val="28"/>
          <w:szCs w:val="28"/>
          <w:highlight w:val="none"/>
        </w:rPr>
      </w:pPr>
      <w:r>
        <w:rPr>
          <w:rFonts w:hint="eastAsia" w:ascii="仿宋" w:hAnsi="微软雅黑" w:eastAsia="仿宋"/>
          <w:b/>
          <w:sz w:val="28"/>
          <w:szCs w:val="28"/>
          <w:highlight w:val="none"/>
        </w:rPr>
        <w:t>（二）一般公共预算当年拨款结构情况，其中：</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1.社会保障和就业支出（类）50.08万元，占8.30%。</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2.卫生健康支出（类）34.20万元，占5.67%。</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3.资源勘探工业信息等支出（类）496.22万元，占82.22%。</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4.住房保障支出（类）23.00万元，占3.81%。</w:t>
      </w:r>
    </w:p>
    <w:p>
      <w:pPr>
        <w:widowControl/>
        <w:spacing w:line="560" w:lineRule="exact"/>
        <w:ind w:firstLine="560" w:firstLineChars="200"/>
        <w:rPr>
          <w:rFonts w:hint="default" w:ascii="仿宋" w:hAnsi="微软雅黑" w:eastAsia="仿宋"/>
          <w:b/>
          <w:sz w:val="28"/>
          <w:szCs w:val="28"/>
          <w:highlight w:val="none"/>
        </w:rPr>
      </w:pPr>
      <w:r>
        <w:rPr>
          <w:rFonts w:hint="eastAsia" w:ascii="仿宋" w:hAnsi="微软雅黑" w:eastAsia="仿宋"/>
          <w:b/>
          <w:sz w:val="28"/>
          <w:szCs w:val="28"/>
          <w:highlight w:val="none"/>
        </w:rPr>
        <w:t>（三）一般公共预算当年拨款具体使用情况</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1.社会保障和就业支出（类）行政事业单位养老支出（款）事业单位离退休（项）：2026年预算数为5.08万元，比上年预算增加0.00万元，增长0.00%，主要原因是</w:t>
      </w:r>
      <w:r>
        <w:rPr>
          <w:rFonts w:hint="eastAsia" w:ascii="仿宋" w:hAnsi="微软雅黑" w:eastAsia="仿宋"/>
          <w:sz w:val="28"/>
          <w:szCs w:val="28"/>
          <w:highlight w:val="none"/>
          <w:lang w:val="en-US" w:eastAsia="zh-CN"/>
        </w:rPr>
        <w:t>退休人员无变动</w:t>
      </w:r>
      <w:r>
        <w:rPr>
          <w:rFonts w:hint="eastAsia" w:ascii="仿宋" w:hAnsi="微软雅黑" w:eastAsia="仿宋"/>
          <w:sz w:val="28"/>
          <w:szCs w:val="28"/>
          <w:highlight w:val="none"/>
        </w:rPr>
        <w:t>，退休</w:t>
      </w:r>
      <w:r>
        <w:rPr>
          <w:rFonts w:hint="eastAsia" w:ascii="仿宋" w:hAnsi="微软雅黑" w:eastAsia="仿宋"/>
          <w:sz w:val="28"/>
          <w:szCs w:val="28"/>
          <w:highlight w:val="none"/>
          <w:lang w:val="en-US" w:eastAsia="zh-CN"/>
        </w:rPr>
        <w:t>费</w:t>
      </w:r>
      <w:r>
        <w:rPr>
          <w:rFonts w:hint="eastAsia" w:ascii="仿宋" w:hAnsi="微软雅黑" w:eastAsia="仿宋"/>
          <w:sz w:val="28"/>
          <w:szCs w:val="28"/>
          <w:highlight w:val="none"/>
        </w:rPr>
        <w:t>支出与上年一致。</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2.社会保障和就业支出（类）行政事业单位养老支出（款）机关事业单位基本养老保险缴费支出（项）：2026年预算数为30.00万元，比上年预算增加0.29万元，增长0.98%，主要原因是2026年在职人员正常晋升，机关事业单位基本养老保险缴费预算相应增加。</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3.社会保障和就业支出（类）行政事业单位养老支出（款）机关事业单位职业年金缴费支出（项）：2026年预算数为15.00万元，比上年预算增加15.00万元，增长100.00%，主要原因是2026年</w:t>
      </w:r>
      <w:r>
        <w:rPr>
          <w:rFonts w:hint="eastAsia" w:ascii="仿宋" w:hAnsi="微软雅黑" w:eastAsia="仿宋"/>
          <w:sz w:val="28"/>
          <w:szCs w:val="28"/>
          <w:highlight w:val="none"/>
          <w:lang w:val="en-US" w:eastAsia="zh-CN"/>
        </w:rPr>
        <w:t>起</w:t>
      </w:r>
      <w:r>
        <w:rPr>
          <w:rFonts w:hint="eastAsia" w:ascii="仿宋" w:hAnsi="微软雅黑" w:eastAsia="仿宋"/>
          <w:sz w:val="28"/>
          <w:szCs w:val="28"/>
          <w:highlight w:val="none"/>
        </w:rPr>
        <w:t>职业年金纳入</w:t>
      </w:r>
      <w:r>
        <w:rPr>
          <w:rFonts w:hint="eastAsia" w:ascii="仿宋" w:hAnsi="微软雅黑" w:eastAsia="仿宋"/>
          <w:sz w:val="28"/>
          <w:szCs w:val="28"/>
          <w:highlight w:val="none"/>
          <w:lang w:val="en-US" w:eastAsia="zh-CN"/>
        </w:rPr>
        <w:t>年初预算安排</w:t>
      </w:r>
      <w:r>
        <w:rPr>
          <w:rFonts w:hint="eastAsia" w:ascii="仿宋" w:hAnsi="微软雅黑" w:eastAsia="仿宋"/>
          <w:sz w:val="28"/>
          <w:szCs w:val="28"/>
          <w:highlight w:val="none"/>
        </w:rPr>
        <w:t>。</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4.卫生健康支出（类）行政事业单位医疗（款）事业单位医疗（项）：2026年预算数为20.20万元，比上年预算增加3.49万元，增长20.89%，主要原因是2026年在职人员正常晋升，财政安排医疗补助预算相应增加。</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5.卫生健康支出（类）行政事业单位医疗（款）公务员医疗补助（项）：2026年预算数为14.00万元，比上年预算增加1.00万元，增长7.69%，主要原因是2026年在职人员正常晋升，财政安排医疗补助预算相应小幅增加。</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6.资源勘探工业信息等支出（类）工业和信息产业（款）无线电及信息通信监管（项）：2026年预算数为496.22万元，比上年预算减少276.38万元，下降35.77%，主要原因是1.根据职工工资数据测算，2026年人员类型项目-保工资减少4.3万元，2.根据实际数据测算2026年运转类公用减少3.03万元，3.根据实际数据测算，2026年人员类型-其他刚性支出减少0.09万元，4.2026年无线电管理经费减少268.96万元，其中：减少无线电管理设施构建支出160万元，减少无线电管理基础设施和技术设施运行维护支出92.46万元，减少无线电专项监管和其他相关支出16.5万元。</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7.住房保障支出（类）住房改革支出（款）住房公积金（项）：2026年预算数为23.00万元，比上年预算减少0.21万元，下降0.90%，主要原因是2026年在职人员正常晋升及调出2人，调入1人。财政安排住房公积金支出预算相应小幅减少。</w:t>
      </w:r>
    </w:p>
    <w:p>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关于新疆维吾尔自治区无线电监测中心2026年一般公共预算基本支出情况说明</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新疆维吾尔自治区无线电监测中心2026年一般公共预算基本支出301.37万元，其中：</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人员经费269.36万元，主要包括：基本工资、津贴补贴、奖金、绩效工资、机关事业单位基本养老保险缴费、职业年金缴费、职工基本医疗保险缴费、公务员医疗补助缴费、其他社会保障缴费、住房公积金、其他工资福利支出、退休费、其他对个人和家庭的补助。</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公用经费32.00万元，主要包括：办公费、水费、电费、邮电费、取暖费、物业管理费、差旅费、工会经费、公务用车运行维护费、其他商品和服务支出。</w:t>
      </w:r>
    </w:p>
    <w:p>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关于新疆维吾尔自治区无线电监测中心2026年一般公共预算项目支出情况说明</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（一）项目名称：2026年无线电管理经费</w:t>
      </w:r>
    </w:p>
    <w:p>
      <w:pPr>
        <w:widowControl/>
        <w:spacing w:line="560" w:lineRule="exact"/>
        <w:ind w:firstLine="560" w:firstLineChars="200"/>
        <w:rPr>
          <w:rFonts w:hint="eastAsia" w:ascii="仿宋" w:hAnsi="微软雅黑" w:eastAsia="仿宋"/>
          <w:sz w:val="28"/>
          <w:szCs w:val="28"/>
          <w:highlight w:val="none"/>
          <w:lang w:val="en-US" w:eastAsia="zh-CN"/>
        </w:rPr>
      </w:pPr>
      <w:r>
        <w:rPr>
          <w:rFonts w:hint="eastAsia" w:ascii="仿宋" w:hAnsi="微软雅黑" w:eastAsia="仿宋"/>
          <w:sz w:val="28"/>
          <w:szCs w:val="28"/>
          <w:highlight w:val="none"/>
        </w:rPr>
        <w:t>设立的政策依据：</w:t>
      </w:r>
      <w:r>
        <w:rPr>
          <w:rFonts w:hint="eastAsia" w:ascii="仿宋" w:hAnsi="微软雅黑" w:eastAsia="仿宋"/>
          <w:sz w:val="28"/>
          <w:szCs w:val="28"/>
        </w:rPr>
        <w:t>《财政部关于提前下达2026年无线电管理经费预算的通知》（新财建〔2025〕245号）、《国务院关于印发推进财政资金统筹使用方案的通知》（国发〔2015〕35号）、《国家无线电办公室关于印发〈无线电管理基础和技术设施建设项目管理指导意见〉的通知》（国无办函〔2019〕21号）</w:t>
      </w:r>
      <w:r>
        <w:rPr>
          <w:rFonts w:hint="eastAsia" w:ascii="仿宋" w:hAnsi="微软雅黑" w:eastAsia="仿宋"/>
          <w:sz w:val="28"/>
          <w:szCs w:val="28"/>
          <w:lang w:eastAsia="zh-CN"/>
        </w:rPr>
        <w:t>。</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预算安排规模：302.14万元</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项目承担单位：新疆维吾尔自治区无线电监测中心</w:t>
      </w:r>
    </w:p>
    <w:p>
      <w:pPr>
        <w:widowControl/>
        <w:spacing w:line="560" w:lineRule="exact"/>
        <w:ind w:firstLine="560" w:firstLineChars="200"/>
        <w:rPr>
          <w:rFonts w:hint="default" w:ascii="仿宋" w:hAnsi="微软雅黑" w:eastAsia="仿宋"/>
          <w:sz w:val="28"/>
          <w:szCs w:val="28"/>
          <w:highlight w:val="none"/>
          <w:lang w:val="en-US" w:eastAsia="zh-CN"/>
        </w:rPr>
      </w:pPr>
      <w:r>
        <w:rPr>
          <w:rFonts w:hint="eastAsia" w:ascii="仿宋" w:hAnsi="微软雅黑" w:eastAsia="仿宋"/>
          <w:sz w:val="28"/>
          <w:szCs w:val="28"/>
          <w:highlight w:val="none"/>
        </w:rPr>
        <w:t>资金分配情况：用于无线电及信息通信监管中无线电专用房屋建筑物运行维护费</w:t>
      </w:r>
      <w:r>
        <w:rPr>
          <w:rFonts w:hint="eastAsia" w:ascii="仿宋" w:hAnsi="微软雅黑" w:eastAsia="仿宋"/>
          <w:sz w:val="28"/>
          <w:szCs w:val="28"/>
          <w:highlight w:val="none"/>
          <w:lang w:val="en-US" w:eastAsia="zh-CN"/>
        </w:rPr>
        <w:t>34.50万元，特种车辆运行维护费26.64万元，无线电技术设施运行维护215.00万元，专项监管和其他支出项目26万元。</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资金执行时间：2026年1月1日—2026年12月30日。</w:t>
      </w:r>
    </w:p>
    <w:p>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关于新疆维吾尔自治区无线电监测中心2026年政府性基金预算拨款情况说明</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新疆维吾尔自治区无线电监测中心2026年没有使用政府性基金预算拨款安排的支出，政府性基金预算支出情况表为空表。</w:t>
      </w:r>
    </w:p>
    <w:p>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关于新疆维吾尔自治区无线电监测中心2026年国有资本经营预算拨款情况说明</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新疆维吾尔自治区无线电监测中心2026年没有使用国有资本经营预算拨款安排的支出，国有资本经营预算支出情况表为空表。</w:t>
      </w:r>
    </w:p>
    <w:p>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关于新疆维吾尔自治区无线电监测中心2026年财政拨款“三公”经费预算情况说明</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新疆维吾尔自治区无线电监测中心2026年财政拨款“三公”经费数为12.54万元，其中：因公出国（境）费用0.00万元，公务用车购置0.00万元，公务用车运行维护费12.54万元，公务接待费0.00万元。</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2026年财政拨款“三公”经费预算比上年预算减少0.37万元，下降2.87%，其中：因公出国（境）费用增加0.00万元，增长0.00%，主要原因是2025年与2026年均未安排因公出国（境）费用；公务用车购置增加0.00万元，增长0.00%，主要原因是2025年与2026年均未安排公务用车购置；公务用车运行维护费减少0.37万元，下降2.87%，主要原因是严格执行八项规定相关规定，厉行节约，合理压缩公务用车运行费；公务接待费增加0.00万元，增长0.00%，主要原因是2025年与2026年均未安排公务接待费。</w:t>
      </w:r>
    </w:p>
    <w:p>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关于新疆维吾尔自治区无线电监测中心2026年财政拨款委托业务费支出情况说明</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新疆维吾尔自治区无线电监测中心2026年委托业务费24.00万元，其中：</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1.2026年无线电管理经费委托业务费24.00万元，主要用于：新疆维吾尔自治区无线电监测中心2026年委托业务费24</w:t>
      </w:r>
      <w:r>
        <w:rPr>
          <w:rFonts w:hint="eastAsia" w:ascii="仿宋" w:hAnsi="微软雅黑" w:eastAsia="仿宋"/>
          <w:sz w:val="28"/>
          <w:szCs w:val="28"/>
          <w:highlight w:val="none"/>
          <w:lang w:val="en-US" w:eastAsia="zh-CN"/>
        </w:rPr>
        <w:t>.00</w:t>
      </w:r>
      <w:r>
        <w:rPr>
          <w:rFonts w:hint="eastAsia" w:ascii="仿宋" w:hAnsi="微软雅黑" w:eastAsia="仿宋"/>
          <w:sz w:val="28"/>
          <w:szCs w:val="28"/>
          <w:highlight w:val="none"/>
        </w:rPr>
        <w:t>万元。其中1.无线电检测设备计量项目：自治区无线电监测中心监检测实验室设备需要定期进行计量，2026年自治区无线电监测中心监检测设备需进行计量，地州市无线电管理中心监检测仪表因携带、野外工作，导致设备性能指标出现变化、测试数据不精确，需要根据实际情况进行计量，预算15万元。2.无线电监管设备和技术研究项目：为规范管理无线电监检测业务中形成的历年各类专业档案，对现存档案进行数字化加工，预算9万元。</w:t>
      </w:r>
    </w:p>
    <w:p>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关于新疆维吾尔自治区无线电监测中心2026年上年结转结余预算情况说明</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新疆维吾尔自治区无线电监测中心2026年上年结转结余310.63万元，包括：财政拨款310.63万元，非财政拨款0.00万元，其中：</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1.2025年无线电管理经费结转205.40万元，主要用于：上年未完成差旅费、专用设备购置、电费、委托业务费等商品和服务支出。</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2.2025年中央无线电管理经费结转105.24万元，主要用于：上年二次下达未完成差旅费、维修维护费的商品和服务支出。</w:t>
      </w:r>
    </w:p>
    <w:p>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其他重要事项的情况说明</w:t>
      </w:r>
    </w:p>
    <w:p>
      <w:pPr>
        <w:pStyle w:val="4"/>
        <w:numPr>
          <w:ilvl w:val="0"/>
          <w:numId w:val="3"/>
        </w:numPr>
        <w:spacing w:before="0" w:after="0" w:line="560" w:lineRule="exact"/>
        <w:ind w:left="0" w:firstLine="562" w:firstLineChars="201"/>
        <w:rPr>
          <w:rFonts w:hint="default" w:ascii="楷体" w:eastAsia="楷体"/>
          <w:sz w:val="28"/>
          <w:szCs w:val="28"/>
          <w:highlight w:val="none"/>
        </w:rPr>
      </w:pPr>
      <w:r>
        <w:rPr>
          <w:rFonts w:hint="eastAsia" w:ascii="楷体" w:eastAsia="楷体"/>
          <w:sz w:val="28"/>
          <w:szCs w:val="28"/>
          <w:highlight w:val="none"/>
        </w:rPr>
        <w:t>单位运行经费情况</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新疆维吾尔自治区无线电监测中心2026年的事业单位运行经费财政拨款预算32.00万元，比上年预算减少3.02万元，下降8.62%，主要原因是事业单位运行经费一般公共预算拨款商品和服务支出预算中福利费较上年相应减少。</w:t>
      </w:r>
    </w:p>
    <w:p>
      <w:pPr>
        <w:widowControl/>
        <w:spacing w:line="560" w:lineRule="exact"/>
        <w:ind w:firstLine="560" w:firstLineChars="200"/>
        <w:rPr>
          <w:rFonts w:hint="default" w:ascii="仿宋" w:hAnsi="微软雅黑" w:eastAsia="仿宋"/>
          <w:sz w:val="28"/>
          <w:szCs w:val="28"/>
          <w:highlight w:val="none"/>
        </w:rPr>
      </w:pPr>
    </w:p>
    <w:p>
      <w:pPr>
        <w:pStyle w:val="4"/>
        <w:numPr>
          <w:ilvl w:val="0"/>
          <w:numId w:val="3"/>
        </w:numPr>
        <w:spacing w:before="0" w:after="0" w:line="560" w:lineRule="exact"/>
        <w:ind w:left="0" w:firstLine="562" w:firstLineChars="201"/>
        <w:rPr>
          <w:rFonts w:hint="default" w:ascii="楷体" w:eastAsia="楷体"/>
          <w:sz w:val="28"/>
          <w:szCs w:val="28"/>
          <w:highlight w:val="none"/>
        </w:rPr>
      </w:pPr>
      <w:r>
        <w:rPr>
          <w:rFonts w:hint="eastAsia" w:ascii="楷体" w:eastAsia="楷体"/>
          <w:sz w:val="28"/>
          <w:szCs w:val="28"/>
          <w:highlight w:val="none"/>
        </w:rPr>
        <w:t>政府采购情况</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2026年，新疆维吾尔自治区无线电监测中心政府采购预算496.49万元，其中：政府采购货物预算101.00万元，政府采购工程预算0.00万元，政府采购服务预算395.49万元。</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2026年，新疆维吾尔自治区无线电监测中心面向中小企业预留政府采购项目预算金额377.42万元，其中：小微企业预留政府采购项目预算金额142.61万元。</w:t>
      </w:r>
    </w:p>
    <w:p>
      <w:pPr>
        <w:pStyle w:val="4"/>
        <w:numPr>
          <w:ilvl w:val="0"/>
          <w:numId w:val="3"/>
        </w:numPr>
        <w:spacing w:before="0" w:after="0" w:line="560" w:lineRule="exact"/>
        <w:ind w:left="0" w:firstLine="562" w:firstLineChars="201"/>
        <w:rPr>
          <w:rFonts w:hint="default" w:ascii="楷体" w:eastAsia="楷体"/>
          <w:sz w:val="28"/>
          <w:szCs w:val="28"/>
          <w:highlight w:val="none"/>
        </w:rPr>
      </w:pPr>
      <w:r>
        <w:rPr>
          <w:rFonts w:hint="default" w:ascii="楷体" w:eastAsia="楷体"/>
          <w:sz w:val="28"/>
          <w:szCs w:val="28"/>
          <w:highlight w:val="none"/>
        </w:rPr>
        <w:t>国有资产占用使用情况</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截至2025年底，新疆维吾尔自治区无线电监测中心占用使用国有资产总体情况为：</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1.房屋1,392.34平方米，价值661.12万元。</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2.车辆9辆，价值591.07万元；其中：一般公务用车0辆，价值0.00万元；执法执勤用车1辆，价值38.15万元；其他车辆8辆，价值552.92万元。</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3.办公家具价值159.40万元。</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4.其他资产价值16,080.91万元。</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单位价值单价50万元以上大型设备30台，单位价值单价100万元以上大型设备28台。</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2026年单位预算未安排购置车辆经费，安排购置单价50万元以上大型设备0台，单位单价100万元以上大型设备0台。</w:t>
      </w:r>
    </w:p>
    <w:p>
      <w:pPr>
        <w:pStyle w:val="4"/>
        <w:numPr>
          <w:ilvl w:val="0"/>
          <w:numId w:val="3"/>
        </w:numPr>
        <w:spacing w:before="0" w:after="0" w:line="560" w:lineRule="exact"/>
        <w:ind w:left="0" w:firstLine="562" w:firstLineChars="201"/>
        <w:rPr>
          <w:rFonts w:hint="default" w:ascii="楷体" w:eastAsia="楷体"/>
          <w:sz w:val="28"/>
          <w:szCs w:val="28"/>
          <w:highlight w:val="none"/>
        </w:rPr>
      </w:pPr>
      <w:r>
        <w:rPr>
          <w:rFonts w:hint="default" w:ascii="楷体" w:eastAsia="楷体"/>
          <w:sz w:val="28"/>
          <w:szCs w:val="28"/>
          <w:highlight w:val="none"/>
        </w:rPr>
        <w:t>预算绩效情况</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当年预算安排项目共1个，其中：财政拨款项目涉及预算金额302.14万元；非财政拨款项目涉及预算金额0.00万元。</w:t>
      </w:r>
    </w:p>
    <w:p>
      <w:pPr>
        <w:pStyle w:val="4"/>
        <w:numPr>
          <w:ilvl w:val="0"/>
          <w:numId w:val="3"/>
        </w:numPr>
        <w:spacing w:before="0" w:after="0" w:line="560" w:lineRule="exact"/>
        <w:ind w:left="0" w:firstLine="562" w:firstLineChars="201"/>
        <w:rPr>
          <w:rFonts w:hint="default" w:ascii="楷体" w:eastAsia="楷体"/>
          <w:sz w:val="28"/>
          <w:szCs w:val="28"/>
          <w:highlight w:val="none"/>
        </w:rPr>
      </w:pPr>
      <w:r>
        <w:rPr>
          <w:rFonts w:hint="default" w:ascii="楷体" w:eastAsia="楷体"/>
          <w:sz w:val="28"/>
          <w:szCs w:val="28"/>
          <w:highlight w:val="none"/>
        </w:rPr>
        <w:t>其他需说明的事项</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本单位2026年财政拨款资金302.14万元，由自治区工业和信息化厅部门统一编报项目支出绩效目标表。</w:t>
      </w:r>
    </w:p>
    <w:p>
      <w:pPr>
        <w:pStyle w:val="2"/>
        <w:spacing w:before="156" w:beforeLines="50" w:after="156" w:afterLines="50" w:line="560" w:lineRule="exact"/>
        <w:jc w:val="center"/>
        <w:rPr>
          <w:rFonts w:hint="default" w:ascii="黑体" w:eastAsia="黑体"/>
          <w:sz w:val="30"/>
          <w:szCs w:val="30"/>
          <w:highlight w:val="none"/>
        </w:rPr>
      </w:pPr>
      <w:r>
        <w:rPr>
          <w:rFonts w:hint="default" w:ascii="黑体" w:eastAsia="黑体"/>
          <w:sz w:val="30"/>
          <w:szCs w:val="30"/>
          <w:highlight w:val="none"/>
        </w:rPr>
        <w:br w:type="page"/>
      </w:r>
      <w:r>
        <w:rPr>
          <w:rFonts w:hint="eastAsia" w:ascii="黑体" w:eastAsia="黑体"/>
          <w:sz w:val="30"/>
          <w:szCs w:val="30"/>
          <w:highlight w:val="none"/>
        </w:rPr>
        <w:t>第四部分 名词解释</w:t>
      </w:r>
    </w:p>
    <w:p>
      <w:pPr>
        <w:spacing w:line="520" w:lineRule="exact"/>
        <w:ind w:firstLine="560" w:firstLineChars="200"/>
        <w:rPr>
          <w:rFonts w:hint="eastAsia" w:ascii="仿宋" w:hAnsi="CIDFont+F6" w:eastAsia="仿宋"/>
          <w:color w:val="000000"/>
          <w:sz w:val="28"/>
          <w:szCs w:val="28"/>
          <w:highlight w:val="none"/>
        </w:rPr>
      </w:pPr>
      <w:r>
        <w:rPr>
          <w:rFonts w:hint="eastAsia" w:ascii="仿宋" w:hAnsi="CIDFont+F4" w:eastAsia="仿宋"/>
          <w:b/>
          <w:color w:val="000000"/>
          <w:sz w:val="28"/>
          <w:szCs w:val="28"/>
          <w:highlight w:val="none"/>
        </w:rPr>
        <w:t>一、财政拨款:</w:t>
      </w:r>
      <w:r>
        <w:rPr>
          <w:rFonts w:hint="eastAsia" w:ascii="仿宋" w:hAnsi="CIDFont+F6" w:eastAsia="仿宋"/>
          <w:color w:val="000000"/>
          <w:sz w:val="28"/>
          <w:szCs w:val="28"/>
          <w:highlight w:val="none"/>
        </w:rPr>
        <w:t>指由一般公共预算、政府性基金预算、国有资本经营预算安排的财政拨款数。</w:t>
      </w:r>
    </w:p>
    <w:p>
      <w:pPr>
        <w:spacing w:line="520" w:lineRule="exact"/>
        <w:ind w:firstLine="560" w:firstLineChars="200"/>
        <w:rPr>
          <w:rFonts w:hint="eastAsia" w:ascii="仿宋" w:hAnsi="CIDFont+F6" w:eastAsia="仿宋"/>
          <w:color w:val="000000"/>
          <w:sz w:val="28"/>
          <w:szCs w:val="28"/>
          <w:highlight w:val="none"/>
        </w:rPr>
      </w:pPr>
      <w:r>
        <w:rPr>
          <w:rFonts w:hint="eastAsia" w:ascii="仿宋" w:hAnsi="CIDFont+F4" w:eastAsia="仿宋"/>
          <w:b/>
          <w:color w:val="000000"/>
          <w:sz w:val="28"/>
          <w:szCs w:val="28"/>
          <w:highlight w:val="none"/>
        </w:rPr>
        <w:t>二、一般公共预算:</w:t>
      </w:r>
      <w:r>
        <w:rPr>
          <w:rFonts w:hint="eastAsia" w:ascii="仿宋" w:hAnsi="CIDFont+F6" w:eastAsia="仿宋"/>
          <w:color w:val="000000"/>
          <w:sz w:val="28"/>
          <w:szCs w:val="28"/>
          <w:highlight w:val="none"/>
        </w:rPr>
        <w:t>包括公共财政拨款（补助）资金、专项收入。</w:t>
      </w:r>
    </w:p>
    <w:p>
      <w:pPr>
        <w:spacing w:line="520" w:lineRule="exact"/>
        <w:ind w:firstLine="560" w:firstLineChars="200"/>
        <w:rPr>
          <w:rFonts w:hint="eastAsia" w:ascii="仿宋" w:hAnsi="CIDFont+F6" w:eastAsia="仿宋"/>
          <w:color w:val="000000"/>
          <w:sz w:val="28"/>
          <w:szCs w:val="28"/>
          <w:highlight w:val="none"/>
        </w:rPr>
      </w:pPr>
      <w:r>
        <w:rPr>
          <w:rFonts w:hint="eastAsia" w:ascii="仿宋" w:hAnsi="CIDFont+F4" w:eastAsia="仿宋"/>
          <w:b/>
          <w:color w:val="000000"/>
          <w:sz w:val="28"/>
          <w:szCs w:val="28"/>
          <w:highlight w:val="none"/>
        </w:rPr>
        <w:t>三、财政专户管理资金:</w:t>
      </w:r>
      <w:r>
        <w:rPr>
          <w:rFonts w:hint="eastAsia" w:ascii="仿宋" w:hAnsi="CIDFont+F6" w:eastAsia="仿宋"/>
          <w:color w:val="000000"/>
          <w:sz w:val="28"/>
          <w:szCs w:val="28"/>
          <w:highlight w:val="none"/>
        </w:rPr>
        <w:t>包括专户管理行政事业性收费（主要是教育收费）、其他非税收入。</w:t>
      </w:r>
    </w:p>
    <w:p>
      <w:pPr>
        <w:spacing w:line="520" w:lineRule="exact"/>
        <w:ind w:firstLine="560" w:firstLineChars="200"/>
        <w:rPr>
          <w:rFonts w:hint="eastAsia" w:ascii="仿宋" w:hAnsi="CIDFont+F6" w:eastAsia="仿宋"/>
          <w:color w:val="000000"/>
          <w:sz w:val="28"/>
          <w:szCs w:val="28"/>
          <w:highlight w:val="none"/>
        </w:rPr>
      </w:pPr>
      <w:r>
        <w:rPr>
          <w:rFonts w:hint="eastAsia" w:ascii="仿宋" w:hAnsi="CIDFont+F4" w:eastAsia="仿宋"/>
          <w:b/>
          <w:color w:val="000000"/>
          <w:sz w:val="28"/>
          <w:szCs w:val="28"/>
          <w:highlight w:val="none"/>
        </w:rPr>
        <w:t>四、其他资金:</w:t>
      </w:r>
      <w:r>
        <w:rPr>
          <w:rFonts w:hint="eastAsia" w:ascii="仿宋" w:hAnsi="CIDFont+F6" w:eastAsia="仿宋"/>
          <w:color w:val="000000"/>
          <w:sz w:val="28"/>
          <w:szCs w:val="28"/>
          <w:highlight w:val="none"/>
        </w:rPr>
        <w:t>包括事业收入、事业经营收入、其他收入等。</w:t>
      </w:r>
    </w:p>
    <w:p>
      <w:pPr>
        <w:spacing w:line="520" w:lineRule="exact"/>
        <w:ind w:firstLine="560" w:firstLineChars="200"/>
        <w:rPr>
          <w:rFonts w:hint="eastAsia" w:ascii="仿宋" w:hAnsi="CIDFont+F6" w:eastAsia="仿宋"/>
          <w:color w:val="000000"/>
          <w:sz w:val="28"/>
          <w:szCs w:val="28"/>
          <w:highlight w:val="none"/>
        </w:rPr>
      </w:pPr>
      <w:r>
        <w:rPr>
          <w:rFonts w:hint="eastAsia" w:ascii="仿宋" w:hAnsi="CIDFont+F4" w:eastAsia="仿宋"/>
          <w:b/>
          <w:color w:val="000000"/>
          <w:sz w:val="28"/>
          <w:szCs w:val="28"/>
          <w:highlight w:val="none"/>
        </w:rPr>
        <w:t>五、基本支出:</w:t>
      </w:r>
      <w:r>
        <w:rPr>
          <w:rFonts w:hint="eastAsia" w:ascii="仿宋" w:hAnsi="CIDFont+F6" w:eastAsia="仿宋"/>
          <w:color w:val="000000"/>
          <w:sz w:val="28"/>
          <w:szCs w:val="28"/>
          <w:highlight w:val="none"/>
        </w:rPr>
        <w:t>包括人员经费、公用经费（定额）。其中:人员经费包括工资福利支出、对个人和家庭的补助。</w:t>
      </w:r>
    </w:p>
    <w:p>
      <w:pPr>
        <w:spacing w:line="520" w:lineRule="exact"/>
        <w:ind w:firstLine="560" w:firstLineChars="200"/>
        <w:rPr>
          <w:rFonts w:hint="eastAsia" w:ascii="仿宋" w:hAnsi="CIDFont+F6" w:eastAsia="仿宋"/>
          <w:color w:val="000000"/>
          <w:sz w:val="28"/>
          <w:szCs w:val="28"/>
          <w:highlight w:val="none"/>
        </w:rPr>
      </w:pPr>
      <w:r>
        <w:rPr>
          <w:rFonts w:hint="eastAsia" w:ascii="仿宋" w:hAnsi="CIDFont+F4" w:eastAsia="仿宋"/>
          <w:b/>
          <w:color w:val="000000"/>
          <w:sz w:val="28"/>
          <w:szCs w:val="28"/>
          <w:highlight w:val="none"/>
        </w:rPr>
        <w:t>六、项目支出:</w:t>
      </w:r>
      <w:r>
        <w:rPr>
          <w:rFonts w:hint="eastAsia" w:ascii="仿宋" w:hAnsi="CIDFont+F6" w:eastAsia="仿宋"/>
          <w:color w:val="000000"/>
          <w:sz w:val="28"/>
          <w:szCs w:val="28"/>
          <w:highlight w:val="none"/>
        </w:rPr>
        <w:t>部门（单位）支出预算的组成部分，是各部门（单位）为完成其特定的行政任务或事业发展目标，在基本支出预算之外编制的年度项目支出计划。</w:t>
      </w:r>
    </w:p>
    <w:p>
      <w:pPr>
        <w:spacing w:line="520" w:lineRule="exact"/>
        <w:ind w:firstLine="560" w:firstLineChars="200"/>
        <w:rPr>
          <w:rFonts w:hint="eastAsia" w:ascii="仿宋" w:hAnsi="CIDFont+F6" w:eastAsia="仿宋"/>
          <w:color w:val="000000"/>
          <w:sz w:val="28"/>
          <w:szCs w:val="28"/>
          <w:highlight w:val="none"/>
        </w:rPr>
      </w:pPr>
      <w:r>
        <w:rPr>
          <w:rFonts w:hint="eastAsia" w:ascii="仿宋" w:hAnsi="CIDFont+F4" w:eastAsia="仿宋"/>
          <w:b/>
          <w:color w:val="000000"/>
          <w:sz w:val="28"/>
          <w:szCs w:val="28"/>
          <w:highlight w:val="none"/>
        </w:rPr>
        <w:t>七、“三公”经费:</w:t>
      </w:r>
      <w:r>
        <w:rPr>
          <w:rFonts w:hint="eastAsia" w:ascii="仿宋" w:hAnsi="CIDFont+F6" w:eastAsia="仿宋"/>
          <w:color w:val="000000"/>
          <w:sz w:val="28"/>
          <w:szCs w:val="28"/>
          <w:highlight w:val="none"/>
        </w:rPr>
        <w:t>指部门（单位）因公出国（境）费用、公务用车购置及运行维护费和公务接待费。其中:因公出国（境）费用反映单位公务出国（境）的国际旅费、国外城市间交通费、住宿费、伙食费、培训费、公杂费等支出；公务用车购置反映公务用车购置支出（含车辆购置税、牌照费）；公务用车运行维护费反映单位按规定保留的公务用车燃料费、新能源汽车充电费、维修费、过桥过路费、保险费、安全奖励费用等支出；公务接待费反映单位按规定开支的各类公务接待（含外宾接待）费用。</w:t>
      </w:r>
    </w:p>
    <w:p>
      <w:pPr>
        <w:spacing w:line="520" w:lineRule="exact"/>
        <w:ind w:firstLine="560" w:firstLineChars="200"/>
        <w:rPr>
          <w:rFonts w:hint="eastAsia" w:ascii="仿宋" w:hAnsi="CIDFont+F6" w:eastAsia="仿宋"/>
          <w:color w:val="000000"/>
          <w:sz w:val="28"/>
          <w:szCs w:val="28"/>
          <w:highlight w:val="none"/>
        </w:rPr>
      </w:pPr>
      <w:r>
        <w:rPr>
          <w:rFonts w:hint="eastAsia" w:ascii="仿宋" w:hAnsi="CIDFont+F4" w:eastAsia="仿宋"/>
          <w:b/>
          <w:color w:val="000000"/>
          <w:sz w:val="28"/>
          <w:szCs w:val="28"/>
          <w:highlight w:val="none"/>
        </w:rPr>
        <w:t>八、机关运行经费:</w:t>
      </w:r>
      <w:r>
        <w:rPr>
          <w:rFonts w:hint="eastAsia" w:ascii="仿宋" w:hAnsi="CIDFont+F6" w:eastAsia="仿宋"/>
          <w:color w:val="000000"/>
          <w:sz w:val="28"/>
          <w:szCs w:val="28"/>
          <w:highlight w:val="none"/>
        </w:rPr>
        <w:t>指行政单位（含参照公务员法管理事业单位）的公用经费，包括办公及印刷费、邮电费、差旅费、会议费、福利费、日常维修费、专用材料及一般设备购置费、办公用房水电费、办公用房取暖费、办公用房物业管理费、公务用车运行维护费及其他费用。</w:t>
      </w:r>
    </w:p>
    <w:p>
      <w:pPr>
        <w:spacing w:line="520" w:lineRule="exact"/>
        <w:ind w:firstLine="560" w:firstLineChars="200"/>
        <w:rPr>
          <w:rFonts w:hint="eastAsia" w:ascii="仿宋" w:hAnsi="CIDFont+F6" w:eastAsia="仿宋"/>
          <w:color w:val="000000"/>
          <w:sz w:val="28"/>
          <w:szCs w:val="28"/>
          <w:highlight w:val="none"/>
        </w:rPr>
      </w:pPr>
      <w:r>
        <w:rPr>
          <w:rFonts w:hint="eastAsia" w:ascii="仿宋" w:hAnsi="CIDFont+F4" w:eastAsia="仿宋"/>
          <w:b/>
          <w:color w:val="000000"/>
          <w:sz w:val="28"/>
          <w:szCs w:val="28"/>
          <w:highlight w:val="none"/>
        </w:rPr>
        <w:t>九、委托业务费:</w:t>
      </w:r>
      <w:r>
        <w:rPr>
          <w:rFonts w:hint="eastAsia" w:ascii="仿宋" w:hAnsi="CIDFont+F6" w:eastAsia="仿宋"/>
          <w:color w:val="000000"/>
          <w:sz w:val="28"/>
          <w:szCs w:val="28"/>
          <w:highlight w:val="none"/>
        </w:rPr>
        <w:t>反映因委托外单位办理业务而支付的委托业务费。</w:t>
      </w:r>
    </w:p>
    <w:p>
      <w:pPr>
        <w:spacing w:line="560" w:lineRule="exact"/>
        <w:jc w:val="right"/>
        <w:rPr>
          <w:rFonts w:hint="eastAsia" w:ascii="仿宋" w:hAnsi="CIDFont+F6" w:eastAsia="仿宋"/>
          <w:color w:val="000000"/>
          <w:sz w:val="28"/>
          <w:szCs w:val="28"/>
          <w:highlight w:val="none"/>
        </w:rPr>
      </w:pPr>
      <w:r>
        <w:rPr>
          <w:rFonts w:hint="eastAsia" w:ascii="仿宋" w:hAnsi="CIDFont+F6" w:eastAsia="仿宋"/>
          <w:color w:val="000000"/>
          <w:sz w:val="28"/>
          <w:szCs w:val="28"/>
          <w:highlight w:val="none"/>
        </w:rPr>
        <w:t>新疆维吾尔自治区无线电监测中心</w:t>
      </w:r>
    </w:p>
    <w:p>
      <w:pPr>
        <w:spacing w:line="560" w:lineRule="exact"/>
        <w:jc w:val="right"/>
        <w:rPr>
          <w:rFonts w:hint="default" w:ascii="仿宋" w:eastAsia="仿宋"/>
          <w:sz w:val="28"/>
          <w:szCs w:val="28"/>
          <w:highlight w:val="none"/>
        </w:rPr>
      </w:pPr>
      <w:r>
        <w:rPr>
          <w:rFonts w:hint="eastAsia" w:ascii="仿宋" w:hAnsi="CIDFont+F6" w:eastAsia="仿宋"/>
          <w:color w:val="000000"/>
          <w:sz w:val="28"/>
          <w:szCs w:val="28"/>
          <w:highlight w:val="none"/>
        </w:rPr>
        <w:t>2026年02月05日</w:t>
      </w:r>
    </w:p>
    <w:sectPr>
      <w:pgSz w:w="11906" w:h="16838"/>
      <w:pgMar w:top="1134"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Wingdings">
    <w:panose1 w:val="05000000000000000000"/>
    <w:charset w:val="00"/>
    <w:family w:val="auto"/>
    <w:pitch w:val="default"/>
    <w:sig w:usb0="00000000" w:usb1="00000000" w:usb2="00000000" w:usb3="00000000" w:csb0="80000000" w:csb1="00000000"/>
  </w:font>
  <w:font w:name="Arial">
    <w:altName w:val="Times New Roman"/>
    <w:panose1 w:val="00000000000000000000"/>
    <w:charset w:val="00"/>
    <w:family w:val="auto"/>
    <w:pitch w:val="default"/>
    <w:sig w:usb0="E0002EFF" w:usb1="C000785B" w:usb2="00000009" w:usb3="00000000" w:csb0="400001FF" w:csb1="FFFF0000"/>
  </w:font>
  <w:font w:name="Courier New">
    <w:altName w:val="DejaVu Sans"/>
    <w:panose1 w:val="00000000000000000000"/>
    <w:charset w:val="00"/>
    <w:family w:val="auto"/>
    <w:pitch w:val="default"/>
    <w:sig w:usb0="E0002EFF" w:usb1="C0007843" w:usb2="00000009" w:usb3="00000000" w:csb0="400001FF" w:csb1="FFFF0000"/>
  </w:font>
  <w:font w:name="Symbol">
    <w:panose1 w:val="02000609000000000000"/>
    <w:charset w:val="00"/>
    <w:family w:val="auto"/>
    <w:pitch w:val="default"/>
    <w:sig w:usb0="800000AF" w:usb1="4000204A" w:usb2="00000000" w:usb3="00000000" w:csb0="20000000" w:csb1="00000000"/>
  </w:font>
  <w:font w:name="Cambria Math">
    <w:altName w:val="DejaVu Math TeX Gyre"/>
    <w:panose1 w:val="00000000000000000000"/>
    <w:charset w:val="00"/>
    <w:family w:val="auto"/>
    <w:pitch w:val="default"/>
    <w:sig w:usb0="E00006FF" w:usb1="420024FF" w:usb2="02000000" w:usb3="00000000" w:csb0="2000019F" w:csb1="00000000"/>
  </w:font>
  <w:font w:name="Cambria">
    <w:altName w:val="汉仪中秀体简"/>
    <w:panose1 w:val="00000000000000000000"/>
    <w:charset w:val="00"/>
    <w:family w:val="auto"/>
    <w:pitch w:val="default"/>
    <w:sig w:usb0="E00006FF" w:usb1="420024FF" w:usb2="02000000" w:usb3="00000000" w:csb0="2000019F" w:csb1="00000000"/>
  </w:font>
  <w:font w:name="仿宋">
    <w:altName w:val="方正仿宋_GBK"/>
    <w:panose1 w:val="00000000000000000000"/>
    <w:charset w:val="00"/>
    <w:family w:val="auto"/>
    <w:pitch w:val="default"/>
    <w:sig w:usb0="800002BF" w:usb1="38CF7CFA" w:usb2="00000016" w:usb3="00000000" w:csb0="00040001" w:csb1="00000000"/>
  </w:font>
  <w:font w:name="微软雅黑">
    <w:altName w:val="黑体"/>
    <w:panose1 w:val="00000000000000000000"/>
    <w:charset w:val="00"/>
    <w:family w:val="auto"/>
    <w:pitch w:val="default"/>
    <w:sig w:usb0="80000287" w:usb1="2ACF3C50" w:usb2="00000016" w:usb3="00000000" w:csb0="0004001F" w:csb1="00000000"/>
  </w:font>
  <w:font w:name="华文楷体">
    <w:altName w:val="楷体_GB2312"/>
    <w:panose1 w:val="00000000000000000000"/>
    <w:charset w:val="00"/>
    <w:family w:val="auto"/>
    <w:pitch w:val="default"/>
    <w:sig w:usb0="00000287" w:usb1="080E0000" w:usb2="00000010" w:usb3="00000000" w:csb0="0004009F" w:csb1="00000000"/>
  </w:font>
  <w:font w:name="@宋体">
    <w:altName w:val="方正书宋_GBK"/>
    <w:panose1 w:val="00000000000000000000"/>
    <w:charset w:val="00"/>
    <w:family w:val="auto"/>
    <w:pitch w:val="default"/>
    <w:sig w:usb0="00000203" w:usb1="288F0000" w:usb2="00000006" w:usb3="00000000" w:csb0="00040001" w:csb1="00000000"/>
  </w:font>
  <w:font w:name="@仿宋">
    <w:altName w:val="方正仿宋_GBK"/>
    <w:panose1 w:val="00000000000000000000"/>
    <w:charset w:val="00"/>
    <w:family w:val="auto"/>
    <w:pitch w:val="default"/>
    <w:sig w:usb0="800002BF" w:usb1="38CF7CFA" w:usb2="00000016" w:usb3="00000000" w:csb0="00040001" w:csb1="00000000"/>
  </w:font>
  <w:font w:name="ArialUnicodeMS">
    <w:altName w:val="Times New Roman"/>
    <w:panose1 w:val="00000000000000000000"/>
    <w:charset w:val="00"/>
    <w:family w:val="auto"/>
    <w:pitch w:val="default"/>
    <w:sig w:usb0="00000000" w:usb1="00000000" w:usb2="00000000" w:usb3="00000000" w:csb0="00000000" w:csb1="00000000"/>
  </w:font>
  <w:font w:name="@华文楷体">
    <w:altName w:val="楷体_GB2312"/>
    <w:panose1 w:val="00000000000000000000"/>
    <w:charset w:val="00"/>
    <w:family w:val="auto"/>
    <w:pitch w:val="default"/>
    <w:sig w:usb0="00000287" w:usb1="080E0000" w:usb2="00000010" w:usb3="00000000" w:csb0="0004009F" w:csb1="00000000"/>
  </w:font>
  <w:font w:name="@黑体">
    <w:panose1 w:val="02010609060101010101"/>
    <w:charset w:val="86"/>
    <w:family w:val="auto"/>
    <w:pitch w:val="default"/>
    <w:sig w:usb0="800002BF" w:usb1="38CF7CFA" w:usb2="00000016" w:usb3="00000000" w:csb0="00040001" w:csb1="00000000"/>
  </w:font>
  <w:font w:name="@微软雅黑">
    <w:altName w:val="方正黑体_GBK"/>
    <w:panose1 w:val="00000000000000000000"/>
    <w:charset w:val="00"/>
    <w:family w:val="auto"/>
    <w:pitch w:val="default"/>
    <w:sig w:usb0="80000287" w:usb1="2ACF3C50" w:usb2="00000016" w:usb3="00000000" w:csb0="0004001F" w:csb1="00000000"/>
  </w:font>
  <w:font w:name="CIDFont+F4">
    <w:altName w:val="Times New Roman"/>
    <w:panose1 w:val="00000000000000000000"/>
    <w:charset w:val="00"/>
    <w:family w:val="auto"/>
    <w:pitch w:val="default"/>
    <w:sig w:usb0="00000000" w:usb1="00000000" w:usb2="00000000" w:usb3="00000000" w:csb0="00000000" w:csb1="00000000"/>
  </w:font>
  <w:font w:name="CIDFont+F6">
    <w:altName w:val="Times New Roman"/>
    <w:panose1 w:val="00000000000000000000"/>
    <w:charset w:val="00"/>
    <w:family w:val="auto"/>
    <w:pitch w:val="default"/>
    <w:sig w:usb0="00000000" w:usb1="00000000" w:usb2="00000000" w:usb3="00000000" w:csb0="00000000" w:csb1="00000000"/>
  </w:font>
  <w:font w:name="楷体">
    <w:altName w:val="方正楷体_GBK"/>
    <w:panose1 w:val="00000000000000000000"/>
    <w:charset w:val="00"/>
    <w:family w:val="auto"/>
    <w:pitch w:val="default"/>
    <w:sig w:usb0="800002BF" w:usb1="38CF7CFA" w:usb2="00000016" w:usb3="00000000" w:csb0="00040001" w:csb1="00000000"/>
  </w:font>
  <w:font w:name="@楷体">
    <w:altName w:val="方正楷体_GBK"/>
    <w:panose1 w:val="00000000000000000000"/>
    <w:charset w:val="00"/>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153"/>
        <w:tab w:val="right" w:pos="8306"/>
      </w:tabs>
      <w:jc w:val="center"/>
    </w:pPr>
    <w:r>
      <w:fldChar w:fldCharType="begin"/>
    </w:r>
    <w:r>
      <w:instrText xml:space="preserve">PAGE   \* MERGEFORMAT</w:instrText>
    </w:r>
    <w:r>
      <w:fldChar w:fldCharType="separate"/>
    </w:r>
    <w:r>
      <w:rPr>
        <w:lang w:val="zh-CN"/>
      </w:rPr>
      <w:t>17</w:t>
    </w:r>
    <w:r>
      <w:fldChar w:fldCharType="end"/>
    </w:r>
  </w:p>
  <w:p>
    <w:pPr>
      <w:pStyle w:val="5"/>
      <w:tabs>
        <w:tab w:val="center" w:pos="4153"/>
        <w:tab w:val="right"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5D2F14"/>
    <w:multiLevelType w:val="multilevel"/>
    <w:tmpl w:val="E75D2F14"/>
    <w:lvl w:ilvl="0" w:tentative="0">
      <w:start w:val="1"/>
      <w:numFmt w:val="japaneseCounting"/>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F51F1AA8"/>
    <w:multiLevelType w:val="multilevel"/>
    <w:tmpl w:val="F51F1AA8"/>
    <w:lvl w:ilvl="0" w:tentative="0">
      <w:start w:val="1"/>
      <w:numFmt w:val="chineseCountingThousand"/>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FE38D7"/>
    <w:multiLevelType w:val="multilevel"/>
    <w:tmpl w:val="2FFE38D7"/>
    <w:lvl w:ilvl="0" w:tentative="0">
      <w:start w:val="1"/>
      <w:numFmt w:val="japaneseCounting"/>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CBDC16ED"/>
    <w:rsid w:val="F47EF0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2"/>
      <w:lang w:val="en-US" w:eastAsia="zh-CN" w:bidi="ar-SA"/>
    </w:rPr>
  </w:style>
  <w:style w:type="paragraph" w:styleId="2">
    <w:name w:val="heading 1"/>
    <w:basedOn w:val="1"/>
    <w:next w:val="1"/>
    <w:link w:val="11"/>
    <w:uiPriority w:val="0"/>
    <w:pPr>
      <w:keepNext/>
      <w:keepLines/>
      <w:spacing w:before="340" w:after="330" w:line="578" w:lineRule="auto"/>
      <w:outlineLvl w:val="0"/>
    </w:pPr>
    <w:rPr>
      <w:rFonts w:hint="default" w:ascii="Times New Roman" w:hAnsi="Times New Roman"/>
      <w:b/>
      <w:kern w:val="44"/>
      <w:sz w:val="44"/>
      <w:szCs w:val="44"/>
    </w:rPr>
  </w:style>
  <w:style w:type="paragraph" w:styleId="3">
    <w:name w:val="heading 2"/>
    <w:basedOn w:val="1"/>
    <w:next w:val="1"/>
    <w:link w:val="12"/>
    <w:uiPriority w:val="0"/>
    <w:pPr>
      <w:keepNext/>
      <w:keepLines/>
      <w:spacing w:before="260" w:after="260" w:line="416" w:lineRule="auto"/>
      <w:outlineLvl w:val="1"/>
    </w:pPr>
    <w:rPr>
      <w:rFonts w:hint="default" w:ascii="Cambria" w:hAnsi="Cambria"/>
      <w:b/>
      <w:sz w:val="32"/>
      <w:szCs w:val="32"/>
    </w:rPr>
  </w:style>
  <w:style w:type="paragraph" w:styleId="4">
    <w:name w:val="heading 3"/>
    <w:basedOn w:val="1"/>
    <w:next w:val="1"/>
    <w:link w:val="13"/>
    <w:uiPriority w:val="0"/>
    <w:pPr>
      <w:keepNext/>
      <w:keepLines/>
      <w:spacing w:before="260" w:after="260" w:line="416" w:lineRule="auto"/>
      <w:outlineLvl w:val="2"/>
    </w:pPr>
    <w:rPr>
      <w:rFonts w:hint="default" w:ascii="Times New Roman" w:hAnsi="Times New Roman"/>
      <w:b/>
      <w:sz w:val="32"/>
      <w:szCs w:val="32"/>
    </w:rPr>
  </w:style>
  <w:style w:type="character" w:default="1" w:styleId="9">
    <w:name w:val="Default Paragraph Font"/>
    <w:uiPriority w:val="0"/>
  </w:style>
  <w:style w:type="table" w:default="1" w:styleId="7">
    <w:name w:val="Normal Table"/>
    <w:uiPriority w:val="0"/>
    <w:rPr>
      <w:lang w:val="en-US" w:eastAsia="zh-CN" w:bidi="ar-SA"/>
    </w:rPr>
    <w:tblPr>
      <w:tblCellMar>
        <w:top w:w="0" w:type="dxa"/>
        <w:left w:w="108" w:type="dxa"/>
        <w:bottom w:w="0" w:type="dxa"/>
        <w:right w:w="108" w:type="dxa"/>
      </w:tblCellMar>
    </w:tblPr>
  </w:style>
  <w:style w:type="paragraph" w:styleId="5">
    <w:name w:val="footer"/>
    <w:basedOn w:val="1"/>
    <w:link w:val="15"/>
    <w:uiPriority w:val="0"/>
    <w:pPr>
      <w:snapToGrid w:val="0"/>
      <w:jc w:val="left"/>
    </w:pPr>
    <w:rPr>
      <w:sz w:val="18"/>
      <w:szCs w:val="18"/>
    </w:rPr>
  </w:style>
  <w:style w:type="paragraph" w:styleId="6">
    <w:name w:val="header"/>
    <w:basedOn w:val="1"/>
    <w:link w:val="14"/>
    <w:uiPriority w:val="0"/>
    <w:pPr>
      <w:pBdr>
        <w:bottom w:val="single" w:color="auto" w:sz="6" w:space="1"/>
      </w:pBdr>
      <w:snapToGrid w:val="0"/>
      <w:jc w:val="center"/>
    </w:pPr>
    <w:rPr>
      <w:sz w:val="18"/>
      <w:szCs w:val="18"/>
    </w:rPr>
  </w:style>
  <w:style w:type="table" w:styleId="8">
    <w:name w:val="Table Grid"/>
    <w:basedOn w:val="7"/>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List Paragraph"/>
    <w:basedOn w:val="1"/>
    <w:uiPriority w:val="0"/>
    <w:pPr>
      <w:ind w:firstLine="420" w:firstLineChars="200"/>
    </w:pPr>
  </w:style>
  <w:style w:type="character" w:customStyle="1" w:styleId="11">
    <w:name w:val="标题 1 Char"/>
    <w:link w:val="2"/>
    <w:uiPriority w:val="0"/>
    <w:rPr>
      <w:rFonts w:hint="default" w:ascii="Times New Roman" w:hAnsi="Times New Roman"/>
      <w:b/>
      <w:kern w:val="44"/>
      <w:sz w:val="44"/>
      <w:szCs w:val="44"/>
    </w:rPr>
  </w:style>
  <w:style w:type="character" w:customStyle="1" w:styleId="12">
    <w:name w:val="标题 2 Char"/>
    <w:link w:val="3"/>
    <w:uiPriority w:val="0"/>
    <w:rPr>
      <w:rFonts w:hint="default" w:ascii="Cambria" w:hAnsi="Cambria"/>
      <w:b/>
      <w:kern w:val="2"/>
      <w:sz w:val="32"/>
      <w:szCs w:val="32"/>
    </w:rPr>
  </w:style>
  <w:style w:type="character" w:customStyle="1" w:styleId="13">
    <w:name w:val="标题 3 Char"/>
    <w:link w:val="4"/>
    <w:uiPriority w:val="0"/>
    <w:rPr>
      <w:rFonts w:hint="default" w:ascii="Times New Roman" w:hAnsi="Times New Roman"/>
      <w:b/>
      <w:kern w:val="2"/>
      <w:sz w:val="32"/>
      <w:szCs w:val="32"/>
    </w:rPr>
  </w:style>
  <w:style w:type="character" w:customStyle="1" w:styleId="14">
    <w:name w:val="页眉 Char"/>
    <w:link w:val="6"/>
    <w:uiPriority w:val="0"/>
    <w:rPr>
      <w:kern w:val="2"/>
      <w:sz w:val="18"/>
      <w:szCs w:val="18"/>
    </w:rPr>
  </w:style>
  <w:style w:type="character" w:customStyle="1" w:styleId="15">
    <w:name w:val="页脚 Char"/>
    <w:link w:val="5"/>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beijing</Company>
  <Pages>25</Pages>
  <Words>796</Words>
  <Characters>850</Characters>
  <Lines>40</Lines>
  <Paragraphs>11</Paragraphs>
  <TotalTime>3</TotalTime>
  <ScaleCrop>false</ScaleCrop>
  <LinksUpToDate>false</LinksUpToDate>
  <CharactersWithSpaces>884</CharactersWithSpaces>
  <Application>WPS Office_11.8.2.10587_F1E327BC-269C-435d-A152-05C5408002CA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2020-11-10T20:53:00Z</dcterms:created>
  <dc:creator>home</dc:creator>
  <cp:lastModifiedBy>user</cp:lastModifiedBy>
  <dcterms:modified xsi:type="dcterms:W3CDTF">2026-02-09T11:49:50Z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eyJoZGlkIjoiZGM4Y2ExNDA0MjdkYTk1NTY2NzM4YTExNWYxN2IxZmMiLCJ1c2VySWQiOiIzMjM2NTI0MzUifQ==</vt:lpwstr>
  </property>
  <property fmtid="{D5CDD505-2E9C-101B-9397-08002B2CF9AE}" pid="3" name="KSOProductBuildVer">
    <vt:lpwstr>2052-11.8.2.10587</vt:lpwstr>
  </property>
</Properties>
</file>