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阿勒泰地区无线电管理中心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阿勒泰地区无线电管理中心无下属预算单位。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2025年度收入总计267.92万元，其中：本年收入合计267.79万元，使用非财政拨款结余（含专用结余）0.00万元，年初结转和结余0.13万元。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2025年度支出总计267.92万元，其中：本年支出合计267.44万元，结余分配0.00万元，年末结转和结余0.48万元。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47.50万元，增长21.55%，主要原因是：一是一般公共预算财政拨款基本支出收入较上年增加28.47万元，主要是在职人员新增2人以及在职人员职务职级晋升工资福利支出较上年增加；二是一般公共预算财政拨款项目支出较上年增加18.01万元，主要是中央无线电管理经费项目增加；三是其他收入较上年增加1.00万元，主要是事业单位固定资产租赁收入增加；四是年初结转结余增加0.02万元，为银行利息收入资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本年收入267.79万元，其中：财政拨款收入260.18万元,占97.16%；上级补助收入0.00万元,占0.00%；事业收入0.00万元，占0.00%；经营收入0.00万元,占0.00%；附属单位上缴收入0.00万元，占0.00%；其他收入7.61万元，占2.84%。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本年支出267.44万元，其中：基本支出164.10万元，占61.36%；项目支出103.34万元，占38.64%；上缴上级支出0.00万元，占0.00%；经营支出0.00万元，占0.00%；对附属单位补助支出0.00万元，占0.00%。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2025年度财政拨款收入总计260.18万元，其中：年初财政拨款结转和结余0.00万元，本年财政拨款收入260.18万元。财政拨款支出总计260.18万元，其中：年末财政拨款结转和结余0.00万元，本年财政拨款支出260.18万元。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46.47万元，增长21.74%，主要原因是：一是一般公共预算财政拨款基本支出收入较上年增加28.47万元，主要是在职人员新增2人以及在职人员职务职级晋升工资福利支出较上年增加；二是一般公共预算财政拨款项目支出较上年增加18.01万元，主要是中央无线电管理经费项目增加。与年初预算相比，年初预算数225.10万元，决算数260.18万元，预决算差异率15.58%，主要原因是：在年度预算执行中，根据自治区财政厅下达预算调整文件追加及调减预算，一是年中追加一般公共预算财政拨款基本支出人员类预算43.10万元。二是调减年初一般公共预算财政拨款基本支出人员类项目22.72万元；三是年中追加一般公共预算财政拨款中央无线电管理经费项目27.40万元；四是调减年初一般公共预算财政拨款中央无线电管理经费项目12.70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按照党中央、国务院关于党政机关习惯过紧日子的有关要求，厉行节约办一切事业，严控一般性支出。同时坚持有保有压，优化支出结构，提高资金使用效率，合理保障基本民</w:t>
      </w:r>
      <w:r>
        <w:rPr>
          <w:rFonts w:hint="eastAsia" w:ascii="仿宋_GB2312" w:eastAsia="仿宋_GB2312"/>
          <w:b w:val="0"/>
          <w:sz w:val="32"/>
          <w:szCs w:val="32"/>
          <w:lang w:eastAsia="zh-CN"/>
        </w:rPr>
        <w:t>生</w:t>
      </w:r>
      <w:r>
        <w:rPr>
          <w:rFonts w:ascii="仿宋_GB2312" w:eastAsia="仿宋_GB2312"/>
          <w:b w:val="0"/>
          <w:sz w:val="32"/>
          <w:szCs w:val="32"/>
        </w:rPr>
        <w:t>、机构运转、履职业</w:t>
      </w:r>
      <w:r>
        <w:rPr>
          <w:rFonts w:hint="eastAsia" w:ascii="仿宋_GB2312" w:eastAsia="仿宋_GB2312"/>
          <w:b w:val="0"/>
          <w:sz w:val="32"/>
          <w:szCs w:val="32"/>
          <w:lang w:eastAsia="zh-CN"/>
        </w:rPr>
        <w:t>务</w:t>
      </w:r>
      <w:r>
        <w:rPr>
          <w:rFonts w:ascii="仿宋_GB2312" w:eastAsia="仿宋_GB2312"/>
          <w:b w:val="0"/>
          <w:sz w:val="32"/>
          <w:szCs w:val="32"/>
        </w:rPr>
        <w:t>等等重点支出，体现在有关支出科目中。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219.74万元，占比84.46%，主要用于无线电监测监管业务，监测设备运维，单位日常运行保障。</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260.18万元，占本年支出合计的97.29%。与上年相比，增加46.47万元，增长21.74%，主要原因是：一是一般公共预算财政拨款基本支出收入较上年增加28.47万元，主要是在职人员新增2人以及在职人员职务职级晋升工资福利支出较上年增加；二是一般公共预算财政拨款项目支出较上年增加18.01万元，主要是中央无线电管理经费项目增加。与年初预算相比，年初预算数225.10万元，决算数260.18万元，预决算差异率15.58%，主要原因是：在年度预算执行中，根据自治区财政厅下达预算调整文件追加及调减预算，一是年中追加一般公共预算财政拨款基本支出人员类预算43.10万元；二是调减年初一般公共预算财政拨款基本支出人员类项目22.72万元；三是年中追加一般公共预算财政拨款中央无线电管理经费项目27.40万元；四是调减年初一般公共预算财政拨款中央无线电管理经费项目12.70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1.社会保障和就业支出（类）23.61万元，占9.07%。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2.卫生健康支出（类）8.64万元，占3.32%。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3.资源勘探工业信息等支出（类）219.74万元，占84.46%。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4.住房保障支出（类）8.19万元，占3.15%。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1、社会保障和就业支出（类）行政事业单位养老支出（款）事业单位离退休（项）：支出决算数为2.21万元，比上年决算增加0.10万元，增长4.74%，主要原因是：事业单位离退休人员待遇调增。</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14.10万元，比上年决算增加2.75万元，增长24.23%，主要原因是：在职人员新增2人以及职级晋升，养老保险缴费基数相应提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7.30万元，比上年决算增加7.30万元，增长100.00%，主要原因是：根据《新疆维吾尔自治区职业年金单位缴费实账管理实施方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新人社〔2025〕18号</w:t>
      </w:r>
      <w:r>
        <w:rPr>
          <w:rFonts w:hint="eastAsia" w:ascii="仿宋_GB2312" w:eastAsia="仿宋_GB2312"/>
          <w:b w:val="0"/>
          <w:sz w:val="32"/>
          <w:szCs w:val="32"/>
          <w:lang w:eastAsia="zh-CN"/>
        </w:rPr>
        <w:t>）</w:t>
      </w:r>
      <w:r>
        <w:rPr>
          <w:rFonts w:ascii="仿宋_GB2312" w:eastAsia="仿宋_GB2312"/>
          <w:b w:val="0"/>
          <w:sz w:val="32"/>
          <w:szCs w:val="32"/>
        </w:rPr>
        <w:t>，自2025年起</w:t>
      </w:r>
      <w:bookmarkStart w:id="0" w:name="_GoBack"/>
      <w:bookmarkEnd w:id="0"/>
      <w:r>
        <w:rPr>
          <w:rFonts w:ascii="仿宋_GB2312" w:eastAsia="仿宋_GB2312"/>
          <w:b w:val="0"/>
          <w:sz w:val="32"/>
          <w:szCs w:val="32"/>
        </w:rPr>
        <w:t>自治区本级财政全额拨款单位的职业年金列入单位基本支出预算足额保障，2025年机关事业单位职业年金缴费支出增加。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4、卫生健康支出（类）行政事业单位医疗（款）事业单位医疗（项）：支出决算数为6.87万元，比上年决算增加1.34万元，增长24.23%，主要原因是：在职人员新增2人以及职级晋升，事业单位医疗缴费相应提高。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1.76万元，比上年决算增加0.54万元，增长44.26%，主要原因是：在职人员新增2人以及职级晋升，公务员医疗补助缴费相应提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6、资源勘探工业信息等支出（类）工业和信息产业（款）无线电及信息通信监管（项）：支出决算数为219.74万元，比上年决算增加35.16万元，增长19.05%，主要原因是：一是因在职人员职务职级晋升及新增 2 名在职人员，人员经费增加 17.15 万元；二是中央无线电管理经费项目增加18.01万元。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7、住房保障支出（类）住房改革支出（款）住房公积金（项）：支出决算数为8.19万元，比上年决算减少0.73万元，下降8.18%，主要原因是：</w:t>
      </w:r>
      <w:r>
        <w:rPr>
          <w:rFonts w:hint="eastAsia" w:ascii="仿宋_GB2312" w:eastAsia="仿宋_GB2312"/>
          <w:b w:val="0"/>
          <w:sz w:val="32"/>
          <w:szCs w:val="32"/>
          <w:lang w:val="en-US" w:eastAsia="zh-CN"/>
        </w:rPr>
        <w:t>公积金缴纳预算数与实际缴纳数有调整。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164.10万元，其中：人员经费143.34万元，包括：基本工资、津贴补贴、奖金、绩效工资、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公用经费20.76万元，包括：办公费、印刷费、电费、邮电费、差旅费、工会经费、福利费、公务用车运行维护费和其他商品和服务支出。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4.55万元，比上年增加0.99万元，增长27.81%，主要原因是：阿勒泰地区无线电管理中心有2辆无线电特种车辆年限较长，维修成本高，维修费和车辆保险费增长较多。其中：因公出国（境）费用支出0.00万元,占0.00%，与上年相比无变化，主要原因是：我单位无因公出国（境）费；公务用车购置及运行维护费支出4.55万元，占100.00%，比上年增加0.99万元，增长27.81%，主要原因是：阿勒泰地区无线电管理中心有2辆无线电特种车辆年限较长，维修成本高，维修费和车辆保险费增长较多；公务接待费支出0.00万元，占0.00%，与上年相比无变化，主要原因是：我单位无公务接待</w:t>
      </w:r>
      <w:r>
        <w:rPr>
          <w:rFonts w:hint="eastAsia" w:ascii="仿宋_GB2312" w:eastAsia="仿宋_GB2312"/>
          <w:b w:val="0"/>
          <w:sz w:val="32"/>
          <w:szCs w:val="32"/>
          <w:lang w:val="en-US" w:eastAsia="zh-CN"/>
        </w:rPr>
        <w:t>事项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4.55万元，其中：公务用车购置费0.00万元，公务用车运行维护费4.55万元。公务用车运行维护费开支内容包括车辆保险、停车过路费、车辆加油、车辆维修等费用。公务用车购置数0辆，公务用车保有量5辆。国有资产占用情况中固定资产车辆5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4.55万元，决算数4.55万元，预决算差异率0.00%，主要原因是：严格执行中央八项规定及其实施细则，做到“三公”经费只减不增，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4.55万元，决算数4.55万元，预决算差异率0.00%，主要原因是：严格执行中央八项规定及其实施细则，做到“三公”经费只减不增，无预算不支出；公务接待费全年预算数0.00万元，决算数0.00万元，预决算差异率0.00%，主要原因是：我单位无公务接待</w:t>
      </w:r>
      <w:r>
        <w:rPr>
          <w:rFonts w:hint="eastAsia" w:ascii="仿宋_GB2312" w:eastAsia="仿宋_GB2312"/>
          <w:b w:val="0"/>
          <w:sz w:val="32"/>
          <w:szCs w:val="32"/>
          <w:lang w:val="en-US" w:eastAsia="zh-CN"/>
        </w:rPr>
        <w:t>事项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2025年度阿勒泰地区无线电管理中心（事业单位）公用经费支出20.76万元，比上年增加0.46万元，增长2.27%，主要原因是：2025年邮寄费增加，导致公用经费支出中邮电费支出增加。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2025年度政府采购支出总额84.05万元，其中：政府采购货物支出0.50万元、政府采购工程支出7.41万元、政府采购服务支出76.13万元。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授予中小企业合同金额23.91万元，占政府采购支出总额的28.45%，其中：授予小微企业合同金额21.12万元，占政府采购支出总额的25.13%。</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3,337.14平方米，价值1,245.29万元。车辆5辆，价值245.52万元，其中：副部（省）级及以上领导用车0辆、主要负责人用车0辆、机要通信用车0辆、应急保障用车0辆、执法执勤用车0辆、特种专业技术用车5辆、离退休干部服务用车0辆、其他用车0辆，其他用车主要是：我单位无其他用车;单价100万元（含）以上设备（不含车辆）10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管理形成整体支出绩效自评表1个，全年预算总额267.92万元，实际执行总额267.92万元；预算绩效评价项目1个，全年预算数7.58万元，全年执行数7.26万元。预算绩效管理取得的成效：为确保国有资产安全有效，我单位积极与相关部门对接，截至目前已完成阿勒泰地区无线电管理中心业务楼不动产证办理、贾登峪房产信息变更工作，其中完成异地补种绿化面积260平米；完成房屋产权证办理及变更工作；完成贾登峪房产出租收入7.58万元；确保了阿勒泰地区无线电管理中心国有资产管理规范、安全有效。发现的问题及原因：一是项目成员对于项目管理方面专业知识的系统性学习有待加强，对预算立项的整体内容需要进一步细化</w:t>
      </w:r>
      <w:r>
        <w:rPr>
          <w:rFonts w:hint="eastAsia" w:ascii="仿宋_GB2312" w:eastAsia="仿宋_GB2312"/>
          <w:b w:val="0"/>
          <w:sz w:val="32"/>
          <w:szCs w:val="32"/>
          <w:lang w:eastAsia="zh-CN"/>
        </w:rPr>
        <w:t>；</w:t>
      </w:r>
      <w:r>
        <w:rPr>
          <w:rFonts w:ascii="仿宋_GB2312" w:eastAsia="仿宋_GB2312"/>
          <w:b w:val="0"/>
          <w:sz w:val="32"/>
          <w:szCs w:val="32"/>
        </w:rPr>
        <w:t>二是项目经办人员开展绩效自评工作时，部分人员绩效管理专业能力不足，自评工作存在自我审定的固有局限，一定程度上影响绩效评价工作质量。三是受岗位轮岗、人员调动等因素影响，本单位绩效岗位人员变动较为频繁，导致相关工作衔接不够顺畅。下一步改进措施：一是强化绩效管理业务培训</w:t>
      </w:r>
      <w:r>
        <w:rPr>
          <w:rFonts w:hint="eastAsia" w:ascii="仿宋_GB2312" w:eastAsia="仿宋_GB2312"/>
          <w:b w:val="0"/>
          <w:sz w:val="32"/>
          <w:szCs w:val="32"/>
          <w:lang w:eastAsia="zh-CN"/>
        </w:rPr>
        <w:t>，</w:t>
      </w:r>
      <w:r>
        <w:rPr>
          <w:rFonts w:ascii="仿宋_GB2312" w:eastAsia="仿宋_GB2312"/>
          <w:b w:val="0"/>
          <w:sz w:val="32"/>
          <w:szCs w:val="32"/>
        </w:rPr>
        <w:t>积极引入第三方机构开展绩效管理专题培训，持续夯实业务工作基础，提升本单位绩效工作人员业务能力</w:t>
      </w:r>
      <w:r>
        <w:rPr>
          <w:rFonts w:hint="eastAsia" w:ascii="仿宋_GB2312" w:eastAsia="仿宋_GB2312"/>
          <w:b w:val="0"/>
          <w:sz w:val="32"/>
          <w:szCs w:val="32"/>
          <w:lang w:eastAsia="zh-CN"/>
        </w:rPr>
        <w:t>；</w:t>
      </w:r>
      <w:r>
        <w:rPr>
          <w:rFonts w:ascii="仿宋_GB2312" w:eastAsia="仿宋_GB2312"/>
          <w:b w:val="0"/>
          <w:sz w:val="32"/>
          <w:szCs w:val="32"/>
        </w:rPr>
        <w:t xml:space="preserve"> 二是健全绩效岗位管理制度</w:t>
      </w:r>
      <w:r>
        <w:rPr>
          <w:rFonts w:hint="eastAsia" w:ascii="仿宋_GB2312" w:eastAsia="仿宋_GB2312"/>
          <w:b w:val="0"/>
          <w:sz w:val="32"/>
          <w:szCs w:val="32"/>
          <w:lang w:eastAsia="zh-CN"/>
        </w:rPr>
        <w:t>，</w:t>
      </w:r>
      <w:r>
        <w:rPr>
          <w:rFonts w:ascii="仿宋_GB2312" w:eastAsia="仿宋_GB2312"/>
          <w:b w:val="0"/>
          <w:sz w:val="32"/>
          <w:szCs w:val="32"/>
        </w:rPr>
        <w:t>建立完善绩效工作人员定岗、定职、定责相关制度机制，压实岗位工作责任，全面提升绩效管理工作质效，保障绩效管理各项工作落地落实</w:t>
      </w:r>
      <w:r>
        <w:rPr>
          <w:rFonts w:hint="eastAsia" w:ascii="仿宋_GB2312" w:eastAsia="仿宋_GB2312"/>
          <w:b w:val="0"/>
          <w:sz w:val="32"/>
          <w:szCs w:val="32"/>
          <w:lang w:eastAsia="zh-CN"/>
        </w:rPr>
        <w:t>；</w:t>
      </w:r>
      <w:r>
        <w:rPr>
          <w:rFonts w:ascii="仿宋_GB2312" w:eastAsia="仿宋_GB2312"/>
          <w:b w:val="0"/>
          <w:sz w:val="32"/>
          <w:szCs w:val="32"/>
        </w:rPr>
        <w:t>三是严格规范项目实施全流程管理</w:t>
      </w:r>
      <w:r>
        <w:rPr>
          <w:rFonts w:hint="eastAsia" w:ascii="仿宋_GB2312" w:eastAsia="仿宋_GB2312"/>
          <w:b w:val="0"/>
          <w:sz w:val="32"/>
          <w:szCs w:val="32"/>
          <w:lang w:eastAsia="zh-CN"/>
        </w:rPr>
        <w:t>，</w:t>
      </w:r>
      <w:r>
        <w:rPr>
          <w:rFonts w:ascii="仿宋_GB2312" w:eastAsia="仿宋_GB2312"/>
          <w:b w:val="0"/>
          <w:sz w:val="32"/>
          <w:szCs w:val="32"/>
        </w:rPr>
        <w:t>做实做细项目前期工作，科学编制可行性研究报告，细化完善项目实施方案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同时</w:t>
      </w:r>
      <w:r>
        <w:rPr>
          <w:rFonts w:ascii="仿宋_GB2312" w:eastAsia="仿宋_GB2312"/>
          <w:b w:val="0"/>
          <w:sz w:val="32"/>
          <w:szCs w:val="32"/>
        </w:rPr>
        <w:t>督促各责任部门结合项目实施实际，立足项目自身特点做好经验梳理总结。具体附整体支出绩效自评表、项目支出绩效自评表及项目支出绩效评价报告。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F6CBB"/>
    <w:rsid w:val="03031491"/>
    <w:rsid w:val="067C3C3D"/>
    <w:rsid w:val="077D3F8E"/>
    <w:rsid w:val="07BA2CD8"/>
    <w:rsid w:val="0B5F56D3"/>
    <w:rsid w:val="0BC8547A"/>
    <w:rsid w:val="0EED520D"/>
    <w:rsid w:val="100A49FF"/>
    <w:rsid w:val="11F102E0"/>
    <w:rsid w:val="16BE59A3"/>
    <w:rsid w:val="18527444"/>
    <w:rsid w:val="1AC255EB"/>
    <w:rsid w:val="1B1F134A"/>
    <w:rsid w:val="1D560661"/>
    <w:rsid w:val="203D5FC7"/>
    <w:rsid w:val="20C21E66"/>
    <w:rsid w:val="22094390"/>
    <w:rsid w:val="2AB7478C"/>
    <w:rsid w:val="2C0734F1"/>
    <w:rsid w:val="2C693E72"/>
    <w:rsid w:val="2C78457A"/>
    <w:rsid w:val="32707B4D"/>
    <w:rsid w:val="33E25786"/>
    <w:rsid w:val="34C52E90"/>
    <w:rsid w:val="371700E9"/>
    <w:rsid w:val="3BF13876"/>
    <w:rsid w:val="3C885F88"/>
    <w:rsid w:val="46431172"/>
    <w:rsid w:val="50B678E6"/>
    <w:rsid w:val="51BB11A6"/>
    <w:rsid w:val="53285A9D"/>
    <w:rsid w:val="55F41FD0"/>
    <w:rsid w:val="5B050454"/>
    <w:rsid w:val="5BF151E9"/>
    <w:rsid w:val="5F054896"/>
    <w:rsid w:val="62E83751"/>
    <w:rsid w:val="63442359"/>
    <w:rsid w:val="671C2656"/>
    <w:rsid w:val="69925B0C"/>
    <w:rsid w:val="6D3C0CD1"/>
    <w:rsid w:val="73770358"/>
    <w:rsid w:val="79C149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6457</Words>
  <Characters>7132</Characters>
  <TotalTime>3</TotalTime>
  <ScaleCrop>false</ScaleCrop>
  <LinksUpToDate>false</LinksUpToDate>
  <CharactersWithSpaces>7139</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2026-08-26T03:24:00Z</dcterms:created>
  <dc:creator>Administrator</dc:creator>
  <cp:lastModifiedBy>Administrator</cp:lastModifiedBy>
  <dcterms:modified xsi:type="dcterms:W3CDTF">2026-08-30T05:25:33Z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2CA9740454734E5F988440FF64462E52_13</vt:lpwstr>
  </property>
  <property fmtid="{D5CDD505-2E9C-101B-9397-08002B2CF9AE}" pid="4" name="KSOTemplateDocerSaveRecord">
    <vt:lpwstr>eyJoZGlkIjoiOTc3M2Y5NzIzMDFlZjAyY2Q4Njk5ODkyYjFjNzBiNTQiLCJ1c2VySWQiOiI3MTczODczNDIifQ==</vt:lpwstr>
  </property>
</Properties>
</file>