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7934B">
      <w:pPr>
        <w:widowControl/>
        <w:spacing w:before="0" w:beforeLines="0" w:beforeAutospacing="0" w:after="0" w:afterLines="0" w:afterAutospacing="0" w:line="240" w:lineRule="auto"/>
        <w:jc w:val="left"/>
        <w:rPr>
          <w:rFonts w:ascii="宋体" w:eastAsia="宋体"/>
          <w:sz w:val="32"/>
          <w:szCs w:val="32"/>
        </w:rPr>
      </w:pPr>
    </w:p>
    <w:p w14:paraId="5D78BCEE">
      <w:pPr>
        <w:widowControl/>
        <w:spacing w:before="0" w:beforeLines="0" w:beforeAutospacing="0" w:after="0" w:afterLines="0" w:afterAutospacing="0" w:line="240" w:lineRule="auto"/>
        <w:jc w:val="left"/>
        <w:rPr>
          <w:rFonts w:ascii="宋体" w:eastAsia="宋体"/>
          <w:sz w:val="44"/>
          <w:szCs w:val="44"/>
        </w:rPr>
      </w:pPr>
    </w:p>
    <w:p w14:paraId="6D1D64EF">
      <w:pPr>
        <w:widowControl/>
        <w:spacing w:before="0" w:beforeLines="0" w:beforeAutospacing="0" w:after="0" w:afterLines="0" w:afterAutospacing="0" w:line="240" w:lineRule="auto"/>
        <w:jc w:val="left"/>
        <w:rPr>
          <w:rFonts w:ascii="宋体" w:eastAsia="宋体"/>
          <w:sz w:val="44"/>
          <w:szCs w:val="44"/>
        </w:rPr>
      </w:pPr>
    </w:p>
    <w:p w14:paraId="2D0BF979">
      <w:pPr>
        <w:widowControl/>
        <w:spacing w:before="0" w:beforeLines="0" w:beforeAutospacing="0" w:after="0" w:afterLines="0" w:afterAutospacing="0" w:line="240" w:lineRule="auto"/>
        <w:jc w:val="left"/>
        <w:rPr>
          <w:rFonts w:ascii="宋体" w:eastAsia="宋体"/>
          <w:sz w:val="44"/>
          <w:szCs w:val="44"/>
        </w:rPr>
      </w:pPr>
    </w:p>
    <w:p w14:paraId="0AEDCF1E">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新疆维吾尔自治区工业经济和信息化研究院</w:t>
      </w:r>
    </w:p>
    <w:p w14:paraId="45F2D00D">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1D119C22">
      <w:pPr>
        <w:widowControl/>
      </w:pPr>
      <w:r>
        <w:rPr>
          <w:b w:val="0"/>
          <w:sz w:val="0"/>
          <w:szCs w:val="0"/>
        </w:rPr>
        <w:br w:type="page"/>
      </w:r>
    </w:p>
    <w:p w14:paraId="2AC7D26B">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6A2EA6A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1E7E1E8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5F466A3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5EC4B42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5BE0D0D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172B5FB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42FCC71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51C25DC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4FECB7A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24376D6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249D528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2B0D60F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5D74DA8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7BA327C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0227F71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1DE30BB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6AD93A1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54A2E9E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252EC52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08CC1A1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0DD6ED6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201DACF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449D086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611FD02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5A68E79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6753A61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3AE710A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701BAE2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40D6493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4D313E1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378BABE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44BCD8D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5CDE786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1563365E">
      <w:pPr>
        <w:widowControl/>
      </w:pPr>
      <w:r>
        <w:rPr>
          <w:b w:val="0"/>
          <w:sz w:val="0"/>
          <w:szCs w:val="0"/>
        </w:rPr>
        <w:br w:type="page"/>
      </w:r>
    </w:p>
    <w:p w14:paraId="60ADE45A">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0EB3099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317EFA7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新党编委〔2024〕127号文，新疆维吾尔自治区工业经济和信息化研究院主要职责是：开展工业和信息化领域相关研究，对全区经济运行进行预测预警，提供决策建议和咨询服务；开展工业生产及能源工业、机电装备工业、消费品工业、原材料工业、电子信息工业等产业应用技术研究；开展以新兴产业和生产性服务</w:t>
      </w:r>
      <w:r>
        <w:rPr>
          <w:rFonts w:hint="eastAsia" w:ascii="仿宋_GB2312" w:eastAsia="仿宋_GB2312"/>
          <w:b w:val="0"/>
          <w:sz w:val="32"/>
          <w:szCs w:val="32"/>
          <w:lang w:eastAsia="zh-CN"/>
        </w:rPr>
        <w:t>业</w:t>
      </w:r>
      <w:r>
        <w:rPr>
          <w:rFonts w:ascii="仿宋_GB2312" w:eastAsia="仿宋_GB2312"/>
          <w:b w:val="0"/>
          <w:sz w:val="32"/>
          <w:szCs w:val="32"/>
        </w:rPr>
        <w:t>为主的先进服务业的研究工作；开展“双碳”经济、产业节能减排、园区经济发展、产业人才发展等领域研究工作。</w:t>
      </w:r>
    </w:p>
    <w:p w14:paraId="7415DE4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74CE726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新疆维吾尔自治区工业经济和信息化研究院无下属预算单位。</w:t>
      </w:r>
    </w:p>
    <w:p w14:paraId="6484F3CC">
      <w:pPr>
        <w:widowControl/>
      </w:pPr>
      <w:r>
        <w:rPr>
          <w:b w:val="0"/>
          <w:sz w:val="0"/>
          <w:szCs w:val="0"/>
        </w:rPr>
        <w:br w:type="page"/>
      </w:r>
      <w:bookmarkStart w:id="0" w:name="_GoBack"/>
      <w:bookmarkEnd w:id="0"/>
    </w:p>
    <w:p w14:paraId="1C8F1D3E">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5758914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1A7F572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2025年度收入总计1,022.43万元，其中：本年收入合计1,022.43万元，使用非财政拨款结余（含专用结余）0.00万元，年初结转和结余0.00万元。</w:t>
      </w:r>
    </w:p>
    <w:p w14:paraId="73A9CD5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2025年度支出总计1,022.43万元，其中：本年支出合计1,022.07万元，结余分配0.36万元，年末结转和结余0.00万元。</w:t>
      </w:r>
    </w:p>
    <w:p w14:paraId="725A3C3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收入支出总体与上年相比，增加150.67万元，增长17.28%，主要原因是：一是调增基本工资等29.65万元；二是记实职业年金缴费48.65万元；三是人才基金增加16.67万元；四是新增软考项目经费65.00万元; 五是新增社科课题经费4.00万元；六是本年非财政拨款结余支出减少13.30万元。</w:t>
      </w:r>
    </w:p>
    <w:p w14:paraId="0187CBC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651BDE2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本年收入1,022.43万元，其中：财政拨款收入1,018.04万元,占99.57%；上级补助收入0.00万元,占0.00%；事业收入0.00万元，占0.00%；经营收入0.00万元,占0.00%；附属单位上缴收入0.00万元，占0.00%；其他收入4.39万元，占0.43%。</w:t>
      </w:r>
    </w:p>
    <w:p w14:paraId="7D9B017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4F317E0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本年支出1,022.07万元，其中：基本支出819.07万元，占80.14%；项目支出203.00万元，占19.86%；上缴上级支出0.00万元，占0.00%；经营支出0.00万元，占0.00%；对附属单位补助支出0.00万元，占0.00%。</w:t>
      </w:r>
    </w:p>
    <w:p w14:paraId="03883A7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30C18F6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1,018.04万元，其中：年初财政拨款结转和结余0.00万元，本年财政拨款收入1,018.04万元。财政拨款支出总计1,018.04万元，其中：年末财政拨款结转和结余0.00万元，本年财政拨款支出1,018.04万元。</w:t>
      </w:r>
    </w:p>
    <w:p w14:paraId="7F9713A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160.52万元，增长18.72%，主要原因是：一是调增基本工资等30.19万元；二是记实职业年金缴费48.65万元；三是人才基金增加16.67万元；四是新增软考项目经费65.00万元。与年初预算相比，年初预算数841.21万元，决算数1,018.04万元，预决算差异率21.02%，主要原因是：一是追加年度考核奖、调资等形成财政拨款收、支差异63.15万元；二是追加记实职业年金59.68万元；三是追加新疆人才发展基金“天山英才”优秀工程师项目54.00万元。</w:t>
      </w:r>
    </w:p>
    <w:p w14:paraId="27243CB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5A5D331F">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人员工资、公用经费、其他刚性支出等重点支出，体现在有关支出科目中。</w:t>
      </w:r>
    </w:p>
    <w:p w14:paraId="500F2261">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资源勘探工业信息等支出（类）工业和信息产业（款）事业运行（项）的支出占本年财政拨款支出总额的比重最高，2025年度决算数为551.04万元，占比54.13%，主要用于保障自治区工业经济和信息化研究院事业运行基本支出。</w:t>
      </w:r>
    </w:p>
    <w:p w14:paraId="3EEFAB55">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1003D4E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1,018.04万元，占本年支出合计的99.61%。与上年相比，增加160.52万元，增长18.72%，主要原因是：一是调增基本工资等30.19万元；二是记实职业年金缴费48.65万元；三是人才基金增加16.67万元；四是新增软考项目经费65.00万元。与年初预算相比，年初预算数841.21万元，决算数1,018.04万元，预决算差异率21.02%，主要原因是：一是追加年度考核奖、调资等形成财政拨款收、支差异63.15万元；二是追加记实职业年金59.68万元；三是追加并使用新疆人才发展基金“天山英才”优秀工程师项目54.00万元。</w:t>
      </w:r>
    </w:p>
    <w:p w14:paraId="4DF8819B">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6360D9A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1.社会保障和就业支出（类）138.28万元，占13.58%。</w:t>
      </w:r>
    </w:p>
    <w:p w14:paraId="5A6E2CC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2.卫生健康支出（类）75.22万元，占7.39%。</w:t>
      </w:r>
    </w:p>
    <w:p w14:paraId="0487F1E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3.资源勘探工业信息等支出（类）750.04万元，占73.67%。</w:t>
      </w:r>
    </w:p>
    <w:p w14:paraId="0E0F616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4.住房保障支出（类）54.50万元，占5.35%。</w:t>
      </w:r>
    </w:p>
    <w:p w14:paraId="504610AE">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03B71F4D">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1、社会保障和就业支出（类）行政事业单位养老支出（款）事业单位离退休（项）：支出决算数为10.15万元，比上年决算增加1.02万元，增长11.17%，主要原因是：本年在职转退休2人，相应退休经费增加。</w:t>
      </w:r>
    </w:p>
    <w:p w14:paraId="4E306D69">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68.46万元，比34.4万元就业支出（类）行政事业单位养老支出（款）机关事业单位职业年金缴费支出（项）：支出决算数为59.68万元，比上年决算增加48.65万元，增长441.07%，主要原因是：一是</w:t>
      </w:r>
      <w:r>
        <w:rPr>
          <w:rFonts w:hint="eastAsia" w:ascii="仿宋_GB2312" w:eastAsia="仿宋_GB2312"/>
          <w:b w:val="0"/>
          <w:sz w:val="32"/>
          <w:szCs w:val="32"/>
        </w:rPr>
        <w:t>根据《新疆维吾尔自治区职业年金单位缴费实账管理实施方案》（新人社发〔2025〕18号），自2025年起全额拨款单位职业年金缴费由记账积累改为实账缴费，职业年金纳入部门预算足额保障，支出增加</w:t>
      </w:r>
      <w:r>
        <w:rPr>
          <w:rFonts w:ascii="仿宋_GB2312" w:eastAsia="仿宋_GB2312"/>
          <w:b w:val="0"/>
          <w:sz w:val="32"/>
          <w:szCs w:val="32"/>
        </w:rPr>
        <w:t>34.4万元；二是记实本年退休人员职业年金14.25万元。</w:t>
      </w:r>
    </w:p>
    <w:p w14:paraId="65EB2725">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4、卫生健康支出（类）行政事业单位医疗（款）事业单位医疗（项）：支出决算数为43.43万元，比上年决算增加7.18万元，增长19.81%，主要原因是：本年调增基本工资，相应事业单位医疗增加。</w:t>
      </w:r>
    </w:p>
    <w:p w14:paraId="0CE7826E">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5、卫生健康支出（类）行政事业单位医疗（款）公务员医疗补助（项）：支出决算数为31.79万元，比上年决算增加1.22万元，增长3.99%，主要原因是：本年调增基本工资，相应公务员医疗补助增加。</w:t>
      </w:r>
    </w:p>
    <w:p w14:paraId="46ED73E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工业和信息产业（款）一般行政管理事务（项）：支出决算数为54.00万元，比上年决算增加16.67万元，增长44.66%，主要原因是：本年追加并使用新疆人才发展基金“天山英才”优秀工程师项目经费比上年多16.67万元。</w:t>
      </w:r>
    </w:p>
    <w:p w14:paraId="5BE4A6A9">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7、资源勘探工业信息等支出（类）工业和信息产业（款）事业运行（项）：支出决算数为551.04万元，比上年决算增加17.00万元，增长3.18%，主要原因是：本年调增基本工资。</w:t>
      </w:r>
    </w:p>
    <w:p w14:paraId="2FC9F32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资源勘探工业信息等支出（类）工业和信息产业（款）其他工业和信息产业支出（项）：支出决算数为145.00万元，比上年决算增加65.00万元，增长81.25%，主要原因是：2025年起研究院承担自治区计算机软件资格考试考务管理工作，新增软考项目经费65万元。</w:t>
      </w:r>
    </w:p>
    <w:p w14:paraId="0B2C9DC4">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9、住房保障支出（类）住房改革支出（款）住房公积金（项）：支出决算数为54.50万元，比上年决算增加2.10万元，增长4.01%，主要原因是：本年调增基本工资，住房公积金</w:t>
      </w:r>
      <w:r>
        <w:rPr>
          <w:rFonts w:hint="eastAsia" w:ascii="仿宋_GB2312" w:eastAsia="仿宋_GB2312"/>
          <w:b w:val="0"/>
          <w:sz w:val="32"/>
          <w:szCs w:val="32"/>
          <w:lang w:val="en-US" w:eastAsia="zh-CN"/>
        </w:rPr>
        <w:t>缴费</w:t>
      </w:r>
      <w:r>
        <w:rPr>
          <w:rFonts w:ascii="仿宋_GB2312" w:eastAsia="仿宋_GB2312"/>
          <w:b w:val="0"/>
          <w:sz w:val="32"/>
          <w:szCs w:val="32"/>
        </w:rPr>
        <w:t>相应增加。</w:t>
      </w:r>
    </w:p>
    <w:p w14:paraId="753D35D9">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六、一般公共预算财政拨款基本支出决算情况说明</w:t>
      </w:r>
    </w:p>
    <w:p w14:paraId="7E426A6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color w:val="auto"/>
          <w:sz w:val="32"/>
          <w:szCs w:val="32"/>
        </w:rPr>
        <w:t>2025年度一般公共预算财政拨款基本支出819.04万元，其中：人员经费774.73万元，包括：基本工资、津贴补贴、奖金、绩效工资、机关事业</w:t>
      </w:r>
      <w:r>
        <w:rPr>
          <w:rFonts w:ascii="仿宋_GB2312" w:eastAsia="仿宋_GB2312"/>
          <w:b w:val="0"/>
          <w:sz w:val="32"/>
          <w:szCs w:val="32"/>
        </w:rPr>
        <w:t>单位基本养老保险缴费、职业年金缴费、职工基本医疗保险缴费、公务员医疗补助缴费、其他社会保障缴费、住房公积金、其他工资福利支出、退休费和其他对个人和家庭的补助。</w:t>
      </w:r>
    </w:p>
    <w:p w14:paraId="57A43CF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公用经费44.31万元，包括：办公费、取暖费、物业管理费、差旅费、工会经费、福利费、公务用车运行维护费和其他商品和服务支出。</w:t>
      </w:r>
    </w:p>
    <w:p w14:paraId="63B02E2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6C9E577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20D0B9E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1DECD2F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1D56403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24E6D81E">
      <w:pPr>
        <w:widowControl/>
        <w:spacing w:before="0" w:beforeLines="0" w:beforeAutospacing="0" w:after="0" w:afterLines="0" w:afterAutospacing="0" w:line="240" w:lineRule="auto"/>
        <w:ind w:firstLine="640" w:firstLineChars="200"/>
        <w:jc w:val="both"/>
        <w:rPr>
          <w:rFonts w:ascii="仿宋_GB2312" w:eastAsia="仿宋_GB2312"/>
          <w:sz w:val="36"/>
          <w:szCs w:val="36"/>
        </w:rPr>
      </w:pPr>
      <w:r>
        <w:rPr>
          <w:rFonts w:ascii="仿宋_GB2312" w:eastAsia="仿宋_GB2312"/>
          <w:b w:val="0"/>
          <w:sz w:val="32"/>
          <w:szCs w:val="32"/>
        </w:rPr>
        <w:t>2025年度财政拨款“三公”经费支出1.14万元，与上年相比无变化，主要原因是：严格</w:t>
      </w:r>
      <w:r>
        <w:rPr>
          <w:rFonts w:hint="eastAsia" w:ascii="仿宋_GB2312" w:eastAsia="仿宋_GB2312"/>
          <w:b w:val="0"/>
          <w:sz w:val="32"/>
          <w:szCs w:val="32"/>
          <w:lang w:val="en-US" w:eastAsia="zh-CN"/>
        </w:rPr>
        <w:t>落实</w:t>
      </w:r>
      <w:r>
        <w:rPr>
          <w:rFonts w:ascii="仿宋_GB2312" w:eastAsia="仿宋_GB2312"/>
          <w:b w:val="0"/>
          <w:sz w:val="32"/>
          <w:szCs w:val="32"/>
        </w:rPr>
        <w:t>中央八项规定及</w:t>
      </w:r>
      <w:r>
        <w:rPr>
          <w:rFonts w:hint="eastAsia" w:ascii="仿宋_GB2312" w:eastAsia="仿宋_GB2312"/>
          <w:b w:val="0"/>
          <w:sz w:val="32"/>
          <w:szCs w:val="32"/>
          <w:lang w:val="en-US" w:eastAsia="zh-CN"/>
        </w:rPr>
        <w:t>其</w:t>
      </w:r>
      <w:r>
        <w:rPr>
          <w:rFonts w:ascii="仿宋_GB2312" w:eastAsia="仿宋_GB2312"/>
          <w:b w:val="0"/>
          <w:sz w:val="32"/>
          <w:szCs w:val="32"/>
        </w:rPr>
        <w:t>实施细则，严控“三公”经费支出。其中：因公出国（境）费用支出0.00万元,占0.00%，与上年相比无变化，主要原因是：</w:t>
      </w:r>
      <w:r>
        <w:rPr>
          <w:rFonts w:hint="eastAsia" w:ascii="仿宋_GB2312" w:eastAsia="仿宋_GB2312"/>
          <w:b w:val="0"/>
          <w:sz w:val="32"/>
          <w:szCs w:val="32"/>
          <w:lang w:val="en-US" w:eastAsia="zh-CN"/>
        </w:rPr>
        <w:t>未发生</w:t>
      </w:r>
      <w:r>
        <w:rPr>
          <w:rFonts w:ascii="仿宋_GB2312" w:eastAsia="仿宋_GB2312"/>
          <w:b w:val="0"/>
          <w:sz w:val="32"/>
          <w:szCs w:val="32"/>
        </w:rPr>
        <w:t>因公出国（境）费；公务用车购置及运行维护费支出1.14万元，占100.00%，与上年相比无变化，主要原因是：严格执行公务用车管理制度，合理控制公务用车运行费用；公务接待费支出0.00万元，占0.00%，与上年相比无变化，主要原因是：</w:t>
      </w:r>
      <w:r>
        <w:rPr>
          <w:rFonts w:hint="eastAsia" w:ascii="仿宋_GB2312" w:eastAsia="仿宋_GB2312"/>
          <w:b w:val="0"/>
          <w:sz w:val="32"/>
          <w:szCs w:val="32"/>
          <w:lang w:val="en-US" w:eastAsia="zh-CN"/>
        </w:rPr>
        <w:t>未发生</w:t>
      </w:r>
      <w:r>
        <w:rPr>
          <w:rFonts w:ascii="仿宋_GB2312" w:eastAsia="仿宋_GB2312"/>
          <w:b w:val="0"/>
          <w:sz w:val="32"/>
          <w:szCs w:val="32"/>
        </w:rPr>
        <w:t>公务接待费。</w:t>
      </w:r>
    </w:p>
    <w:p w14:paraId="4FBFEE55">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33BE827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rPr>
        <w:t>：本年度未发生因公出国（境）相关支出</w:t>
      </w:r>
      <w:r>
        <w:rPr>
          <w:rFonts w:ascii="仿宋_GB2312" w:eastAsia="仿宋_GB2312"/>
          <w:b w:val="0"/>
          <w:sz w:val="32"/>
          <w:szCs w:val="32"/>
        </w:rPr>
        <w:t>。单位全年安排的因公出国（境）团组0个，因公出国（境）0人次。</w:t>
      </w:r>
    </w:p>
    <w:p w14:paraId="3AE3D5F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1.14万元，其中：公务用车购置费0.00万元，公务用车运行维护费1.14万元。公务用车运行维护费开支内容包括车辆加油、车辆维修、车辆保险等费用。公务用车购置数0辆，公务用车保有量1辆。国有资产占用情况中固定资产车辆1辆，与公务用车保有量差异原因是：无差异。</w:t>
      </w:r>
    </w:p>
    <w:p w14:paraId="1487ABB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w:t>
      </w:r>
      <w:r>
        <w:rPr>
          <w:rFonts w:hint="eastAsia" w:ascii="仿宋_GB2312" w:eastAsia="仿宋_GB2312"/>
          <w:b w:val="0"/>
          <w:sz w:val="32"/>
          <w:szCs w:val="32"/>
        </w:rPr>
        <w:t>本年度未发生</w:t>
      </w:r>
      <w:r>
        <w:rPr>
          <w:rFonts w:ascii="仿宋_GB2312" w:eastAsia="仿宋_GB2312"/>
          <w:b w:val="0"/>
          <w:sz w:val="32"/>
          <w:szCs w:val="32"/>
        </w:rPr>
        <w:t>公务接待</w:t>
      </w:r>
      <w:r>
        <w:rPr>
          <w:rFonts w:hint="eastAsia" w:ascii="仿宋_GB2312" w:eastAsia="仿宋_GB2312"/>
          <w:b w:val="0"/>
          <w:sz w:val="32"/>
          <w:szCs w:val="32"/>
        </w:rPr>
        <w:t>相关支出。</w:t>
      </w:r>
      <w:r>
        <w:rPr>
          <w:rFonts w:ascii="仿宋_GB2312" w:eastAsia="仿宋_GB2312"/>
          <w:b w:val="0"/>
          <w:sz w:val="32"/>
          <w:szCs w:val="32"/>
        </w:rPr>
        <w:t>单位全年安排的国内公务接待0批次，0人次。</w:t>
      </w:r>
    </w:p>
    <w:p w14:paraId="2DAC4CB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1.14万元，决算数1.14万元，预决算差异率0.00%，主要原因是：严格执行年初预算，无预算不支出。其中：因公出国（境）费用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1.14万元，决算数1.14万元，预决算差异率0.00%，主要原因是：严格执行公务用车管理制度，合理控制公务用车运行费用；公务接待费全年预算数0.00万元，决算数0.00万元，预决算差异率0.00%，主要原因是：我单位无公务接待费。</w:t>
      </w:r>
    </w:p>
    <w:p w14:paraId="2AA22F3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3825F2B4">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7DE014F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2025年度新疆维吾尔自治区工业经济和信息化研究院（事业单位）公用经费支出44.31万元，比上年增加3.54万元，增长8.68%，主要原因是：本年取暖收费标准</w:t>
      </w:r>
      <w:r>
        <w:rPr>
          <w:rFonts w:hint="eastAsia" w:ascii="仿宋_GB2312" w:eastAsia="仿宋_GB2312"/>
          <w:b w:val="0"/>
          <w:sz w:val="32"/>
          <w:szCs w:val="32"/>
          <w:lang w:val="en-US" w:eastAsia="zh-CN"/>
        </w:rPr>
        <w:t>调整</w:t>
      </w:r>
      <w:r>
        <w:rPr>
          <w:rFonts w:ascii="仿宋_GB2312" w:eastAsia="仿宋_GB2312"/>
          <w:b w:val="0"/>
          <w:sz w:val="32"/>
          <w:szCs w:val="32"/>
        </w:rPr>
        <w:t>，增加取暖费支出1.85万元；其他商品和服务支出增加1.69万元。</w:t>
      </w:r>
    </w:p>
    <w:p w14:paraId="6D5AFE1B">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6253ED2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2025年度政府采购支出总额23.39万元，其中：政府采购货物支出0.94万元、政府采购工程支出0.00万元、政府采购服务支出22.45万元。</w:t>
      </w:r>
    </w:p>
    <w:p w14:paraId="4C28FBE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授予中小企业合同金额22.06万元，占政府采购支出总额的94.31%，其中：授予小微企业合同金额22.06万元，占政府采购支出总额的94.31%。</w:t>
      </w:r>
    </w:p>
    <w:p w14:paraId="1F61C3CE">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4CBD17B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2,500.00平方米，价值70.31万元。车辆1辆，价值16.92万元，其中：副部（省）级及以上领导用车0辆、主要负责人用车0辆、机要通信用车0辆、应急保障用车0辆、执法执勤用车0辆、特种专业技术用车0辆、离退休干部服务用车0辆、其他用车1辆，其他用车主要是：开展咨询、调研等业务用车;单价100万元（含）以上设备（不含车辆）0台（套）。</w:t>
      </w:r>
    </w:p>
    <w:p w14:paraId="45EEA1D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3B45090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根据预算绩效管理要求，本单位2025年度预算绩效评价项目3个，全年预算数149.00万元，全年执行数149.00万元。预算绩效管理取得的成效：一是严格执行自治区工业和信息化厅制定</w:t>
      </w:r>
      <w:r>
        <w:rPr>
          <w:rFonts w:hint="eastAsia" w:ascii="仿宋_GB2312" w:eastAsia="仿宋_GB2312"/>
          <w:b w:val="0"/>
          <w:sz w:val="32"/>
          <w:szCs w:val="32"/>
          <w:lang w:val="en-US" w:eastAsia="zh-CN"/>
        </w:rPr>
        <w:t>的</w:t>
      </w:r>
      <w:r>
        <w:rPr>
          <w:rFonts w:ascii="仿宋_GB2312" w:eastAsia="仿宋_GB2312"/>
          <w:b w:val="0"/>
          <w:sz w:val="32"/>
          <w:szCs w:val="32"/>
        </w:rPr>
        <w:t>预算绩效管理办法，规范和加快预算执行，积极做好绩效监控和绩效评价工作，确保预算执行的及时性和规范性,切实发挥财政资金最大效用；二是项目实施过程中，紧紧依托课题小组，发挥课题小组集体研究、群策群力的作用，增加了项目实施过程的公开透明性。发现的问题及原因：上半年项目进度监控有偏差，主要因《工信重点研究成果汇编》根据院工作安排下半年进行，征集、选编、印制的实施周期较长，成本支付在年底。下一步改进措施：一是项目绩效目标设置要更加精细化、科学化；二是加强项目绩效监控，有效组织协调推进项目实施，按进度和时限完成绩效指标。具体附项目支出绩效自评表。</w:t>
      </w:r>
    </w:p>
    <w:p w14:paraId="0F52B048">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54CDEAA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66E6628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1AF4C99B">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0CB64D05">
      <w:pPr>
        <w:widowControl/>
      </w:pPr>
      <w:r>
        <w:rPr>
          <w:b w:val="0"/>
          <w:sz w:val="0"/>
          <w:szCs w:val="0"/>
        </w:rPr>
        <w:br w:type="page"/>
      </w:r>
    </w:p>
    <w:p w14:paraId="74A3DA87">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15E009A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4DCFFBA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486AAC3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47D6D9B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4EBA912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4A40D98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6EB7112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6DABF0E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436ED15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0C74046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08867C1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7CA0447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52D920B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2FC8F57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397E8BCF">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0FDFD57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55BF85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06AD2981">
      <w:pPr>
        <w:widowControl/>
      </w:pPr>
      <w:r>
        <w:rPr>
          <w:b w:val="0"/>
          <w:sz w:val="0"/>
          <w:szCs w:val="0"/>
        </w:rPr>
        <w:br w:type="page"/>
      </w:r>
    </w:p>
    <w:p w14:paraId="008D5F08">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4774F4B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69FC6A2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22ED464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0D82864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6ACF222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2D535E4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741564A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0B411E7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42174A9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714C6"/>
    <w:rsid w:val="00A42CA7"/>
    <w:rsid w:val="07BB67DE"/>
    <w:rsid w:val="20EE7FD1"/>
    <w:rsid w:val="2A6A56A5"/>
    <w:rsid w:val="2D9C347B"/>
    <w:rsid w:val="5D4C2069"/>
    <w:rsid w:val="62261C1B"/>
    <w:rsid w:val="7FFDF7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6002</Words>
  <Characters>6740</Characters>
  <TotalTime>2</TotalTime>
  <ScaleCrop>false</ScaleCrop>
  <LinksUpToDate>false</LinksUpToDate>
  <CharactersWithSpaces>6748</CharactersWithSpaces>
  <Application>WPS Office_12.1.2.23582_F1E327BC-269C-435d-A152-05C5408002CA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2026-08-26T16:19:00Z</dcterms:created>
  <dc:creator>Administrator</dc:creator>
  <cp:lastModifiedBy>user</cp:lastModifiedBy>
  <dcterms:modified xsi:type="dcterms:W3CDTF">2026-09-02T12:14:27Z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AC3EE8CA4BF04CDC973BD90BA5A7FEDA</vt:lpwstr>
  </property>
  <property fmtid="{D5CDD505-2E9C-101B-9397-08002B2CF9AE}" pid="4" name="KSOTemplateDocerSaveRecord">
    <vt:lpwstr>eyJoZGlkIjoiZGM4Y2ExNDA0MjdkYTk1NTY2NzM4YTExNWYxN2IxZmMiLCJ1c2VySWQiOiIzMjM2NTI0MzUifQ==</vt:lpwstr>
  </property>
</Properties>
</file>