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749E5">
      <w:pPr>
        <w:widowControl/>
        <w:spacing w:before="0" w:beforeLines="0" w:beforeAutospacing="0" w:after="0" w:afterLines="0" w:afterAutospacing="0" w:line="240" w:lineRule="auto"/>
        <w:jc w:val="left"/>
        <w:rPr>
          <w:rFonts w:ascii="宋体" w:eastAsia="宋体"/>
          <w:color w:val="auto"/>
          <w:sz w:val="32"/>
          <w:szCs w:val="32"/>
        </w:rPr>
      </w:pPr>
      <w:bookmarkStart w:id="0" w:name="_GoBack"/>
      <w:bookmarkEnd w:id="0"/>
    </w:p>
    <w:p w14:paraId="798AE63A">
      <w:pPr>
        <w:widowControl/>
        <w:spacing w:before="0" w:beforeLines="0" w:beforeAutospacing="0" w:after="0" w:afterLines="0" w:afterAutospacing="0" w:line="240" w:lineRule="auto"/>
        <w:jc w:val="left"/>
        <w:rPr>
          <w:rFonts w:ascii="宋体" w:eastAsia="宋体"/>
          <w:color w:val="auto"/>
          <w:sz w:val="44"/>
          <w:szCs w:val="44"/>
        </w:rPr>
      </w:pPr>
    </w:p>
    <w:p w14:paraId="2DAF7F51">
      <w:pPr>
        <w:widowControl/>
        <w:spacing w:before="0" w:beforeLines="0" w:beforeAutospacing="0" w:after="0" w:afterLines="0" w:afterAutospacing="0" w:line="240" w:lineRule="auto"/>
        <w:jc w:val="left"/>
        <w:rPr>
          <w:rFonts w:ascii="宋体" w:eastAsia="宋体"/>
          <w:color w:val="auto"/>
          <w:sz w:val="44"/>
          <w:szCs w:val="44"/>
        </w:rPr>
      </w:pPr>
    </w:p>
    <w:p w14:paraId="28CF1B1B">
      <w:pPr>
        <w:widowControl/>
        <w:spacing w:before="0" w:beforeLines="0" w:beforeAutospacing="0" w:after="0" w:afterLines="0" w:afterAutospacing="0" w:line="240" w:lineRule="auto"/>
        <w:jc w:val="left"/>
        <w:rPr>
          <w:rFonts w:ascii="宋体" w:eastAsia="宋体"/>
          <w:color w:val="auto"/>
          <w:sz w:val="44"/>
          <w:szCs w:val="44"/>
        </w:rPr>
      </w:pPr>
    </w:p>
    <w:p w14:paraId="3412C58C">
      <w:pPr>
        <w:widowControl/>
        <w:spacing w:before="0" w:beforeLines="0" w:beforeAutospacing="0" w:after="0" w:afterLines="0" w:afterAutospacing="0" w:line="240" w:lineRule="auto"/>
        <w:jc w:val="center"/>
        <w:outlineLvl w:val="0"/>
        <w:rPr>
          <w:rFonts w:ascii="宋体" w:eastAsia="黑体"/>
          <w:color w:val="auto"/>
          <w:sz w:val="44"/>
          <w:szCs w:val="44"/>
        </w:rPr>
      </w:pPr>
      <w:r>
        <w:rPr>
          <w:rFonts w:ascii="宋体" w:eastAsia="黑体"/>
          <w:b w:val="0"/>
          <w:color w:val="auto"/>
          <w:sz w:val="44"/>
          <w:szCs w:val="44"/>
        </w:rPr>
        <w:t>克拉玛依市无线电管理中心</w:t>
      </w:r>
    </w:p>
    <w:p w14:paraId="20EC8308">
      <w:pPr>
        <w:widowControl/>
        <w:spacing w:before="0" w:beforeLines="0" w:beforeAutospacing="0" w:after="0" w:afterLines="0" w:afterAutospacing="0" w:line="240" w:lineRule="auto"/>
        <w:jc w:val="center"/>
        <w:outlineLvl w:val="0"/>
        <w:rPr>
          <w:rFonts w:ascii="黑体" w:eastAsia="黑体"/>
          <w:color w:val="auto"/>
          <w:sz w:val="44"/>
          <w:szCs w:val="44"/>
        </w:rPr>
      </w:pPr>
      <w:r>
        <w:rPr>
          <w:rFonts w:ascii="黑体" w:eastAsia="黑体"/>
          <w:b w:val="0"/>
          <w:color w:val="auto"/>
          <w:sz w:val="44"/>
          <w:szCs w:val="44"/>
        </w:rPr>
        <w:t>2025年度部门决算公开说明</w:t>
      </w:r>
    </w:p>
    <w:p w14:paraId="534D014A">
      <w:pPr>
        <w:widowControl/>
        <w:rPr>
          <w:color w:val="auto"/>
        </w:rPr>
      </w:pPr>
      <w:r>
        <w:rPr>
          <w:b w:val="0"/>
          <w:color w:val="auto"/>
          <w:sz w:val="0"/>
          <w:szCs w:val="0"/>
        </w:rPr>
        <w:br w:type="page"/>
      </w:r>
    </w:p>
    <w:p w14:paraId="50B89A44">
      <w:pPr>
        <w:widowControl/>
        <w:spacing w:before="0" w:beforeLines="0" w:beforeAutospacing="0" w:after="0" w:afterLines="0" w:afterAutospacing="0" w:line="240" w:lineRule="auto"/>
        <w:jc w:val="center"/>
        <w:rPr>
          <w:rFonts w:ascii="黑体" w:eastAsia="黑体"/>
          <w:color w:val="auto"/>
          <w:sz w:val="32"/>
          <w:szCs w:val="32"/>
        </w:rPr>
      </w:pPr>
      <w:r>
        <w:rPr>
          <w:rFonts w:ascii="黑体" w:eastAsia="黑体"/>
          <w:b/>
          <w:color w:val="auto"/>
          <w:sz w:val="32"/>
          <w:szCs w:val="32"/>
        </w:rPr>
        <w:t>目 录</w:t>
      </w:r>
    </w:p>
    <w:p w14:paraId="4E23F3A8">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第一部分单位概况</w:t>
      </w:r>
    </w:p>
    <w:p w14:paraId="7674EB07">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一、主要职能</w:t>
      </w:r>
    </w:p>
    <w:p w14:paraId="0D4DEF48">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二、机构设置</w:t>
      </w:r>
    </w:p>
    <w:p w14:paraId="7674CE06">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第二部分 部门决算情况说明</w:t>
      </w:r>
    </w:p>
    <w:p w14:paraId="67015D46">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一、收入支出决算总体情况说明</w:t>
      </w:r>
    </w:p>
    <w:p w14:paraId="2E655F3C">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二、收入决算情况说明</w:t>
      </w:r>
    </w:p>
    <w:p w14:paraId="7ED18428">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三、支出决算情况说明</w:t>
      </w:r>
    </w:p>
    <w:p w14:paraId="556505F7">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四、财政拨款收入支出决算总体情况说明</w:t>
      </w:r>
    </w:p>
    <w:p w14:paraId="198A699C">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五、一般公共预算财政拨款支出决算情况说明</w:t>
      </w:r>
    </w:p>
    <w:p w14:paraId="2E5F904F">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（一）一般公共预算财政拨款支出决算总体情况</w:t>
      </w:r>
    </w:p>
    <w:p w14:paraId="6E89ACEC">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（二）一般公共预算财政拨款支出决算结构情况</w:t>
      </w:r>
    </w:p>
    <w:p w14:paraId="62C87817">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（三）一般公共预算财政拨款支出决算具体情况</w:t>
      </w:r>
    </w:p>
    <w:p w14:paraId="61C65DAA">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六、一般公共预算财政拨款基本支出决算情况说明</w:t>
      </w:r>
    </w:p>
    <w:p w14:paraId="1B4A18CD">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七、政府性基金预算财政拨款收入支出决算情况说明</w:t>
      </w:r>
    </w:p>
    <w:p w14:paraId="5D9460D2">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八、国有资本经营预算财政拨款收入支出决算情况说明</w:t>
      </w:r>
    </w:p>
    <w:p w14:paraId="44CBB9FF">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九、财政拨款“三公”经费支出决算情况说明</w:t>
      </w:r>
    </w:p>
    <w:p w14:paraId="7DB58FFA">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十、其他重要事项的情况说明</w:t>
      </w:r>
    </w:p>
    <w:p w14:paraId="7B68CC00">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（一）机关运行经费及公用经费支出情况</w:t>
      </w:r>
    </w:p>
    <w:p w14:paraId="6CE3841E">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（二）政府采购情况</w:t>
      </w:r>
    </w:p>
    <w:p w14:paraId="419FADDB">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（三）国有资产占用情况说明</w:t>
      </w:r>
    </w:p>
    <w:p w14:paraId="4DDB30DB">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十一、预算绩效的情况说明</w:t>
      </w:r>
    </w:p>
    <w:p w14:paraId="1EE342E0">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十二、其他需说明的事项</w:t>
      </w:r>
    </w:p>
    <w:p w14:paraId="5F6EE601">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第三部分 专业名词解释</w:t>
      </w:r>
    </w:p>
    <w:p w14:paraId="6E2806F2">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color w:val="auto"/>
          <w:sz w:val="32"/>
          <w:szCs w:val="32"/>
        </w:rPr>
        <w:t>第四部分 部门决算报表（见附表）</w:t>
      </w:r>
    </w:p>
    <w:p w14:paraId="3FAC3A87">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一、《收入支出决算总表》</w:t>
      </w:r>
    </w:p>
    <w:p w14:paraId="3F3AC74C">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二、《收入决算表》</w:t>
      </w:r>
    </w:p>
    <w:p w14:paraId="03B15B3F">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三、《支出决算表》</w:t>
      </w:r>
    </w:p>
    <w:p w14:paraId="59CD39FB">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四、《财政拨款收入支出决算总表》</w:t>
      </w:r>
    </w:p>
    <w:p w14:paraId="69DF4E5A">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14:paraId="7C29C2F6">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14:paraId="7ED36F47">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14:paraId="589D1543">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14:paraId="682695AC">
      <w:pPr>
        <w:widowControl/>
        <w:spacing w:before="0" w:beforeLines="0" w:beforeAutospacing="0" w:after="0" w:afterLines="0" w:afterAutospacing="0" w:line="240" w:lineRule="auto"/>
        <w:jc w:val="left"/>
        <w:rPr>
          <w:rFonts w:ascii="仿宋_GB2312" w:eastAsia="仿宋_GB2312"/>
          <w:color w:val="auto"/>
          <w:sz w:val="32"/>
          <w:szCs w:val="32"/>
        </w:rPr>
      </w:pPr>
      <w:r>
        <w:rPr>
          <w:rFonts w:ascii="仿宋_GB2312" w:eastAsia="仿宋_GB2312"/>
          <w:b w:val="0"/>
          <w:color w:val="auto"/>
          <w:sz w:val="32"/>
          <w:szCs w:val="32"/>
        </w:rPr>
        <w:t>九、《财政拨款“三公”经费支出决算表》</w:t>
      </w:r>
    </w:p>
    <w:p w14:paraId="5AAB3ED4">
      <w:pPr>
        <w:widowControl/>
        <w:rPr>
          <w:color w:val="auto"/>
        </w:rPr>
      </w:pPr>
      <w:r>
        <w:rPr>
          <w:b w:val="0"/>
          <w:color w:val="auto"/>
          <w:sz w:val="0"/>
          <w:szCs w:val="0"/>
        </w:rPr>
        <w:br w:type="page"/>
      </w:r>
    </w:p>
    <w:p w14:paraId="75AEF465">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第一部分单位概况</w:t>
      </w:r>
    </w:p>
    <w:p w14:paraId="7EE4000B">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一、主要职能</w:t>
      </w:r>
    </w:p>
    <w:p w14:paraId="439D1DDD">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根据自治区工业和信息化厅授权，协调处理辖区（克拉玛依市、奎屯市）内无线电管理相关事宜。</w:t>
      </w:r>
    </w:p>
    <w:p w14:paraId="6329D5C2">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二、机构设置</w:t>
      </w:r>
    </w:p>
    <w:p w14:paraId="77F95D52">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克拉玛依市无线电管理中心无下属预算单位。</w:t>
      </w:r>
    </w:p>
    <w:p w14:paraId="21C0C3F0">
      <w:pPr>
        <w:widowControl/>
        <w:rPr>
          <w:color w:val="auto"/>
        </w:rPr>
      </w:pPr>
      <w:r>
        <w:rPr>
          <w:b w:val="0"/>
          <w:color w:val="auto"/>
          <w:sz w:val="0"/>
          <w:szCs w:val="0"/>
        </w:rPr>
        <w:br w:type="page"/>
      </w:r>
    </w:p>
    <w:p w14:paraId="3BEFBCB3">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第二部分 部门决算情况说明</w:t>
      </w:r>
    </w:p>
    <w:p w14:paraId="56AC6984">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一、收入支出决算总体情况说明</w:t>
      </w:r>
    </w:p>
    <w:p w14:paraId="25A2682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2025年度收入总计409.59万元，其中：本年收入合计377.09万元，使用非财政拨款结余（含专用结余）0.00万元，年初结转和结余32.50万元。</w:t>
      </w:r>
    </w:p>
    <w:p w14:paraId="3EB26654">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2025年度支出总计409.59万元，其中：本年支出合计377.06万元，结余分配0.00万元，年末结转和结余32.53万元。</w:t>
      </w:r>
    </w:p>
    <w:p w14:paraId="039937B7">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收入支出总体与上年相比，增加225.40万元，增长122.37%，主要原因是：根据自治区工业和信息化厅所属事业单位改革方案要求，奎屯市无线电管理局撤并至克拉玛依市无线电管理中心，由于人员转隶、资产划转，收入支出总体与上年相比增加225.40万元。一是本年收入较上年增加194.77万元，1.一般公共预算财政拨款收入支出较上年增加194.91万元，（1）基本支出收入较上年增加136.94万元，为人员转隶、人员调资、社保及公积金缴费基数上调等人员公用经费相应增加136.94万元。（2）项目支出收入较上年增加57.97万元，为无线电管理经费项目增加57.97万元。2.其他收入较上年减少0.14万元，为压减克拉玛依市人员补差经费项目0.14万元；二是使用非财政拨款结余较上年减少1.82万元，</w:t>
      </w:r>
      <w:r>
        <w:rPr>
          <w:rFonts w:hint="eastAsia" w:ascii="仿宋_GB2312" w:eastAsia="仿宋_GB2312"/>
          <w:b w:val="0"/>
          <w:color w:val="auto"/>
          <w:sz w:val="32"/>
          <w:szCs w:val="32"/>
          <w:lang w:val="en-US" w:eastAsia="zh-CN"/>
        </w:rPr>
        <w:t>由于</w:t>
      </w:r>
      <w:r>
        <w:rPr>
          <w:rFonts w:ascii="仿宋_GB2312" w:eastAsia="仿宋_GB2312"/>
          <w:b w:val="0"/>
          <w:color w:val="auto"/>
          <w:sz w:val="32"/>
          <w:szCs w:val="32"/>
        </w:rPr>
        <w:t>机构改革，项目经费充足，未安排结转结余资金项目；三是年初结转和结余较上年增加32.45万元，为原奎屯市无线电管理局归集调入32.45万元。综上，2025年度收入支出总计较上年增加。</w:t>
      </w:r>
    </w:p>
    <w:p w14:paraId="74867992">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二、收入决算情况说明</w:t>
      </w:r>
    </w:p>
    <w:p w14:paraId="017E599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本年收入377.09万元，其中：财政拨款收入375.91万元,占99.69%；上级补助收入0.00万元,占0.00%；事业收入0.00万元，占0.00%；经营收入0.00万元,占0.00%；附属单位上缴收入0.00万元，占0.00%；其他收入1.18万元，占0.31%。</w:t>
      </w:r>
    </w:p>
    <w:p w14:paraId="18B255FB">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三、支出决算情况说明</w:t>
      </w:r>
    </w:p>
    <w:p w14:paraId="1D9CD700">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本年支出377.06万元，其中：基本支出280.15万元，占74.30%；项目支出96.91万元，占25.70%；上缴上级支出0.00万元，占0.00%；经营支出0.00万元，占0.00%；对附属单位补助支出0.00万元，占0.00%。</w:t>
      </w:r>
    </w:p>
    <w:p w14:paraId="40632CD4">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四、财政拨款收入支出决算总体情况说明</w:t>
      </w:r>
    </w:p>
    <w:p w14:paraId="2139C4FD">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2025年度财政拨款收入总计407.70万元，其中：年初财政拨款结转和结余31.7</w:t>
      </w:r>
      <w:r>
        <w:rPr>
          <w:rFonts w:hint="eastAsia" w:ascii="仿宋_GB2312" w:eastAsia="仿宋_GB2312"/>
          <w:b w:val="0"/>
          <w:color w:val="auto"/>
          <w:sz w:val="32"/>
          <w:szCs w:val="32"/>
          <w:lang w:val="en-US" w:eastAsia="zh-CN"/>
        </w:rPr>
        <w:t>9</w:t>
      </w:r>
      <w:r>
        <w:rPr>
          <w:rFonts w:ascii="仿宋_GB2312" w:eastAsia="仿宋_GB2312"/>
          <w:b w:val="0"/>
          <w:color w:val="auto"/>
          <w:sz w:val="32"/>
          <w:szCs w:val="32"/>
        </w:rPr>
        <w:t>万元，本年财政拨款收入375.91万元。财政拨款支出总计407.70万元，其中：年末财政拨款结转和结余31.7</w:t>
      </w:r>
      <w:r>
        <w:rPr>
          <w:rFonts w:hint="eastAsia" w:ascii="仿宋_GB2312" w:eastAsia="仿宋_GB2312"/>
          <w:b w:val="0"/>
          <w:color w:val="auto"/>
          <w:sz w:val="32"/>
          <w:szCs w:val="32"/>
          <w:lang w:val="en-US" w:eastAsia="zh-CN"/>
        </w:rPr>
        <w:t>9</w:t>
      </w:r>
      <w:r>
        <w:rPr>
          <w:rFonts w:ascii="仿宋_GB2312" w:eastAsia="仿宋_GB2312"/>
          <w:b w:val="0"/>
          <w:color w:val="auto"/>
          <w:sz w:val="32"/>
          <w:szCs w:val="32"/>
        </w:rPr>
        <w:t>万元，本年财政拨款支出375.91万元。</w:t>
      </w:r>
    </w:p>
    <w:p w14:paraId="17DAAFBE">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财政拨款收入支出总体与上年相比，增加226.70万元，增长125.25%，主要原因是：根据自治区工业和信息化厅所属事业单位改革方案要求，奎屯市无线电管理局撤并至克拉玛依市无线电管理中心，由于人员转隶、资产划转，财政拨款收入支出与上年相比增加226.70万元。一是年初财政拨款结转和结余较上年增加31.79万元，为原奎屯市无线电管理局归集调入31.79万元；二是本年财政拨款收入支出较上年增加194.91万元，主要是1.基本支出收入较上年增加136.94万元，为人员转隶、人员调资、社保及公积金缴费基数上调等人员公用经费相应增加136.94万元。2.项目支出收入较上年增加57.97万元，为无线电管理经费项目增加57.97万元。与年初预算相比，年初预算数412.86万元，决算数407.70万元，预决算差异率-1.25%，主要原因是：在年度执行中，根据自治区财政厅下达文件及实际情况追加及调减预算，一是追加一般公共预算财政拨款基本支出预算人员类工资、社保、公积金、丧葬费抚恤金、做实职业年金经费等经费46.92万元、追加一般公共预算财政拨款项目支出无线电管理经费预算5.30万元；二是响应过紧日子要求，主动压减一般性支出，调减年初一般公共预算财政拨款基本支出公用经费预算2.18万元、调减年初一般公共预算财政拨款基本支出人员经费预算47.28万元、调减年初一般公共预算财政拨款项目支出无线电管理经预算39.71万元；三是原奎屯市无线电管理局归集调入调整年末财政拨款结转和结余资金增加31.79万元。由于以上事项，财政拨款收入支出决算数与年初预算数存在差异5.16万元。</w:t>
      </w:r>
    </w:p>
    <w:p w14:paraId="5BEBB88D">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五、一般公共预算财政拨款支出决算情况说明</w:t>
      </w:r>
    </w:p>
    <w:p w14:paraId="2C02B6EB">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按照党中央、国务院关于党政机关习惯过紧日子的有关要求，厉行节约办一切事业，严控一般性支出。同时坚持有保有压，优化支出结构，提高资金使用效率，合理保障在职及退休人员经费、无线电专用设施及房屋运行维护、无线电</w:t>
      </w:r>
      <w:r>
        <w:rPr>
          <w:rFonts w:hint="eastAsia" w:ascii="仿宋_GB2312" w:eastAsia="仿宋_GB2312"/>
          <w:b w:val="0"/>
          <w:color w:val="auto"/>
          <w:sz w:val="32"/>
          <w:szCs w:val="32"/>
          <w:lang w:eastAsia="zh-CN"/>
        </w:rPr>
        <w:t>专项监督</w:t>
      </w:r>
      <w:r>
        <w:rPr>
          <w:rFonts w:ascii="仿宋_GB2312" w:eastAsia="仿宋_GB2312"/>
          <w:b w:val="0"/>
          <w:color w:val="auto"/>
          <w:sz w:val="32"/>
          <w:szCs w:val="32"/>
        </w:rPr>
        <w:t>工作开展等重点支出，体现在有关支出科目中。</w:t>
      </w:r>
    </w:p>
    <w:p w14:paraId="032D26E8">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按照支出功能分类，资源勘探工业信息等支出（类）工业和信息产业（款）无线电及信息通信监管（项）的支出占本年财政拨款支出总额的比重最高，2025年度决算数为298.12万元，占比79.31%，主要用于保障在职人员工资社保、无线电专用设施及房屋运行维护、无线电</w:t>
      </w:r>
      <w:r>
        <w:rPr>
          <w:rFonts w:hint="eastAsia" w:ascii="仿宋_GB2312" w:eastAsia="仿宋_GB2312"/>
          <w:b w:val="0"/>
          <w:color w:val="auto"/>
          <w:sz w:val="32"/>
          <w:szCs w:val="32"/>
          <w:lang w:eastAsia="zh-CN"/>
        </w:rPr>
        <w:t>专项监督</w:t>
      </w:r>
      <w:r>
        <w:rPr>
          <w:rFonts w:ascii="仿宋_GB2312" w:eastAsia="仿宋_GB2312"/>
          <w:b w:val="0"/>
          <w:color w:val="auto"/>
          <w:sz w:val="32"/>
          <w:szCs w:val="32"/>
        </w:rPr>
        <w:t>及日常工作开展支出。</w:t>
      </w:r>
    </w:p>
    <w:p w14:paraId="4755E603">
      <w:pPr>
        <w:widowControl/>
        <w:spacing w:before="0" w:beforeLines="0" w:beforeAutospacing="0" w:after="0" w:afterLines="0" w:afterAutospacing="0" w:line="240" w:lineRule="auto"/>
        <w:ind w:firstLine="640" w:firstLineChars="200"/>
        <w:jc w:val="both"/>
        <w:outlineLvl w:val="2"/>
        <w:rPr>
          <w:rFonts w:ascii="黑体" w:eastAsia="黑体"/>
          <w:color w:val="auto"/>
          <w:sz w:val="32"/>
          <w:szCs w:val="32"/>
        </w:rPr>
      </w:pPr>
      <w:r>
        <w:rPr>
          <w:rFonts w:ascii="黑体" w:eastAsia="黑体"/>
          <w:b w:val="0"/>
          <w:color w:val="auto"/>
          <w:sz w:val="32"/>
          <w:szCs w:val="32"/>
        </w:rPr>
        <w:t>（一）一般公共预算财政拨款支出决算总体情况</w:t>
      </w:r>
    </w:p>
    <w:p w14:paraId="214DA748">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一般公共预算财政拨款支出375.91万元，占本年支出合计的99.70%。与上年相比，增加194.91万元，增长107.69%，主要原因是：根据自治区工业和信息化厅所属事业单位改革方案要求，奎屯市无线电管理局撤并至克拉玛依市无线电管理中心，由于人员转隶、资产划转，一般公共预算财政拨款收入支出与上年相比增加194.91万元。主要是一是基本支出收入较上年增加136.94万元，为人员转隶、社保缴费基数上调等人员公用支出增加136.94万元。二是项目支出收入较上年增加57.97万元，为无线电管理经费项目增加57.97万元。与年初预算相比，年初预算数412.86万元，决算数375.91万元，预决算差异率-8.95%，主要原因是：在年度执行中，根据自治区财政厅下达文件及实际情况追加及调减预算，一是追加一般公共预算财政拨款基本支出预算人员类工资、社保、公积金、丧葬费抚恤金、做实职业年金经费等经费46.92万元、追加一般公共预算财政拨款项目支出无线电管理经费预算5.30万元；二是响应过紧日子要求，主动压减一般性支出，调减年初一般公共预算财政拨款基本支出公用经费预算2.18万元、调减年初一般公共预算财政拨款基本支出人员经费预算47.28万元、调减年初一般公共预算财政拨款项目支出无线电管理经费预算39.71万元。由于以上事项，财政拨款收入支出决算数与年初预算数存在差异36.95万元。</w:t>
      </w:r>
    </w:p>
    <w:p w14:paraId="47311E3D">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（二）一般公共预算财政拨款支出决算结构情况</w:t>
      </w:r>
    </w:p>
    <w:p w14:paraId="3D0FAE59">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1.社会保障和就业支出（类）47.83万元，占12.72%。</w:t>
      </w:r>
    </w:p>
    <w:p w14:paraId="4A8409EE">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2.卫生健康支出（类）14.32万元，占3.81%。</w:t>
      </w:r>
    </w:p>
    <w:p w14:paraId="4809ABB9">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3.资源勘探工业信息等支出（类）298.12万元，占79.31%。</w:t>
      </w:r>
    </w:p>
    <w:p w14:paraId="63C847A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4.住房保障支出（类）15.65万元，占4.16%。</w:t>
      </w:r>
    </w:p>
    <w:p w14:paraId="20ACE5D0">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（三）一般公共预算财政拨款支出决算具体情况</w:t>
      </w:r>
    </w:p>
    <w:p w14:paraId="64B6D4D6">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1、社会保障和就业支出（类）行政事业单位养老支出（款）事业单位离退休（项）：支出决算数为8.00万元，比上年决算增加4.42万元，增长123.46%，主要原因是：根据自治区工业和信息化厅所属事业单位改革方案要求，奎屯市无线电管理局撤并至克拉玛依市无线电管理中心，由于人员转隶，退休人员增加，支出相应增加。</w:t>
      </w:r>
    </w:p>
    <w:p w14:paraId="4A9C2D8F">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2、社会保障和就业支出（类）行政事业单位养老支出（款）机关事业单位基本养老保险缴费支出（项）：支出决算数为20.82万元，比上年决算增加7.98万元，增长62.15%，主要原因是：根据自治区工业和信息化厅所属事业单位改革方案要求，奎屯市无线电管理局撤并至克拉玛依市无线电管理中心，由于人员转隶，在职人员增加，支出相应增加。</w:t>
      </w:r>
    </w:p>
    <w:p w14:paraId="3E5F44BC">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3、社会保障和就业支出（类）行政事业单位养老支出（款）机关事业单位职业年金缴费支出（项）：支出决算数为14.38万元，比上年决算增加14.38万元，增长100.00%，主要原因是：一是</w:t>
      </w:r>
      <w:r>
        <w:rPr>
          <w:rFonts w:hint="eastAsia" w:ascii="仿宋_GB2312" w:eastAsia="仿宋_GB2312"/>
          <w:b w:val="0"/>
          <w:color w:val="auto"/>
          <w:sz w:val="32"/>
          <w:szCs w:val="32"/>
        </w:rPr>
        <w:t>根据《新疆维吾尔自治区职业年金单位缴费实账管理实施方案》（新人社发〔2025〕18号），自2025年起全额拨款单位职业年金缴费由记账积累改为实账缴费，职业年金纳入部门预算足额保障，支出相应增加</w:t>
      </w:r>
      <w:r>
        <w:rPr>
          <w:rFonts w:ascii="仿宋_GB2312" w:eastAsia="仿宋_GB2312"/>
          <w:b w:val="0"/>
          <w:color w:val="auto"/>
          <w:sz w:val="32"/>
          <w:szCs w:val="32"/>
        </w:rPr>
        <w:t>；二是机构改革、人员转隶，相应职业年金缴费增加。</w:t>
      </w:r>
    </w:p>
    <w:p w14:paraId="5582B722">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4、社会保障和就业支出（类）抚恤（款）死亡抚恤（项）：支出决算数为4.61万元，比上年决算增加4.61万元，增长100.00%，主要原因是：当年存在死亡抚恤事项，支出相应增加。</w:t>
      </w:r>
    </w:p>
    <w:p w14:paraId="403C0EC1">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5、卫生健康支出（类）行政事业单位医疗（款）事业单位医疗（项）：支出决算数为10.80万元，比上年决算增加4.14万元，增长62.16%，主要原因是：根据自治区工业和信息化厅所属事业单位改革方案要求，奎屯市无线电管理局撤并至克拉玛依市无线电管理中心，由于人员转隶，在职人员增加，支出相应增加。</w:t>
      </w:r>
    </w:p>
    <w:p w14:paraId="36537891">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6、卫生健康支出（类）行政事业单位医疗（款）公务员医疗补助（项）：支出决算数为3.52万元，比上年决算增加1.34万元，增长61.47%，主要原因是：根据自治区工业和信息化厅所属事业单位改革方案要求，奎屯市无线电管理局撤并至克拉玛依市无线电管理中心，由于人员转隶，在职人员增加，支出相应增加。</w:t>
      </w:r>
    </w:p>
    <w:p w14:paraId="3B143AA8">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7、资源勘探工业信息等支出（类）工业和信息产业（款）无线电及信息通信监管（项）：支出决算数为298.12万元，比上年决算增加151.57万元，增长103.43%，主要原因是：根据自治区工业和信息化厅所属事业单位改革方案要求，奎屯市无线电管理局撤并至克拉玛依市无线电管理中心，由于人员转隶、资产划转，支出相应增加。一是无线电管理经费项目支出增加57.97万元；二是基本支出增加136.94万元，其中在职人员调资、人员增加、社保及公积金缴费基数上调等人员经费增加118.43万元，合理安排日常必要经费支出，日常公用经费增加18.51万元。</w:t>
      </w:r>
    </w:p>
    <w:p w14:paraId="20B17657">
      <w:pPr>
        <w:widowControl/>
        <w:spacing w:before="0" w:beforeLines="0" w:beforeAutospacing="0" w:after="0" w:afterLines="0" w:afterAutospacing="0" w:line="240" w:lineRule="auto"/>
        <w:ind w:firstLine="640" w:firstLineChars="200"/>
        <w:rPr>
          <w:rFonts w:ascii="仿宋_GB2312" w:eastAsia="仿宋_GB2312"/>
          <w:color w:val="auto"/>
          <w:sz w:val="32"/>
          <w:szCs w:val="32"/>
        </w:rPr>
      </w:pPr>
      <w:r>
        <w:rPr>
          <w:rFonts w:ascii="仿宋_GB2312" w:eastAsia="仿宋_GB2312"/>
          <w:b w:val="0"/>
          <w:color w:val="auto"/>
          <w:sz w:val="32"/>
          <w:szCs w:val="32"/>
        </w:rPr>
        <w:t>8、住房保障支出（类）住房改革支出（款）住房公积金（项）：支出决算数为15.65万元，比上年决算增加6.47万元，增长70.48%，主要原因是：根据自治区工业和信息化厅所属事业单位改革方案要求，奎屯市无线电管理局撤并至克拉玛依市无线电管理中心，由于人员转隶，在职人员增加，支出相应增加。</w:t>
      </w:r>
    </w:p>
    <w:p w14:paraId="6F8DD1FD">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六、一般公共预算财政拨款基本支出决算情况说明</w:t>
      </w:r>
    </w:p>
    <w:p w14:paraId="3C487F2C">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一般公共预算财政拨款基本支出280.15万元，其中：人员经费246.51万元，包括：基本工资、津贴补贴、奖金、绩效工资、机关事业单位基本养老保险缴费、职业年金缴费、职工基本医疗保险缴费、公务员医疗补助缴费、其他社会保障缴费、住房公积金、退休费、抚恤金和其他对个人和家庭的补助。</w:t>
      </w:r>
    </w:p>
    <w:p w14:paraId="53D7911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公用经费33.64万元，包括：办公费、水费、邮电费、取暖费、差旅费、工会经费、福利费、公务用车运行维护费和其他商品和服务支出。</w:t>
      </w:r>
    </w:p>
    <w:p w14:paraId="106D729F">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七、政府性基金预算财政拨款收入支出决算情况说明</w:t>
      </w:r>
    </w:p>
    <w:p w14:paraId="6A3D68B9">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本单位本年度无政府性基金预算财政拨款收入、支出及结转和结余，政府性基金预算财政拨款收入支出决算表为空表。</w:t>
      </w:r>
    </w:p>
    <w:p w14:paraId="1FBF565E">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八、国有资本经营预算财政拨款收入支出决算情况说明</w:t>
      </w:r>
    </w:p>
    <w:p w14:paraId="33660150">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本单位本年度无国有资本经营预算财政拨款收入、支出及结转和结余，国有资本经营预算财政拨款收入支出决算表为空表。</w:t>
      </w:r>
    </w:p>
    <w:p w14:paraId="7200B63E">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九、财政拨款“三公”经费支出决算情况说明</w:t>
      </w:r>
    </w:p>
    <w:p w14:paraId="412409EE">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财政拨款“三公”经费支出12.10万元，比上年增加4.83万元，增长66.44%，主要原因是：根据自治区工业和信息化厅所属事业单位改革方案要求，奎屯市无线电管理局撤并至克拉玛依市无线电管理中心，由于资产划转，“三公”经费支出相应增加。其中：因公出国（境）费用支出0.00万元,占0.00%，与上年相比无变化，主要原因是：</w:t>
      </w:r>
      <w:r>
        <w:rPr>
          <w:rFonts w:hint="eastAsia" w:ascii="仿宋_GB2312" w:eastAsia="仿宋_GB2312"/>
          <w:b w:val="0"/>
          <w:color w:val="auto"/>
          <w:sz w:val="32"/>
          <w:szCs w:val="32"/>
        </w:rPr>
        <w:t>本年度未发生因公出国（境）相关支出</w:t>
      </w:r>
      <w:r>
        <w:rPr>
          <w:rFonts w:ascii="仿宋_GB2312" w:eastAsia="仿宋_GB2312"/>
          <w:b w:val="0"/>
          <w:color w:val="auto"/>
          <w:sz w:val="32"/>
          <w:szCs w:val="32"/>
        </w:rPr>
        <w:t>；公务用车购置及运行维护费支出12.10万元，占100.00%，比上年增加4.83万元，增长66.44%，主要原因是：根据自治区工业和信息化厅所属事业单位改革方案要求，奎屯市无线电管理局撤并至克拉玛依市无线电管理中心，由于资产划转，公务用车购置及运行维护费支出相应增加；公务接待费支出0.00万元，占0.00%，与上年相比无变化，主要原因是：</w:t>
      </w:r>
      <w:r>
        <w:rPr>
          <w:rFonts w:hint="eastAsia" w:ascii="仿宋_GB2312" w:eastAsia="仿宋_GB2312"/>
          <w:b w:val="0"/>
          <w:color w:val="auto"/>
          <w:sz w:val="32"/>
          <w:szCs w:val="32"/>
          <w:lang w:val="en-US" w:eastAsia="zh-CN"/>
        </w:rPr>
        <w:t>本年度未发生</w:t>
      </w:r>
      <w:r>
        <w:rPr>
          <w:rFonts w:ascii="仿宋_GB2312" w:eastAsia="仿宋_GB2312"/>
          <w:b w:val="0"/>
          <w:color w:val="auto"/>
          <w:sz w:val="32"/>
          <w:szCs w:val="32"/>
        </w:rPr>
        <w:t>公务接待</w:t>
      </w:r>
      <w:r>
        <w:rPr>
          <w:rFonts w:hint="eastAsia" w:ascii="仿宋_GB2312" w:eastAsia="仿宋_GB2312"/>
          <w:b w:val="0"/>
          <w:color w:val="auto"/>
          <w:sz w:val="32"/>
          <w:szCs w:val="32"/>
          <w:lang w:val="en-US" w:eastAsia="zh-CN"/>
        </w:rPr>
        <w:t>相关支出</w:t>
      </w:r>
      <w:r>
        <w:rPr>
          <w:rFonts w:ascii="仿宋_GB2312" w:eastAsia="仿宋_GB2312"/>
          <w:b w:val="0"/>
          <w:color w:val="auto"/>
          <w:sz w:val="32"/>
          <w:szCs w:val="32"/>
        </w:rPr>
        <w:t>。</w:t>
      </w:r>
    </w:p>
    <w:p w14:paraId="4DC074E4">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r>
        <w:rPr>
          <w:rFonts w:ascii="仿宋_GB2312" w:eastAsia="仿宋_GB2312"/>
          <w:b w:val="0"/>
          <w:color w:val="auto"/>
          <w:sz w:val="32"/>
          <w:szCs w:val="32"/>
        </w:rPr>
        <w:t>具体情况如下：</w:t>
      </w:r>
    </w:p>
    <w:p w14:paraId="16FD3669">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因公出国（境）费用0.00万元，开支内容包括</w:t>
      </w:r>
      <w:r>
        <w:rPr>
          <w:rFonts w:hint="eastAsia" w:ascii="仿宋_GB2312" w:eastAsia="仿宋_GB2312"/>
          <w:b w:val="0"/>
          <w:color w:val="auto"/>
          <w:sz w:val="32"/>
          <w:szCs w:val="32"/>
        </w:rPr>
        <w:t>：本年度未发生因公出国（境）相关支出。</w:t>
      </w:r>
      <w:r>
        <w:rPr>
          <w:rFonts w:ascii="仿宋_GB2312" w:eastAsia="仿宋_GB2312"/>
          <w:b w:val="0"/>
          <w:color w:val="auto"/>
          <w:sz w:val="32"/>
          <w:szCs w:val="32"/>
        </w:rPr>
        <w:t>单位全年安排的因公出国（境）团组0个，因公出国（境）0人次。</w:t>
      </w:r>
    </w:p>
    <w:p w14:paraId="0CB4C82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用车购置及运行维护费12.10万元，其中：公务用车购置费0.00万元，公务用车运行维护费12.10万元。公务用车运行维护费开支内容包括车辆保险、停车过路费、车辆加油、车辆维修等费用。公务用车购置数0辆，公务用车保有量6辆。国有资产占用情况中固定资产车辆6辆，与公务用车保有量差异原因是：与公务用车保有量无差异。</w:t>
      </w:r>
    </w:p>
    <w:p w14:paraId="4590F3ED">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公务接待费0.00万元，开支内容包括</w:t>
      </w:r>
      <w:r>
        <w:rPr>
          <w:rFonts w:hint="eastAsia" w:ascii="仿宋_GB2312" w:eastAsia="仿宋_GB2312"/>
          <w:b w:val="0"/>
          <w:color w:val="auto"/>
          <w:sz w:val="32"/>
          <w:szCs w:val="32"/>
          <w:lang w:eastAsia="zh-CN"/>
        </w:rPr>
        <w:t>：</w:t>
      </w:r>
      <w:r>
        <w:rPr>
          <w:rFonts w:hint="eastAsia" w:ascii="仿宋_GB2312" w:eastAsia="仿宋_GB2312"/>
          <w:b w:val="0"/>
          <w:color w:val="auto"/>
          <w:sz w:val="32"/>
          <w:szCs w:val="32"/>
          <w:lang w:val="en-US" w:eastAsia="zh-CN"/>
        </w:rPr>
        <w:t>本年度未发生</w:t>
      </w:r>
      <w:r>
        <w:rPr>
          <w:rFonts w:ascii="仿宋_GB2312" w:eastAsia="仿宋_GB2312"/>
          <w:b w:val="0"/>
          <w:color w:val="auto"/>
          <w:sz w:val="32"/>
          <w:szCs w:val="32"/>
        </w:rPr>
        <w:t>公务接待</w:t>
      </w:r>
      <w:r>
        <w:rPr>
          <w:rFonts w:hint="eastAsia" w:ascii="仿宋_GB2312" w:eastAsia="仿宋_GB2312"/>
          <w:b w:val="0"/>
          <w:color w:val="auto"/>
          <w:sz w:val="32"/>
          <w:szCs w:val="32"/>
          <w:lang w:val="en-US" w:eastAsia="zh-CN"/>
        </w:rPr>
        <w:t>相关支出</w:t>
      </w:r>
      <w:r>
        <w:rPr>
          <w:rFonts w:ascii="仿宋_GB2312" w:eastAsia="仿宋_GB2312"/>
          <w:b w:val="0"/>
          <w:color w:val="auto"/>
          <w:sz w:val="32"/>
          <w:szCs w:val="32"/>
        </w:rPr>
        <w:t>。单位全年安排的国内公务接待0批次，0人次。</w:t>
      </w:r>
    </w:p>
    <w:p w14:paraId="4F7531B3">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与全年预算相比，财政拨款“三公”经费支出全年预算数12.10万元，决算数12.10万元，预决算差异率0.00%，主要原因是：严格执行</w:t>
      </w:r>
      <w:r>
        <w:rPr>
          <w:rFonts w:hint="eastAsia" w:ascii="仿宋_GB2312" w:eastAsia="仿宋_GB2312"/>
          <w:b w:val="0"/>
          <w:color w:val="auto"/>
          <w:sz w:val="32"/>
          <w:szCs w:val="32"/>
          <w:lang w:eastAsia="zh-CN"/>
        </w:rPr>
        <w:t>中央八项规定及其实施细则</w:t>
      </w:r>
      <w:r>
        <w:rPr>
          <w:rFonts w:ascii="仿宋_GB2312" w:eastAsia="仿宋_GB2312"/>
          <w:b w:val="0"/>
          <w:color w:val="auto"/>
          <w:sz w:val="32"/>
          <w:szCs w:val="32"/>
        </w:rPr>
        <w:t>，做到无预算不支出。其中：因公出国（境）费用全年预算数0.00万元，决算数0.00万元，预决算差异率0.00%，主要原因是：</w:t>
      </w:r>
      <w:r>
        <w:rPr>
          <w:rFonts w:hint="eastAsia" w:ascii="仿宋_GB2312" w:eastAsia="仿宋_GB2312"/>
          <w:b w:val="0"/>
          <w:color w:val="auto"/>
          <w:sz w:val="32"/>
          <w:szCs w:val="32"/>
        </w:rPr>
        <w:t>本年度未发生因公出国（境）相关支出</w:t>
      </w:r>
      <w:r>
        <w:rPr>
          <w:rFonts w:ascii="仿宋_GB2312" w:eastAsia="仿宋_GB2312"/>
          <w:b w:val="0"/>
          <w:color w:val="auto"/>
          <w:sz w:val="32"/>
          <w:szCs w:val="32"/>
        </w:rPr>
        <w:t>；公务用车购置费全年预算数0.00万元，决算数0.00万元，预决算差异率0.00%，主要原因是：我单位无公务用车购置预算和事项；公务用车运行维护费全年预算数12.10万元，决算数12.10万元，预决算差异率0.00%，主要原因是：严格执行</w:t>
      </w:r>
      <w:r>
        <w:rPr>
          <w:rFonts w:hint="eastAsia" w:ascii="仿宋_GB2312" w:eastAsia="仿宋_GB2312"/>
          <w:b w:val="0"/>
          <w:color w:val="auto"/>
          <w:sz w:val="32"/>
          <w:szCs w:val="32"/>
          <w:lang w:eastAsia="zh-CN"/>
        </w:rPr>
        <w:t>中央八项规定及其实施细则</w:t>
      </w:r>
      <w:r>
        <w:rPr>
          <w:rFonts w:ascii="仿宋_GB2312" w:eastAsia="仿宋_GB2312"/>
          <w:b w:val="0"/>
          <w:color w:val="auto"/>
          <w:sz w:val="32"/>
          <w:szCs w:val="32"/>
        </w:rPr>
        <w:t>，做到无预算不支出；公务接待费全年预算数0.00万元，决算数0.00万元，预决算差异率0.00%，主要原因是：我单位无公务接待费预算和事项。</w:t>
      </w:r>
    </w:p>
    <w:p w14:paraId="4B116220">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十、其他重要事项的情况说明</w:t>
      </w:r>
    </w:p>
    <w:p w14:paraId="76D3B186">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（一）机关运行经费及公用经费支出情况</w:t>
      </w:r>
    </w:p>
    <w:p w14:paraId="4EAE925B">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克拉玛依市无线电管理中心（事业单位）公用经费支出33.64万元，比上年增加18.51万元，增长122.34%，主要原因是：根据自治区工业和信息化厅所属事业单位改革方案要求，奎屯市无线电管理局撤并至克拉玛依市无线电管理中心，由于人员转隶、资产划转，公用经费支出相应增加。</w:t>
      </w:r>
    </w:p>
    <w:p w14:paraId="497A1A25">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（二）政府采购情况</w:t>
      </w:r>
    </w:p>
    <w:p w14:paraId="1E9062C5">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2025年度政府采购支出总额69.06万元，其中：政府采购货物支出0.52万元、政府采购工程支出19.06万元、政府采购服务支出49.48万元。</w:t>
      </w:r>
    </w:p>
    <w:p w14:paraId="10871CCF">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授予中小企业合同金额59.21万元，占政府采购支出总额的85.74%，其中：授予小微企业合同金额47.67万元，占政府采购支出总额的69.03%。</w:t>
      </w:r>
    </w:p>
    <w:p w14:paraId="47BC9897">
      <w:pPr>
        <w:widowControl/>
        <w:spacing w:before="0" w:beforeLines="0" w:beforeAutospacing="0" w:after="0" w:afterLines="0" w:afterAutospacing="0" w:line="240" w:lineRule="auto"/>
        <w:ind w:firstLine="640" w:firstLineChars="200"/>
        <w:jc w:val="left"/>
        <w:outlineLvl w:val="2"/>
        <w:rPr>
          <w:rFonts w:ascii="黑体" w:eastAsia="黑体"/>
          <w:color w:val="auto"/>
          <w:sz w:val="32"/>
          <w:szCs w:val="32"/>
        </w:rPr>
      </w:pPr>
      <w:r>
        <w:rPr>
          <w:rFonts w:ascii="黑体" w:eastAsia="黑体"/>
          <w:b w:val="0"/>
          <w:color w:val="auto"/>
          <w:sz w:val="32"/>
          <w:szCs w:val="32"/>
        </w:rPr>
        <w:t>（三）国有资产占用情况说明</w:t>
      </w:r>
    </w:p>
    <w:p w14:paraId="583CE041">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截至2025年12月31日，房屋2,919.60平方米，价值895.54万元。车辆6辆，价值269.56万元，其中：副部（省）级及以上领导用车0辆、主要负责人用车0辆、机要通信用车0辆、应急保障用车0辆、执法执勤用车2辆、特种专业技术用车4辆、离退休干部服务用车0辆、其他用车0辆，其他用车主要是：我单位无其他用车;单价100万元（含）以上设备（不含车辆）15台（套）。</w:t>
      </w:r>
    </w:p>
    <w:p w14:paraId="764A159F">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十一、预算绩效的情况说明</w:t>
      </w:r>
    </w:p>
    <w:p w14:paraId="77D326CD">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根据预算绩效管理要求，本单位2025年度预算绩效评价项目1个，全年预算数1.15万元，全年执行数1.15万元。预算绩效管理取得的成效：一是领导高度重视，自立项起成立项目工作领导小组并且负总责，安排专人具体办理，对预算绩效进行全过程管理；二是科学制定方案</w:t>
      </w:r>
      <w:r>
        <w:rPr>
          <w:rFonts w:hint="eastAsia" w:ascii="仿宋_GB2312" w:eastAsia="仿宋_GB2312"/>
          <w:b w:val="0"/>
          <w:color w:val="auto"/>
          <w:sz w:val="32"/>
          <w:szCs w:val="32"/>
          <w:lang w:eastAsia="zh-CN"/>
        </w:rPr>
        <w:t>，</w:t>
      </w:r>
      <w:r>
        <w:rPr>
          <w:rFonts w:ascii="仿宋_GB2312" w:eastAsia="仿宋_GB2312"/>
          <w:b w:val="0"/>
          <w:color w:val="auto"/>
          <w:sz w:val="32"/>
          <w:szCs w:val="32"/>
        </w:rPr>
        <w:t>为使绩效评价工作平稳有序进行，在正式评价开展前拟定了详细的工作方案，方案内容包括评价内容、评价方法、评价依据、时间安排、工作步骤、工作要求等方面；三是严格执行自治区工业和信息化厅制定</w:t>
      </w:r>
      <w:r>
        <w:rPr>
          <w:rFonts w:hint="eastAsia" w:ascii="仿宋_GB2312" w:eastAsia="仿宋_GB2312"/>
          <w:b w:val="0"/>
          <w:color w:val="auto"/>
          <w:sz w:val="32"/>
          <w:szCs w:val="32"/>
          <w:lang w:val="en-US" w:eastAsia="zh-CN"/>
        </w:rPr>
        <w:t>的</w:t>
      </w:r>
      <w:r>
        <w:rPr>
          <w:rFonts w:ascii="仿宋_GB2312" w:eastAsia="仿宋_GB2312"/>
          <w:b w:val="0"/>
          <w:color w:val="auto"/>
          <w:sz w:val="32"/>
          <w:szCs w:val="32"/>
        </w:rPr>
        <w:t>预算绩效管理办法，在项目实施初期，制定详细的季度资金使用计划，并将其与项目进度节点进行紧密关联。在执行过程中，定期开展预算执行情况分析会，及时发现并解决资金执行率偏低的问题，取得了良好的绩效成果；四是项目经办人员工作积极、认真负责，抓好项目实施的绩效评价。发现的问题及原因：根据本次绩效评价情况，发现预算绩效申报存在部分绩效目标设置模糊、量化不足的情况，部分目标过高或过低，缺乏可行性。原因为对项目核心任务和需求的调研不够深入，目标设定多依赖经验或上级要求，缺乏数据支撑；绩效目标编制能力不足，相关人员对“可量化、可实现”的原则理解不到位。下一步改进措施：一是完善上下协调、科室联动的调研机制，在设定绩效目标前，全面梳理项目核心任务，历史执行数据、实际需求等，避免仅凭经验或主观判断设定目标；二是开展针对性培训，围绕“如果结合实际设定目标”“数据测算方法”等内容，对科室负责人、项目经办人进行轮训，通过案例分析强化实操能力；三是建立绩效目标编制“经验库”，收集本单位、本系统内优秀案例和常见问题，供项目经办人参考，减少重复犯错。通过以上措施，可以从流程、标准、能力多维度规范绩效目标设定，确保绩效目标既符合单位职能定位，又具备实际可操作性。具体附项目支出绩效自评表。</w:t>
      </w:r>
    </w:p>
    <w:p w14:paraId="7521D1D7">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p>
    <w:p w14:paraId="0F402688">
      <w:pPr>
        <w:widowControl/>
        <w:spacing w:before="0" w:beforeLines="0" w:beforeAutospacing="0" w:after="0" w:afterLines="0" w:afterAutospacing="0" w:line="240" w:lineRule="auto"/>
        <w:ind w:firstLine="640" w:firstLineChars="200"/>
        <w:jc w:val="left"/>
        <w:outlineLvl w:val="1"/>
        <w:rPr>
          <w:rFonts w:ascii="黑体" w:eastAsia="黑体"/>
          <w:color w:val="auto"/>
          <w:sz w:val="32"/>
          <w:szCs w:val="32"/>
        </w:rPr>
      </w:pPr>
      <w:r>
        <w:rPr>
          <w:rFonts w:ascii="黑体" w:eastAsia="黑体"/>
          <w:b w:val="0"/>
          <w:color w:val="auto"/>
          <w:sz w:val="32"/>
          <w:szCs w:val="32"/>
        </w:rPr>
        <w:t>十二、其他需说明的事项</w:t>
      </w:r>
    </w:p>
    <w:p w14:paraId="77758C13">
      <w:pPr>
        <w:widowControl/>
        <w:spacing w:before="0" w:beforeLines="0" w:beforeAutospacing="0" w:after="0" w:afterLines="0" w:afterAutospacing="0" w:line="240" w:lineRule="auto"/>
        <w:ind w:firstLine="640" w:firstLineChars="200"/>
        <w:jc w:val="both"/>
        <w:rPr>
          <w:rFonts w:ascii="仿宋_GB2312" w:eastAsia="仿宋_GB2312"/>
          <w:color w:val="auto"/>
          <w:sz w:val="32"/>
          <w:szCs w:val="32"/>
        </w:rPr>
      </w:pPr>
      <w:r>
        <w:rPr>
          <w:rFonts w:ascii="仿宋_GB2312" w:eastAsia="仿宋_GB2312"/>
          <w:b w:val="0"/>
          <w:color w:val="auto"/>
          <w:sz w:val="32"/>
          <w:szCs w:val="32"/>
        </w:rPr>
        <w:t>本单位无其他需说明的事项。</w:t>
      </w:r>
    </w:p>
    <w:p w14:paraId="0D91FE85">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p>
    <w:p w14:paraId="2E404E58">
      <w:pPr>
        <w:widowControl/>
        <w:rPr>
          <w:color w:val="auto"/>
        </w:rPr>
      </w:pPr>
      <w:r>
        <w:rPr>
          <w:b w:val="0"/>
          <w:color w:val="auto"/>
          <w:sz w:val="0"/>
          <w:szCs w:val="0"/>
        </w:rPr>
        <w:br w:type="page"/>
      </w:r>
    </w:p>
    <w:p w14:paraId="0582B7E4">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第三部分 专业名词解释</w:t>
      </w:r>
    </w:p>
    <w:p w14:paraId="1681E056">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一、财政拨款收入：</w:t>
      </w:r>
      <w:r>
        <w:rPr>
          <w:rFonts w:ascii="仿宋_GB2312" w:eastAsia="仿宋_GB2312"/>
          <w:b w:val="0"/>
          <w:color w:val="auto"/>
          <w:sz w:val="32"/>
          <w:szCs w:val="32"/>
        </w:rPr>
        <w:t>指单位本年度从同级财政部门取得的财政拨款，包括一般公共预算财政拨款、政府性基金预算财政拨款和国有资本经营预算财政拨款。</w:t>
      </w:r>
    </w:p>
    <w:p w14:paraId="5B62E453">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二、上级补助收入：</w:t>
      </w:r>
      <w:r>
        <w:rPr>
          <w:rFonts w:ascii="仿宋_GB2312" w:eastAsia="仿宋_GB2312"/>
          <w:b w:val="0"/>
          <w:color w:val="auto"/>
          <w:sz w:val="32"/>
          <w:szCs w:val="32"/>
        </w:rPr>
        <w:t>指事业单位从主管部门和上级单位取得的非财政补助收入。</w:t>
      </w:r>
    </w:p>
    <w:p w14:paraId="684AC1B5">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三、事业收入：</w:t>
      </w:r>
      <w:r>
        <w:rPr>
          <w:rFonts w:ascii="仿宋_GB2312" w:eastAsia="仿宋_GB2312"/>
          <w:b w:val="0"/>
          <w:color w:val="auto"/>
          <w:sz w:val="32"/>
          <w:szCs w:val="32"/>
        </w:rPr>
        <w:t>指事业单位开展专业业务活动及其辅助活动取得的收入。</w:t>
      </w:r>
    </w:p>
    <w:p w14:paraId="070F4975">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四、经营收入：</w:t>
      </w:r>
      <w:r>
        <w:rPr>
          <w:rFonts w:ascii="仿宋_GB2312" w:eastAsia="仿宋_GB2312"/>
          <w:b w:val="0"/>
          <w:color w:val="auto"/>
          <w:sz w:val="32"/>
          <w:szCs w:val="32"/>
        </w:rPr>
        <w:t>指事业单位在专业业务活动及其辅助活动之外开展非独立核算经营活动取得的收入。</w:t>
      </w:r>
    </w:p>
    <w:p w14:paraId="7DFA51C4">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五、附属单位上缴收入：</w:t>
      </w:r>
      <w:r>
        <w:rPr>
          <w:rFonts w:ascii="仿宋_GB2312" w:eastAsia="仿宋_GB2312"/>
          <w:b w:val="0"/>
          <w:color w:val="auto"/>
          <w:sz w:val="32"/>
          <w:szCs w:val="32"/>
        </w:rPr>
        <w:t>指事业单位附属独立核算单位按照有关规定上缴的收入。</w:t>
      </w:r>
    </w:p>
    <w:p w14:paraId="2BDF1C15">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六、其他收入：</w:t>
      </w:r>
      <w:r>
        <w:rPr>
          <w:rFonts w:ascii="仿宋_GB2312" w:eastAsia="仿宋_GB2312"/>
          <w:b w:val="0"/>
          <w:color w:val="auto"/>
          <w:sz w:val="32"/>
          <w:szCs w:val="32"/>
        </w:rPr>
        <w:t>指单位取得的除上述“财政拨款收入”“上级补助收入”“事业收入”“经营收入”“附属单位上缴收入”以外的各项收入。</w:t>
      </w:r>
    </w:p>
    <w:p w14:paraId="0277D982">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七、年初结转和结余：</w:t>
      </w:r>
      <w:r>
        <w:rPr>
          <w:rFonts w:ascii="仿宋_GB2312" w:eastAsia="仿宋_GB2312"/>
          <w:b w:val="0"/>
          <w:color w:val="auto"/>
          <w:sz w:val="32"/>
          <w:szCs w:val="32"/>
        </w:rPr>
        <w:t>指单位上年结转本年使用的基本支出结转、项目支出结转和结余、经营结余。</w:t>
      </w:r>
    </w:p>
    <w:p w14:paraId="700DA947">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八、使用非财政拨款结余（含专用结余）：</w:t>
      </w:r>
      <w:r>
        <w:rPr>
          <w:rFonts w:ascii="仿宋_GB2312" w:eastAsia="仿宋_GB2312"/>
          <w:b w:val="0"/>
          <w:color w:val="auto"/>
          <w:sz w:val="32"/>
          <w:szCs w:val="32"/>
        </w:rPr>
        <w:t>指单位按照预算管理要求使用非财政拨款结余弥补收支差额的金额，以及使用专用结余安排支出的金额。</w:t>
      </w:r>
    </w:p>
    <w:p w14:paraId="024B2B89">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九、结余分配</w:t>
      </w:r>
      <w:r>
        <w:rPr>
          <w:rFonts w:ascii="仿宋_GB2312" w:eastAsia="仿宋_GB2312"/>
          <w:b w:val="0"/>
          <w:color w:val="auto"/>
          <w:sz w:val="32"/>
          <w:szCs w:val="32"/>
        </w:rPr>
        <w:t>：指单位缴纳企业所得税以及从非财政拨款结余或经营结余中提取各类结余的情况。</w:t>
      </w:r>
    </w:p>
    <w:p w14:paraId="66EE4348">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十、年末结转和结余</w:t>
      </w:r>
      <w:r>
        <w:rPr>
          <w:rFonts w:ascii="仿宋_GB2312" w:eastAsia="仿宋_GB2312"/>
          <w:b w:val="0"/>
          <w:color w:val="auto"/>
          <w:sz w:val="32"/>
          <w:szCs w:val="32"/>
        </w:rPr>
        <w:t>：指单位结转下年的基本支出结转、项目支出结转和结余、经营结余。</w:t>
      </w:r>
    </w:p>
    <w:p w14:paraId="4F3658F0">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十一、基本支出</w:t>
      </w:r>
      <w:r>
        <w:rPr>
          <w:rFonts w:ascii="仿宋_GB2312" w:eastAsia="仿宋_GB2312"/>
          <w:b w:val="0"/>
          <w:color w:val="auto"/>
          <w:sz w:val="32"/>
          <w:szCs w:val="32"/>
        </w:rPr>
        <w:t>：指单位为保障机构正常运转、完成日常工作任务而发生的各项支出。</w:t>
      </w:r>
    </w:p>
    <w:p w14:paraId="50060299">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十二、项目支出：</w:t>
      </w:r>
      <w:r>
        <w:rPr>
          <w:rFonts w:ascii="仿宋_GB2312" w:eastAsia="仿宋_GB2312"/>
          <w:b w:val="0"/>
          <w:color w:val="auto"/>
          <w:sz w:val="32"/>
          <w:szCs w:val="32"/>
        </w:rPr>
        <w:t>指单位为完成特定的行政工作任务或事业发展目标，在基本支出之外发生的各项支出。</w:t>
      </w:r>
    </w:p>
    <w:p w14:paraId="4EEFF99C">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十三、上缴上级支出：</w:t>
      </w:r>
      <w:r>
        <w:rPr>
          <w:rFonts w:ascii="仿宋_GB2312" w:eastAsia="仿宋_GB2312"/>
          <w:b w:val="0"/>
          <w:color w:val="auto"/>
          <w:sz w:val="32"/>
          <w:szCs w:val="32"/>
        </w:rPr>
        <w:t>指事业单位按照财政部门和主管部门的规定上缴上级单位的支出。</w:t>
      </w:r>
    </w:p>
    <w:p w14:paraId="22B698B1">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十四、经营支出：</w:t>
      </w:r>
      <w:r>
        <w:rPr>
          <w:rFonts w:ascii="仿宋_GB2312" w:eastAsia="仿宋_GB2312"/>
          <w:b w:val="0"/>
          <w:color w:val="auto"/>
          <w:sz w:val="32"/>
          <w:szCs w:val="32"/>
        </w:rPr>
        <w:t>指事业单位在专业活动及辅助活动之外开展非独立核算经营活动发生的支出。</w:t>
      </w:r>
    </w:p>
    <w:p w14:paraId="6A95E393">
      <w:pPr>
        <w:widowControl/>
        <w:spacing w:before="0" w:beforeLines="0" w:beforeAutospacing="0" w:after="0" w:afterLines="0" w:afterAutospacing="0" w:line="240" w:lineRule="auto"/>
        <w:ind w:firstLine="643" w:firstLineChars="200"/>
        <w:jc w:val="left"/>
        <w:rPr>
          <w:rFonts w:ascii="宋体" w:eastAsia="仿宋_GB2312"/>
          <w:color w:val="auto"/>
          <w:sz w:val="32"/>
          <w:szCs w:val="32"/>
        </w:rPr>
      </w:pPr>
      <w:r>
        <w:rPr>
          <w:rFonts w:ascii="宋体" w:eastAsia="仿宋_GB2312"/>
          <w:b/>
          <w:color w:val="auto"/>
          <w:sz w:val="32"/>
          <w:szCs w:val="32"/>
        </w:rPr>
        <w:t>十五、对附属单位补助支出：</w:t>
      </w:r>
      <w:r>
        <w:rPr>
          <w:rFonts w:ascii="宋体" w:eastAsia="仿宋_GB2312"/>
          <w:b w:val="0"/>
          <w:color w:val="auto"/>
          <w:sz w:val="32"/>
          <w:szCs w:val="32"/>
        </w:rPr>
        <w:t>指事业单位用财政补助收入之外的收入对附属单位补助发生的支出。</w:t>
      </w:r>
    </w:p>
    <w:p w14:paraId="68A12908">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十六、“三公”经费：</w:t>
      </w:r>
      <w:r>
        <w:rPr>
          <w:rFonts w:ascii="仿宋_GB2312" w:eastAsia="仿宋_GB2312"/>
          <w:b w:val="0"/>
          <w:color w:val="auto"/>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7C60A1D">
      <w:pPr>
        <w:widowControl/>
        <w:spacing w:before="0" w:beforeLines="0" w:beforeAutospacing="0" w:after="0" w:afterLines="0" w:afterAutospacing="0" w:line="240" w:lineRule="auto"/>
        <w:ind w:firstLine="643" w:firstLineChars="200"/>
        <w:jc w:val="left"/>
        <w:rPr>
          <w:rFonts w:ascii="仿宋_GB2312" w:eastAsia="仿宋_GB2312"/>
          <w:color w:val="auto"/>
          <w:sz w:val="32"/>
          <w:szCs w:val="32"/>
        </w:rPr>
      </w:pPr>
      <w:r>
        <w:rPr>
          <w:rFonts w:ascii="仿宋_GB2312" w:eastAsia="仿宋_GB2312"/>
          <w:b/>
          <w:color w:val="auto"/>
          <w:sz w:val="32"/>
          <w:szCs w:val="32"/>
        </w:rPr>
        <w:t>十七、机关运行经费：</w:t>
      </w:r>
      <w:r>
        <w:rPr>
          <w:rFonts w:ascii="仿宋_GB2312" w:eastAsia="仿宋_GB2312"/>
          <w:b w:val="0"/>
          <w:color w:val="auto"/>
          <w:sz w:val="32"/>
          <w:szCs w:val="32"/>
        </w:rPr>
        <w:t>指行政单位和参照公务员法管理的事业单位财政拨款基本支出中的公用经费支出。</w:t>
      </w:r>
    </w:p>
    <w:p w14:paraId="5E7AAC04">
      <w:pPr>
        <w:widowControl/>
        <w:rPr>
          <w:color w:val="auto"/>
        </w:rPr>
      </w:pPr>
      <w:r>
        <w:rPr>
          <w:b w:val="0"/>
          <w:color w:val="auto"/>
          <w:sz w:val="0"/>
          <w:szCs w:val="0"/>
        </w:rPr>
        <w:br w:type="page"/>
      </w:r>
    </w:p>
    <w:p w14:paraId="6910DDB3">
      <w:pPr>
        <w:widowControl/>
        <w:spacing w:before="0" w:beforeLines="0" w:beforeAutospacing="0" w:after="0" w:afterLines="0" w:afterAutospacing="0" w:line="240" w:lineRule="auto"/>
        <w:jc w:val="center"/>
        <w:outlineLvl w:val="0"/>
        <w:rPr>
          <w:rFonts w:ascii="黑体" w:eastAsia="黑体"/>
          <w:color w:val="auto"/>
          <w:sz w:val="32"/>
          <w:szCs w:val="32"/>
        </w:rPr>
      </w:pPr>
      <w:r>
        <w:rPr>
          <w:rFonts w:ascii="黑体" w:eastAsia="黑体"/>
          <w:b w:val="0"/>
          <w:color w:val="auto"/>
          <w:sz w:val="32"/>
          <w:szCs w:val="32"/>
        </w:rPr>
        <w:t>第四部分 部门决算报表（见附表）</w:t>
      </w:r>
    </w:p>
    <w:p w14:paraId="2B435882">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一、《收入支出决算总表》</w:t>
      </w:r>
    </w:p>
    <w:p w14:paraId="2E2E01DB">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二、《收入决算表》</w:t>
      </w:r>
    </w:p>
    <w:p w14:paraId="1DD01C22">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三、《支出决算表》</w:t>
      </w:r>
    </w:p>
    <w:p w14:paraId="44992FF8">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四、《财政拨款收入支出决算总表》</w:t>
      </w:r>
    </w:p>
    <w:p w14:paraId="547B12AD">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五、《一般公共预算财政拨款支出决算表》</w:t>
      </w:r>
    </w:p>
    <w:p w14:paraId="24E7C592">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六、《一般公共预算财政拨款基本支出决算表》</w:t>
      </w:r>
    </w:p>
    <w:p w14:paraId="7FC000A1">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七、《政府性基金预算财政拨款收入支出决算表》</w:t>
      </w:r>
    </w:p>
    <w:p w14:paraId="29F419E1">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八、《国有资本经营预算财政拨款收入支出决算表》</w:t>
      </w:r>
    </w:p>
    <w:p w14:paraId="513E7451">
      <w:pPr>
        <w:widowControl/>
        <w:spacing w:before="0" w:beforeLines="0" w:beforeAutospacing="0" w:after="0" w:afterLines="0" w:afterAutospacing="0" w:line="240" w:lineRule="auto"/>
        <w:ind w:firstLine="640" w:firstLineChars="200"/>
        <w:jc w:val="left"/>
        <w:outlineLvl w:val="1"/>
        <w:rPr>
          <w:rFonts w:ascii="仿宋_GB2312" w:eastAsia="仿宋_GB2312"/>
          <w:color w:val="auto"/>
          <w:sz w:val="32"/>
          <w:szCs w:val="32"/>
        </w:rPr>
      </w:pPr>
      <w:r>
        <w:rPr>
          <w:rFonts w:ascii="仿宋_GB2312" w:eastAsia="仿宋_GB2312"/>
          <w:b w:val="0"/>
          <w:color w:val="auto"/>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000000"/>
    <w:rsid w:val="01284C10"/>
    <w:rsid w:val="06530982"/>
    <w:rsid w:val="14F72E20"/>
    <w:rsid w:val="1A055423"/>
    <w:rsid w:val="26BC17D3"/>
    <w:rsid w:val="27E9484A"/>
    <w:rsid w:val="386D73A5"/>
    <w:rsid w:val="3F514D57"/>
    <w:rsid w:val="3F740A45"/>
    <w:rsid w:val="45EA7CB3"/>
    <w:rsid w:val="48CD62C7"/>
    <w:rsid w:val="497E0E3E"/>
    <w:rsid w:val="4D97427D"/>
    <w:rsid w:val="52A939B0"/>
    <w:rsid w:val="5C8442F7"/>
    <w:rsid w:val="5F0E0117"/>
    <w:rsid w:val="5FD255E8"/>
    <w:rsid w:val="60B116A2"/>
    <w:rsid w:val="692D0CE8"/>
    <w:rsid w:val="6BA442DD"/>
    <w:rsid w:val="70716758"/>
    <w:rsid w:val="746F3C81"/>
    <w:rsid w:val="7C354ADD"/>
    <w:rsid w:val="FFBFD9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7728</Words>
  <Characters>8541</Characters>
  <TotalTime>15</TotalTime>
  <ScaleCrop>false</ScaleCrop>
  <LinksUpToDate>false</LinksUpToDate>
  <CharactersWithSpaces>8548</CharactersWithSpaces>
  <Application>WPS Office_12.1.2.23582_F1E327BC-269C-435d-A152-05C5408002CA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2026-08-30T12:29:00Z</dcterms:created>
  <dc:creator>1</dc:creator>
  <cp:lastModifiedBy>user</cp:lastModifiedBy>
  <dcterms:modified xsi:type="dcterms:W3CDTF">2026-09-02T11:37:45Z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eyJoZGlkIjoiZGM4Y2ExNDA0MjdkYTk1NTY2NzM4YTExNWYxN2IxZmMiLCJ1c2VySWQiOiIzMjM2NTI0MzUifQ==</vt:lpwstr>
  </property>
  <property fmtid="{D5CDD505-2E9C-101B-9397-08002B2CF9AE}" pid="3" name="KSOProductBuildVer">
    <vt:lpwstr>2052-12.1.2.23582</vt:lpwstr>
  </property>
  <property fmtid="{D5CDD505-2E9C-101B-9397-08002B2CF9AE}" pid="4" name="ICV">
    <vt:lpwstr>D311E94AEAD2475FB5C428B634271C62_12</vt:lpwstr>
  </property>
</Properties>
</file>