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伊犁哈萨克自治州无线电管理中心</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根据自治区工业和信息化厅授权，协调处理辖区内无线电管理相关事宜。</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伊犁哈萨克自治州无线电管理中心无下属预算单位。</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2025年度收入总计267.03万元，其中：本年收入合计263.77万元，使用非财政拨款结余（含专用结余）0.00万元，年初结转和结余3.26万元。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2025年度支出总计267.03万元，其中：本年支出合计262.30万元，结余分配4.73万元，年末结转和结余0.00万元。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6.48万元，增长2.49%，主要原因是：（一）收入总计与上年相比增加6.48万元，其中：1.本年收入263.77万元，较上年增加14.40万元，一是非财政拨款收入较上年减少24.39万元，主要是本年事业单位国有资产房屋出租收入减少24.35万元、银行利息收入减少0.04万元；二是一般公共预算财政拨款收入较上年增加38.79万元，主要是中央无线电管理经费项目预算增加21.22万元、基本支出人员经费预算增加18.68万元、基本支出公用经费预算减少1.11万元。2.使用非财政拨款结余（含专用结余）0.00万元，较上年减少11.18万元，主要是本年未使用非财政拨款结余（含专用结余）安排预算。3.年初结转和结余3.26万元，较上年增加3.26万元，主要是上年末非财政拨款无线电业务运维项目结转结余3.26万元。（二）支出总计与上年相比增加6.48万元，其中：1.本年支出262.30万元，较上年增加5.01万元，一是非财政拨款支出较上年减少33.78万元，本年未安排非财政拨款项目支出；二是一般公共预算财政拨款支出较上年增加38.79万元，主要是中央无线电管理经费项目支出增加21.22万元、基本支出人员经费增加18.68万元、基本支出公用经费减少1.11万元。2.结余分配4.73万元，较上年增加4.73万元，主要是本年</w:t>
      </w:r>
      <w:r>
        <w:rPr>
          <w:rFonts w:hint="eastAsia" w:ascii="仿宋_GB2312" w:eastAsia="仿宋_GB2312"/>
          <w:b w:val="0"/>
          <w:sz w:val="32"/>
          <w:szCs w:val="32"/>
          <w:lang w:val="en-US" w:eastAsia="zh-CN"/>
        </w:rPr>
        <w:t>将</w:t>
      </w:r>
      <w:r>
        <w:rPr>
          <w:rFonts w:ascii="仿宋_GB2312" w:eastAsia="仿宋_GB2312"/>
          <w:b w:val="0"/>
          <w:sz w:val="32"/>
          <w:szCs w:val="32"/>
        </w:rPr>
        <w:t>非财政拨款结转和结余</w:t>
      </w:r>
      <w:r>
        <w:rPr>
          <w:rFonts w:hint="eastAsia" w:ascii="仿宋_GB2312" w:eastAsia="仿宋_GB2312"/>
          <w:b w:val="0"/>
          <w:sz w:val="32"/>
          <w:szCs w:val="32"/>
          <w:lang w:val="en-US" w:eastAsia="zh-CN"/>
        </w:rPr>
        <w:t>资金进行梳理，按规定</w:t>
      </w:r>
      <w:r>
        <w:rPr>
          <w:rFonts w:ascii="仿宋_GB2312" w:eastAsia="仿宋_GB2312"/>
          <w:b w:val="0"/>
          <w:sz w:val="32"/>
          <w:szCs w:val="32"/>
        </w:rPr>
        <w:t>转入结余分配</w:t>
      </w:r>
      <w:r>
        <w:rPr>
          <w:rFonts w:hint="eastAsia" w:ascii="仿宋_GB2312" w:eastAsia="仿宋_GB2312"/>
          <w:b w:val="0"/>
          <w:sz w:val="32"/>
          <w:szCs w:val="32"/>
          <w:lang w:val="en-US" w:eastAsia="zh-CN"/>
        </w:rPr>
        <w:t>科目核算</w:t>
      </w:r>
      <w:r>
        <w:rPr>
          <w:rFonts w:ascii="仿宋_GB2312" w:eastAsia="仿宋_GB2312"/>
          <w:b w:val="0"/>
          <w:sz w:val="32"/>
          <w:szCs w:val="32"/>
        </w:rPr>
        <w:t>。3.年末结转和结余0.00万元，较上年减少3.26万元，主要是本年</w:t>
      </w:r>
      <w:r>
        <w:rPr>
          <w:rFonts w:hint="eastAsia" w:ascii="仿宋_GB2312" w:eastAsia="仿宋_GB2312"/>
          <w:b w:val="0"/>
          <w:sz w:val="32"/>
          <w:szCs w:val="32"/>
          <w:lang w:val="en-US" w:eastAsia="zh-CN"/>
        </w:rPr>
        <w:t>将上年末</w:t>
      </w:r>
      <w:r>
        <w:rPr>
          <w:rFonts w:ascii="仿宋_GB2312" w:eastAsia="仿宋_GB2312"/>
          <w:b w:val="0"/>
          <w:sz w:val="32"/>
          <w:szCs w:val="32"/>
        </w:rPr>
        <w:t>非财政拨款结转和结余</w:t>
      </w:r>
      <w:r>
        <w:rPr>
          <w:rFonts w:hint="eastAsia" w:ascii="仿宋_GB2312" w:eastAsia="仿宋_GB2312"/>
          <w:b w:val="0"/>
          <w:sz w:val="32"/>
          <w:szCs w:val="32"/>
          <w:lang w:val="en-US" w:eastAsia="zh-CN"/>
        </w:rPr>
        <w:t>资金3.26万元，按规定</w:t>
      </w:r>
      <w:r>
        <w:rPr>
          <w:rFonts w:ascii="仿宋_GB2312" w:eastAsia="仿宋_GB2312"/>
          <w:b w:val="0"/>
          <w:sz w:val="32"/>
          <w:szCs w:val="32"/>
        </w:rPr>
        <w:t>转入结余分配</w:t>
      </w:r>
      <w:r>
        <w:rPr>
          <w:rFonts w:hint="eastAsia" w:ascii="仿宋_GB2312" w:eastAsia="仿宋_GB2312"/>
          <w:b w:val="0"/>
          <w:sz w:val="32"/>
          <w:szCs w:val="32"/>
          <w:lang w:val="en-US" w:eastAsia="zh-CN"/>
        </w:rPr>
        <w:t>科目核算</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本年收入263.77万元，其中：财政拨款收入262.30万元,占99.44%；上级补助收入0.00万元,占0.00%；事业收入0.00万元，占0.00%；经营收入0.00万元,占0.00%；附属单位上缴收入0.00万元，占0.00%；其他收入1.47万元，占0.56%。</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本年支出262.30万元，其中：基本支出161.96万元，占61.75%；项目支出100.34万元，占38.25%；上缴上级支出0.00万元，占0.00%；经营支出0.00万元，占0.00%；对附属单位补助支出0.00万元，占0.00%。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2025年度财政拨款收入总计262.30万元，其中：年初财政拨款结转和结余0.00万元，本年财政拨款收入262.30万元。财政拨款支出总计262.30万元，其中：年末财政拨款结转和结余0.00万元，本年财政拨款支出262.30万元。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财政拨款收入支出总体与上年相比，增加38.79万元，增长17.35%，主要原因是：一是一般公共预算财政拨款项目支出中央无线电管理经费增加21.22万元；二是</w:t>
      </w:r>
      <w:r>
        <w:rPr>
          <w:rFonts w:hint="eastAsia" w:ascii="仿宋_GB2312" w:eastAsia="仿宋_GB2312"/>
          <w:b w:val="0"/>
          <w:sz w:val="32"/>
          <w:szCs w:val="32"/>
          <w:lang w:val="en-US" w:eastAsia="zh-CN"/>
        </w:rPr>
        <w:t>严格落实</w:t>
      </w:r>
      <w:r>
        <w:rPr>
          <w:rFonts w:ascii="仿宋_GB2312" w:eastAsia="仿宋_GB2312"/>
          <w:b w:val="0"/>
          <w:sz w:val="32"/>
          <w:szCs w:val="32"/>
        </w:rPr>
        <w:t>过紧日子要求，主动压减一般性支出，一般公共预算财政拨款基本支出公用经费减少1.11万元；三是本年新增在职人员2人，一般公共预算财政拨款基本支出人员经费增加18.68万元。与年初预算相比，年初预算数239.18万元，决算数262.30万元，预决算差异率9.67%，主要原因是：在年度执行中，根据自治区财政厅下达文件追加及调减预算，一是追加一般公共预算财政拨款基本支出人员类项目预算19.39万元；二是</w:t>
      </w:r>
      <w:r>
        <w:rPr>
          <w:rFonts w:hint="eastAsia" w:ascii="仿宋_GB2312" w:eastAsia="仿宋_GB2312"/>
          <w:b w:val="0"/>
          <w:sz w:val="32"/>
          <w:szCs w:val="32"/>
          <w:lang w:val="en-US" w:eastAsia="zh-CN"/>
        </w:rPr>
        <w:t>严格落实</w:t>
      </w:r>
      <w:r>
        <w:rPr>
          <w:rFonts w:ascii="仿宋_GB2312" w:eastAsia="仿宋_GB2312"/>
          <w:b w:val="0"/>
          <w:sz w:val="32"/>
          <w:szCs w:val="32"/>
        </w:rPr>
        <w:t>过紧日子要求，主动压减一般性支出，调减年初一般公共预算财政拨款基本支出公用经费预算1.31万元；三是追加一般公共预算财政拨款项目支出中央无线电管理经费预算5.04万元。由于以上事项，与年初预算数存在差异。</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人员工资福利、机构正常履职运转、无线电监测监管履职业务等重点支出，体现在有关支出科目中。</w:t>
      </w:r>
    </w:p>
    <w:p>
      <w:pPr>
        <w:widowControl/>
        <w:spacing w:before="0" w:beforeLines="0" w:beforeAutospacing="0" w:after="0" w:afterLines="0" w:afterAutospacing="0" w:line="240" w:lineRule="auto"/>
        <w:ind w:firstLine="640" w:firstLineChars="200"/>
        <w:jc w:val="left"/>
        <w:rPr>
          <w:rFonts w:hint="eastAsia" w:ascii="仿宋_GB2312" w:eastAsia="仿宋_GB2312"/>
          <w:sz w:val="32"/>
          <w:szCs w:val="32"/>
          <w:lang w:eastAsia="zh-CN"/>
        </w:rPr>
      </w:pPr>
      <w:r>
        <w:rPr>
          <w:rFonts w:ascii="仿宋_GB2312" w:eastAsia="仿宋_GB2312"/>
          <w:b w:val="0"/>
          <w:sz w:val="32"/>
          <w:szCs w:val="32"/>
        </w:rPr>
        <w:t>按照支出功能分类，资源勘探工业信息等支出（类）工业和信息产业（款）无线电及信息通信监管（项）的支出占本年财政拨款支出总额的比重最高，2025年度决算数为221.25万元，占比84.35%，主要用于</w:t>
      </w:r>
      <w:r>
        <w:rPr>
          <w:rFonts w:hint="eastAsia" w:ascii="仿宋_GB2312" w:eastAsia="仿宋_GB2312"/>
          <w:b w:val="0"/>
          <w:sz w:val="32"/>
          <w:szCs w:val="32"/>
        </w:rPr>
        <w:t>人员工资</w:t>
      </w:r>
      <w:r>
        <w:rPr>
          <w:rFonts w:hint="eastAsia" w:ascii="仿宋_GB2312" w:eastAsia="仿宋_GB2312"/>
          <w:b w:val="0"/>
          <w:sz w:val="32"/>
          <w:szCs w:val="32"/>
          <w:lang w:val="en-US" w:eastAsia="zh-CN"/>
        </w:rPr>
        <w:t>福利</w:t>
      </w:r>
      <w:r>
        <w:rPr>
          <w:rFonts w:hint="eastAsia" w:ascii="仿宋_GB2312" w:eastAsia="仿宋_GB2312"/>
          <w:b w:val="0"/>
          <w:sz w:val="32"/>
          <w:szCs w:val="32"/>
        </w:rPr>
        <w:t>、保障单位日常</w:t>
      </w:r>
      <w:r>
        <w:rPr>
          <w:rFonts w:hint="eastAsia" w:ascii="仿宋_GB2312" w:eastAsia="仿宋_GB2312"/>
          <w:b w:val="0"/>
          <w:sz w:val="32"/>
          <w:szCs w:val="32"/>
          <w:lang w:val="en-US" w:eastAsia="zh-CN"/>
        </w:rPr>
        <w:t>运转</w:t>
      </w:r>
      <w:r>
        <w:rPr>
          <w:rFonts w:hint="eastAsia" w:ascii="仿宋_GB2312" w:eastAsia="仿宋_GB2312"/>
          <w:b w:val="0"/>
          <w:sz w:val="32"/>
          <w:szCs w:val="32"/>
          <w:lang w:eastAsia="zh-CN"/>
        </w:rPr>
        <w:t>、无线电技术设施运行维护、</w:t>
      </w:r>
      <w:r>
        <w:rPr>
          <w:rFonts w:hint="eastAsia" w:ascii="仿宋_GB2312" w:eastAsia="仿宋_GB2312"/>
          <w:b w:val="0"/>
          <w:sz w:val="32"/>
          <w:szCs w:val="32"/>
        </w:rPr>
        <w:t>无线电专用房屋建筑物运行维护</w:t>
      </w:r>
      <w:r>
        <w:rPr>
          <w:rFonts w:hint="eastAsia" w:ascii="仿宋_GB2312" w:eastAsia="仿宋_GB2312"/>
          <w:b w:val="0"/>
          <w:sz w:val="32"/>
          <w:szCs w:val="32"/>
          <w:lang w:eastAsia="zh-CN"/>
        </w:rPr>
        <w:t>、无线电管理特种车辆运维、无线电专项监管</w:t>
      </w:r>
      <w:r>
        <w:rPr>
          <w:rFonts w:hint="eastAsia" w:ascii="仿宋_GB2312" w:eastAsia="仿宋_GB2312"/>
          <w:b w:val="0"/>
          <w:sz w:val="32"/>
          <w:szCs w:val="32"/>
          <w:lang w:val="en-US" w:eastAsia="zh-CN"/>
        </w:rPr>
        <w:t>等</w:t>
      </w:r>
      <w:r>
        <w:rPr>
          <w:rFonts w:hint="eastAsia" w:ascii="仿宋_GB2312" w:eastAsia="仿宋_GB2312"/>
          <w:b w:val="0"/>
          <w:sz w:val="32"/>
          <w:szCs w:val="32"/>
          <w:lang w:eastAsia="zh-CN"/>
        </w:rPr>
        <w:t>支出。</w:t>
      </w:r>
    </w:p>
    <w:p>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2025年度一般公共预算财政拨款支出262.30万元，占本年支出合计的100.00%。与上年相比，增加38.79万元，增长17.35%，主要原因是：一是项目支出中央无线电管理经费增加21.22万元；二是</w:t>
      </w:r>
      <w:r>
        <w:rPr>
          <w:rFonts w:hint="eastAsia" w:ascii="仿宋_GB2312" w:eastAsia="仿宋_GB2312"/>
          <w:b w:val="0"/>
          <w:sz w:val="32"/>
          <w:szCs w:val="32"/>
          <w:lang w:val="en-US" w:eastAsia="zh-CN"/>
        </w:rPr>
        <w:t>严格落实</w:t>
      </w:r>
      <w:r>
        <w:rPr>
          <w:rFonts w:ascii="仿宋_GB2312" w:eastAsia="仿宋_GB2312"/>
          <w:b w:val="0"/>
          <w:sz w:val="32"/>
          <w:szCs w:val="32"/>
        </w:rPr>
        <w:t>过紧日子要求，主动压减一般性支出，基本支出公用经费减少1.11万元；三是本年新增在职人员2人，基本支出人员经费增加18.68万元。与年初预算相比，年初预算数239.18万元，决算数262.30万元，预决算差异率9.67%，主要原因是：在年度执行中，根据自治区财政厅下达文件追加及调减预算，一是追加基本支出人员类项目预算19.39万元；二是</w:t>
      </w:r>
      <w:r>
        <w:rPr>
          <w:rFonts w:hint="eastAsia" w:ascii="仿宋_GB2312" w:eastAsia="仿宋_GB2312"/>
          <w:b w:val="0"/>
          <w:sz w:val="32"/>
          <w:szCs w:val="32"/>
          <w:lang w:val="en-US" w:eastAsia="zh-CN"/>
        </w:rPr>
        <w:t>严格落实过紧日子要求</w:t>
      </w:r>
      <w:r>
        <w:rPr>
          <w:rFonts w:ascii="仿宋_GB2312" w:eastAsia="仿宋_GB2312"/>
          <w:b w:val="0"/>
          <w:sz w:val="32"/>
          <w:szCs w:val="32"/>
        </w:rPr>
        <w:t>，主动压减一般性支出，调减年初基本支出公用经费预算1.31万元；三是追加项目支出中央无线电管理经费预算5.04万元。由于以上事项，与年初预算数存在差异。</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1.社会保障和就业支出（类）24.36万元，占9.29%。</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2.卫生健康支出（类）6.73万元，占2.57%。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3.资源勘探工业信息等支出（类）221.25万元，占84.35%。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4.住房保障支出（类）9.96万元，占3.80%。</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hint="eastAsia" w:ascii="仿宋_GB2312" w:hAnsi="仿宋_GB2312" w:eastAsia="仿宋_GB2312" w:cs="仿宋_GB2312"/>
          <w:color w:val="auto"/>
          <w:sz w:val="32"/>
          <w:szCs w:val="32"/>
        </w:rPr>
      </w:pPr>
      <w:r>
        <w:rPr>
          <w:rFonts w:ascii="仿宋_GB2312" w:eastAsia="仿宋_GB2312"/>
          <w:b w:val="0"/>
          <w:sz w:val="32"/>
          <w:szCs w:val="32"/>
        </w:rPr>
        <w:t>1、社会保障和就业支出（类）行政事业单位养老支出（款）事业单位离退休（项）：支出决算数为5.18万元，比上年决算增加0.74万元，增长16.67%，主要原因是：</w:t>
      </w:r>
      <w:r>
        <w:rPr>
          <w:rFonts w:hint="eastAsia" w:ascii="仿宋_GB2312" w:hAnsi="仿宋_GB2312" w:eastAsia="仿宋_GB2312" w:cs="仿宋_GB2312"/>
          <w:color w:val="auto"/>
          <w:sz w:val="32"/>
          <w:szCs w:val="32"/>
          <w:highlight w:val="none"/>
        </w:rPr>
        <w:t>按照政策规定，</w:t>
      </w:r>
      <w:r>
        <w:rPr>
          <w:rFonts w:hint="eastAsia" w:ascii="仿宋_GB2312" w:hAnsi="仿宋_GB2312" w:eastAsia="仿宋_GB2312" w:cs="仿宋_GB2312"/>
          <w:b w:val="0"/>
          <w:color w:val="auto"/>
          <w:sz w:val="32"/>
          <w:szCs w:val="32"/>
          <w:highlight w:val="none"/>
        </w:rPr>
        <w:t>退休人员养老待遇提高</w:t>
      </w:r>
      <w:r>
        <w:rPr>
          <w:rFonts w:hint="eastAsia" w:ascii="仿宋_GB2312" w:hAnsi="仿宋_GB2312" w:eastAsia="仿宋_GB2312" w:cs="仿宋_GB2312"/>
          <w:b w:val="0"/>
          <w:color w:val="auto"/>
          <w:sz w:val="32"/>
          <w:szCs w:val="32"/>
          <w:highlight w:val="none"/>
          <w:lang w:eastAsia="zh-CN"/>
        </w:rPr>
        <w:t>，</w:t>
      </w:r>
      <w:r>
        <w:rPr>
          <w:rFonts w:hint="eastAsia" w:ascii="仿宋_GB2312" w:hAnsi="仿宋_GB2312" w:eastAsia="仿宋_GB2312" w:cs="仿宋_GB2312"/>
          <w:color w:val="auto"/>
          <w:sz w:val="32"/>
          <w:szCs w:val="32"/>
          <w:highlight w:val="none"/>
        </w:rPr>
        <w:t>离退休经费支出相应增加</w:t>
      </w:r>
      <w:r>
        <w:rPr>
          <w:rFonts w:hint="eastAsia" w:ascii="仿宋_GB2312" w:hAnsi="仿宋_GB2312" w:eastAsia="仿宋_GB2312" w:cs="仿宋_GB2312"/>
          <w:b w:val="0"/>
          <w:color w:val="auto"/>
          <w:sz w:val="32"/>
          <w:szCs w:val="32"/>
          <w:highlight w:val="none"/>
        </w:rPr>
        <w:t>。</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2、社会保障和就业支出（类）行政事业单位养老支出（款）机关事业单位基本养老保险缴费支出（项）：支出决算数为12.64万元，比上年决算增加0.90万元，增长7.67%，主要原因是：养老保险缴费基数上调。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社会保障和就业支出（类）行政事业单位养老支出（款）机关事业单位职业年金缴费支出（项）：支出决算数为6.54万元，比上年决算增加6.54万元，增长100.00%，主要原因是：根据《新疆维吾尔自治区职业年金单位缴费实账管理实施方案》</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新人社〔2025〕18号</w:t>
      </w:r>
      <w:r>
        <w:rPr>
          <w:rFonts w:hint="eastAsia" w:ascii="仿宋_GB2312" w:eastAsia="仿宋_GB2312"/>
          <w:b w:val="0"/>
          <w:sz w:val="32"/>
          <w:szCs w:val="32"/>
          <w:lang w:eastAsia="zh-CN"/>
        </w:rPr>
        <w:t>）</w:t>
      </w:r>
      <w:r>
        <w:rPr>
          <w:rFonts w:ascii="仿宋_GB2312" w:eastAsia="仿宋_GB2312"/>
          <w:b w:val="0"/>
          <w:sz w:val="32"/>
          <w:szCs w:val="32"/>
        </w:rPr>
        <w:t>，自2025年起自治区本级财政全额拨款单位的职业年金列入单位基本支出预算足额保障，2025年机关事业单位职业年金缴费支出增加。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4、卫生健康支出（类）行政事业单位医疗（款）事业单位医疗（项）：支出决算数为6.73万元，比上年决算增加0.81万元，增长13.68%，主要原因是：基本医疗保险缴费基数上调。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资源勘探工业信息等支出（类）工业和信息产业（款）无线电及信息通信监管（项）：支出决算数为221.25万元，比上年决算增加28.63万元，增长14.86%，主要原因是：一是基本支出较上年增加7.41万元，其中：本年新增在职人员2人，人员经费增加8.52万元；</w:t>
      </w:r>
      <w:r>
        <w:rPr>
          <w:rFonts w:hint="eastAsia" w:ascii="仿宋_GB2312" w:eastAsia="仿宋_GB2312"/>
          <w:b w:val="0"/>
          <w:sz w:val="32"/>
          <w:szCs w:val="32"/>
          <w:lang w:val="en-US" w:eastAsia="zh-CN"/>
        </w:rPr>
        <w:t>严格落实过</w:t>
      </w:r>
      <w:bookmarkStart w:id="0" w:name="_GoBack"/>
      <w:bookmarkEnd w:id="0"/>
      <w:r>
        <w:rPr>
          <w:rFonts w:hint="eastAsia" w:ascii="仿宋_GB2312" w:eastAsia="仿宋_GB2312"/>
          <w:b w:val="0"/>
          <w:sz w:val="32"/>
          <w:szCs w:val="32"/>
          <w:lang w:val="en-US" w:eastAsia="zh-CN"/>
        </w:rPr>
        <w:t>紧日子要求</w:t>
      </w:r>
      <w:r>
        <w:rPr>
          <w:rFonts w:ascii="仿宋_GB2312" w:eastAsia="仿宋_GB2312"/>
          <w:b w:val="0"/>
          <w:sz w:val="32"/>
          <w:szCs w:val="32"/>
        </w:rPr>
        <w:t>，主动压减一般性支出，公用经费减少1.11万元。二是项目支出中央无线电管理经费增加21.22万元。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6、住房保障支出（类）住房改革支出（款）住房公积金（项）：支出决算数为9.96万元，比上年决算增加1.16万元，增长13.18%，主要原因是：住房公积金缴费基数上调。</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161.96万元，其中：人员经费135.61万元，包括：基本工资、津贴补贴、奖金、绩效工资、机关事业单位基本养老保险缴费、职业年金缴费、职工基本医疗保险缴费、其他社会保障缴费、住房公积金、其他工资福利支出、退休费、奖励金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公用经费26.35万元，包括：办公费、水费、电费、邮电费、取暖费、差旅费、工会经费、福利费、公务用车运行维护费和其他商品和服务支出。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8.90万元，比上年增加1.08万元，增长13.81%，主要原因是：公务用车运行维护费较上年有所增加。其中：因公出国（境）费用支出0.00万元,占0.00%，与上年相比无变化，主要原因是：我单位无因公出国（境）费；公务用车购置及运行维护费支出8.90万元，占100.00%，比上年增加1.08万元，增长13.81%，主要原因是：单位车辆编制数共有7辆，特种专用车辆使用年限平均超过10年以上，维修维护成本不断提高，故较上年有所增加；公务接待费支出0.00万元，占0.00%，与上年相比无变化，主要原因是：我单位无公务接待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因公出国（境）费用0.00万元，开支内容包括无因公出国（境）费。单位全年安排的因公出国（境）团组0个，因公出国（境）0人次。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8.90万元，其中：公务用车购置费0.00万元，公务用车运行维护费8.90万元。公务用车运行维护费开支内容包括车辆保险、停车过路费、车辆审验、车辆加油、车辆维修等费用。公务用车购置数0辆，公务用车保有量7辆。国有资产占用情况中固定资产车辆7辆，与公务用车保有量差异原因是：与公务用车保有量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公务接待费0.00万元，开支内容包括无公务接待费。单位全年安排的国内公务接待0批次，0人次。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与全年预算相比，财政拨款“三公”经费支出全年预算数8.90万元，决算数8.90万元，预决算差异率0.00%，主要原因是：严格落实</w:t>
      </w:r>
      <w:r>
        <w:rPr>
          <w:rFonts w:hint="eastAsia" w:ascii="仿宋_GB2312" w:eastAsia="仿宋_GB2312"/>
          <w:b w:val="0"/>
          <w:sz w:val="32"/>
          <w:szCs w:val="32"/>
          <w:lang w:val="en-US" w:eastAsia="zh-CN"/>
        </w:rPr>
        <w:t>过紧日子</w:t>
      </w:r>
      <w:r>
        <w:rPr>
          <w:rFonts w:ascii="仿宋_GB2312" w:eastAsia="仿宋_GB2312"/>
          <w:b w:val="0"/>
          <w:sz w:val="32"/>
          <w:szCs w:val="32"/>
        </w:rPr>
        <w:t>要求，保障日常履职的同时，有效控制经费支出，</w:t>
      </w:r>
      <w:r>
        <w:rPr>
          <w:rFonts w:ascii="仿宋_GB2312" w:eastAsia="仿宋_GB2312"/>
          <w:b w:val="0"/>
          <w:color w:val="auto"/>
          <w:sz w:val="32"/>
          <w:szCs w:val="32"/>
          <w:highlight w:val="none"/>
        </w:rPr>
        <w:t>确保预决算无差异</w:t>
      </w:r>
      <w:r>
        <w:rPr>
          <w:rFonts w:ascii="仿宋_GB2312" w:eastAsia="仿宋_GB2312"/>
          <w:b w:val="0"/>
          <w:sz w:val="32"/>
          <w:szCs w:val="32"/>
        </w:rPr>
        <w:t>。其中：因公出国（境）费用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8.90万元，决算数8.90万元，预决算差异率0.00%，主要原因是：强化预算执行管理，严格规范车辆运维支出，按预算统筹安排支出，确保预决算无差异；公务接待费全年预算数0.00万元，决算数0.00万元，预决算差异率0.00%，主要原因是：我单位无公务接待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2025年度伊犁哈萨克自治州无线电管理中心（事业单位）公用经费支出26.35万元，比上年减少1.11万元，下降4.04%，主要原因是：</w:t>
      </w:r>
      <w:r>
        <w:rPr>
          <w:rFonts w:hint="eastAsia" w:ascii="仿宋_GB2312" w:eastAsia="仿宋_GB2312"/>
          <w:b w:val="0"/>
          <w:sz w:val="32"/>
          <w:szCs w:val="32"/>
          <w:lang w:val="en-US" w:eastAsia="zh-CN"/>
        </w:rPr>
        <w:t>严格落实过紧日子要求</w:t>
      </w:r>
      <w:r>
        <w:rPr>
          <w:rFonts w:ascii="仿宋_GB2312" w:eastAsia="仿宋_GB2312"/>
          <w:b w:val="0"/>
          <w:sz w:val="32"/>
          <w:szCs w:val="32"/>
        </w:rPr>
        <w:t>，主动压减一般性支出，实现公用经费合理下降。</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2025年度政府采购支出总额45.75万元，其中：政府采购货物支出0.28万元、政府采购工程支出1.20万元、政府采购服务支出44.27万元。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授予中小企业合同金额24.09万元，占政府采购支出总额的52.66%，其中：授予小微企业合同金额21.42万元，占政府采购支出总额的46.82%。</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8,332.10平方米，价值1,779.80万元。车辆7辆，价值384.79万元，其中：副部（省）级及以上领导用车0辆、主要负责人用车0辆、机要通信用车0辆、应急保障用车0辆、执法执勤用车0辆、特种专业技术用车6辆、离退休干部服务用车0辆、其他用车1辆，其他用车主要是：日常业务公务用车;单价100万元（含）以上设备（不含车辆）8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0个，全年预算数0.00万元，全年执行数0.00万元。预算绩效管理取得的成效：单位无绩效管理项目。发现的问题及原因：一是项目成员对于项目管理方面专业知识的系统性学习有待加强，对预算立项的整体内容需要进一步细化</w:t>
      </w:r>
      <w:r>
        <w:rPr>
          <w:rFonts w:hint="eastAsia" w:ascii="仿宋_GB2312" w:eastAsia="仿宋_GB2312"/>
          <w:b w:val="0"/>
          <w:sz w:val="32"/>
          <w:szCs w:val="32"/>
          <w:lang w:eastAsia="zh-CN"/>
        </w:rPr>
        <w:t>；</w:t>
      </w:r>
      <w:r>
        <w:rPr>
          <w:rFonts w:ascii="仿宋_GB2312" w:eastAsia="仿宋_GB2312"/>
          <w:b w:val="0"/>
          <w:sz w:val="32"/>
          <w:szCs w:val="32"/>
        </w:rPr>
        <w:t>二是项目经办人员开展绩效自评工作时，部分人员绩效管理专业能力不足，自评工作存在自我审定的固有局限，一定程度上影响绩效评价工作质量。三是受岗位轮岗、人员调动等因素影响，本单位绩效岗位人员变动较为频繁，导致相关工作衔接不够顺畅。下一步改进措施：一是强化绩效管理业务培训</w:t>
      </w:r>
      <w:r>
        <w:rPr>
          <w:rFonts w:hint="eastAsia" w:ascii="仿宋_GB2312" w:eastAsia="仿宋_GB2312"/>
          <w:b w:val="0"/>
          <w:sz w:val="32"/>
          <w:szCs w:val="32"/>
          <w:lang w:eastAsia="zh-CN"/>
        </w:rPr>
        <w:t>，</w:t>
      </w:r>
      <w:r>
        <w:rPr>
          <w:rFonts w:ascii="仿宋_GB2312" w:eastAsia="仿宋_GB2312"/>
          <w:b w:val="0"/>
          <w:sz w:val="32"/>
          <w:szCs w:val="32"/>
        </w:rPr>
        <w:t>积极引入第三方机构开展绩效管理专题培训，持续夯实业务工作基础，提升本单位绩效工作人员业务能力</w:t>
      </w:r>
      <w:r>
        <w:rPr>
          <w:rFonts w:hint="eastAsia" w:ascii="仿宋_GB2312" w:eastAsia="仿宋_GB2312"/>
          <w:b w:val="0"/>
          <w:sz w:val="32"/>
          <w:szCs w:val="32"/>
          <w:lang w:eastAsia="zh-CN"/>
        </w:rPr>
        <w:t>；</w:t>
      </w:r>
      <w:r>
        <w:rPr>
          <w:rFonts w:ascii="仿宋_GB2312" w:eastAsia="仿宋_GB2312"/>
          <w:b w:val="0"/>
          <w:sz w:val="32"/>
          <w:szCs w:val="32"/>
        </w:rPr>
        <w:t xml:space="preserve"> 二是健全绩效岗位管理制度</w:t>
      </w:r>
      <w:r>
        <w:rPr>
          <w:rFonts w:hint="eastAsia" w:ascii="仿宋_GB2312" w:eastAsia="仿宋_GB2312"/>
          <w:b w:val="0"/>
          <w:sz w:val="32"/>
          <w:szCs w:val="32"/>
          <w:lang w:eastAsia="zh-CN"/>
        </w:rPr>
        <w:t>，</w:t>
      </w:r>
      <w:r>
        <w:rPr>
          <w:rFonts w:ascii="仿宋_GB2312" w:eastAsia="仿宋_GB2312"/>
          <w:b w:val="0"/>
          <w:sz w:val="32"/>
          <w:szCs w:val="32"/>
        </w:rPr>
        <w:t>建立完善绩效工作人员定岗、定职、定责相关制度机制，压实岗位工作责任，全面提升绩效管理工作质效，保障绩效管理各项工作落地落实</w:t>
      </w:r>
      <w:r>
        <w:rPr>
          <w:rFonts w:hint="eastAsia" w:ascii="仿宋_GB2312" w:eastAsia="仿宋_GB2312"/>
          <w:b w:val="0"/>
          <w:sz w:val="32"/>
          <w:szCs w:val="32"/>
          <w:lang w:eastAsia="zh-CN"/>
        </w:rPr>
        <w:t>；</w:t>
      </w:r>
      <w:r>
        <w:rPr>
          <w:rFonts w:ascii="仿宋_GB2312" w:eastAsia="仿宋_GB2312"/>
          <w:b w:val="0"/>
          <w:sz w:val="32"/>
          <w:szCs w:val="32"/>
        </w:rPr>
        <w:t>三是严格规范项目实施全流程管理</w:t>
      </w:r>
      <w:r>
        <w:rPr>
          <w:rFonts w:hint="eastAsia" w:ascii="仿宋_GB2312" w:eastAsia="仿宋_GB2312"/>
          <w:b w:val="0"/>
          <w:sz w:val="32"/>
          <w:szCs w:val="32"/>
          <w:lang w:eastAsia="zh-CN"/>
        </w:rPr>
        <w:t>，</w:t>
      </w:r>
      <w:r>
        <w:rPr>
          <w:rFonts w:ascii="仿宋_GB2312" w:eastAsia="仿宋_GB2312"/>
          <w:b w:val="0"/>
          <w:sz w:val="32"/>
          <w:szCs w:val="32"/>
        </w:rPr>
        <w:t>做实做细项目前期工作，科学编制可行性研究报告，细化完善项目实施方案</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同时</w:t>
      </w:r>
      <w:r>
        <w:rPr>
          <w:rFonts w:ascii="仿宋_GB2312" w:eastAsia="仿宋_GB2312"/>
          <w:b w:val="0"/>
          <w:sz w:val="32"/>
          <w:szCs w:val="32"/>
        </w:rPr>
        <w:t>督促各责任部门结合项目实施实际，立足项目自身特点做好经验梳理总结。具体附整体支出绩效自评表、项目支出绩效自评表及项目支出绩效评价报告。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bordersDoNotSurroundHeader w:val="0"/>
  <w:bordersDoNotSurroundFooter w:val="0"/>
  <w:documentProtection w:enforcement="0"/>
  <w:displayHorizontalDrawingGridEvery w:val="1"/>
  <w:displayVerticalDrawingGridEvery w:val="1"/>
  <w:noPunctuationKerning w:val="1"/>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76912"/>
    <w:rsid w:val="0A943317"/>
    <w:rsid w:val="11E6454B"/>
    <w:rsid w:val="14504752"/>
    <w:rsid w:val="16C838E9"/>
    <w:rsid w:val="18DC1FCB"/>
    <w:rsid w:val="1E1B192D"/>
    <w:rsid w:val="1FDA27B2"/>
    <w:rsid w:val="22E5103C"/>
    <w:rsid w:val="31802268"/>
    <w:rsid w:val="3D1F1F02"/>
    <w:rsid w:val="3D7E399F"/>
    <w:rsid w:val="41E51402"/>
    <w:rsid w:val="428E43F1"/>
    <w:rsid w:val="45CB1797"/>
    <w:rsid w:val="47EE00EF"/>
    <w:rsid w:val="49E72E9E"/>
    <w:rsid w:val="52FC75B4"/>
    <w:rsid w:val="5A9D4D36"/>
    <w:rsid w:val="63626C83"/>
    <w:rsid w:val="641E7BFB"/>
    <w:rsid w:val="66A73E2E"/>
    <w:rsid w:val="6C42259A"/>
    <w:rsid w:val="7152749E"/>
    <w:rsid w:val="72D336FA"/>
    <w:rsid w:val="74AD0DC3"/>
    <w:rsid w:val="75790588"/>
    <w:rsid w:val="79A11E5C"/>
    <w:rsid w:val="7A37456E"/>
    <w:rsid w:val="7AE05C95"/>
    <w:rsid w:val="7DE467BB"/>
    <w:rsid w:val="7E1F3128"/>
    <w:rsid w:val="7ED516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annotation text"/>
    <w:basedOn w:val="1"/>
    <w:semiHidden/>
    <w:unhideWhenUsed/>
    <w:qFormat/>
    <w:uiPriority w:val="99"/>
    <w:pPr>
      <w:jc w:val="left"/>
    </w:p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Header Char"/>
    <w:basedOn w:val="14"/>
    <w:link w:val="9"/>
    <w:qFormat/>
    <w:uiPriority w:val="99"/>
  </w:style>
  <w:style w:type="character" w:customStyle="1" w:styleId="18">
    <w:name w:val="Heading 1 Char"/>
    <w:basedOn w:val="14"/>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9">
    <w:name w:val="Heading 2 Char"/>
    <w:basedOn w:val="14"/>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20">
    <w:name w:val="Heading 3 Char"/>
    <w:basedOn w:val="14"/>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1">
    <w:name w:val="Heading 4 Char"/>
    <w:basedOn w:val="14"/>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2">
    <w:name w:val="Subtitle Char"/>
    <w:basedOn w:val="14"/>
    <w:link w:val="10"/>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3">
    <w:name w:val="Title Char"/>
    <w:basedOn w:val="14"/>
    <w:link w:val="11"/>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14</Pages>
  <Words>6131</Words>
  <Characters>6859</Characters>
  <TotalTime>2</TotalTime>
  <ScaleCrop>false</ScaleCrop>
  <LinksUpToDate>false</LinksUpToDate>
  <CharactersWithSpaces>6866</CharactersWithSpaces>
  <Application>WPS Office_11.8.2.8506_F1E327BC-269C-435d-A152-05C5408002CA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2026-08-27T09:11:00Z</dcterms:created>
  <dc:creator>56258</dc:creator>
  <cp:lastModifiedBy>Administrator</cp:lastModifiedBy>
  <dcterms:modified xsi:type="dcterms:W3CDTF">2026-08-30T07:15:27Z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eyJoZGlkIjoiMWUzYTA2NWY5YzI5Mjg2NDdjMTljMDM2NWFlM2EzNzMiLCJ1c2VySWQiOiIxMjg0NjE5MDM2In0=</vt:lpwstr>
  </property>
  <property fmtid="{D5CDD505-2E9C-101B-9397-08002B2CF9AE}" pid="3" name="KSOProductBuildVer">
    <vt:lpwstr>2052-11.8.2.8506</vt:lpwstr>
  </property>
  <property fmtid="{D5CDD505-2E9C-101B-9397-08002B2CF9AE}" pid="4" name="ICV">
    <vt:lpwstr>8A80FC0C0799448598E8AB6FDA61CC5C_13</vt:lpwstr>
  </property>
</Properties>
</file>