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A34A9">
      <w:pPr>
        <w:widowControl/>
        <w:spacing w:before="0" w:beforeLines="0" w:beforeAutospacing="0" w:after="0" w:afterLines="0" w:afterAutospacing="0" w:line="240" w:lineRule="auto"/>
        <w:jc w:val="left"/>
        <w:rPr>
          <w:rFonts w:ascii="宋体" w:eastAsia="宋体"/>
          <w:sz w:val="32"/>
          <w:szCs w:val="32"/>
        </w:rPr>
      </w:pPr>
    </w:p>
    <w:p w14:paraId="1EB08689">
      <w:pPr>
        <w:widowControl/>
        <w:spacing w:before="0" w:beforeLines="0" w:beforeAutospacing="0" w:after="0" w:afterLines="0" w:afterAutospacing="0" w:line="240" w:lineRule="auto"/>
        <w:jc w:val="left"/>
        <w:rPr>
          <w:rFonts w:ascii="宋体" w:eastAsia="宋体"/>
          <w:sz w:val="44"/>
          <w:szCs w:val="44"/>
        </w:rPr>
      </w:pPr>
    </w:p>
    <w:p w14:paraId="07B74CBC">
      <w:pPr>
        <w:widowControl/>
        <w:spacing w:before="0" w:beforeLines="0" w:beforeAutospacing="0" w:after="0" w:afterLines="0" w:afterAutospacing="0" w:line="240" w:lineRule="auto"/>
        <w:jc w:val="left"/>
        <w:rPr>
          <w:rFonts w:ascii="宋体" w:eastAsia="宋体"/>
          <w:sz w:val="44"/>
          <w:szCs w:val="44"/>
        </w:rPr>
      </w:pPr>
    </w:p>
    <w:p w14:paraId="07DA27B7">
      <w:pPr>
        <w:widowControl/>
        <w:spacing w:before="0" w:beforeLines="0" w:beforeAutospacing="0" w:after="0" w:afterLines="0" w:afterAutospacing="0" w:line="240" w:lineRule="auto"/>
        <w:jc w:val="left"/>
        <w:rPr>
          <w:rFonts w:ascii="宋体" w:eastAsia="宋体"/>
          <w:sz w:val="44"/>
          <w:szCs w:val="44"/>
        </w:rPr>
      </w:pPr>
    </w:p>
    <w:p w14:paraId="532ADEFC">
      <w:pPr>
        <w:widowControl/>
        <w:spacing w:before="0" w:beforeLines="0" w:beforeAutospacing="0" w:after="0" w:afterLines="0" w:afterAutospacing="0" w:line="240" w:lineRule="auto"/>
        <w:jc w:val="center"/>
        <w:outlineLvl w:val="0"/>
        <w:rPr>
          <w:rFonts w:ascii="宋体" w:eastAsia="黑体"/>
          <w:b w:val="0"/>
          <w:sz w:val="44"/>
          <w:szCs w:val="44"/>
        </w:rPr>
      </w:pPr>
      <w:r>
        <w:rPr>
          <w:rFonts w:ascii="宋体" w:eastAsia="黑体"/>
          <w:b w:val="0"/>
          <w:sz w:val="44"/>
          <w:szCs w:val="44"/>
        </w:rPr>
        <w:t>新疆维吾尔自治区工业绿色低碳发展</w:t>
      </w:r>
    </w:p>
    <w:p w14:paraId="0476A30C">
      <w:pPr>
        <w:widowControl/>
        <w:spacing w:before="0" w:beforeLines="0" w:beforeAutospacing="0" w:after="0" w:afterLines="0" w:afterAutospacing="0" w:line="240" w:lineRule="auto"/>
        <w:jc w:val="center"/>
        <w:outlineLvl w:val="0"/>
        <w:rPr>
          <w:rFonts w:ascii="黑体" w:eastAsia="黑体"/>
          <w:sz w:val="44"/>
          <w:szCs w:val="44"/>
        </w:rPr>
      </w:pPr>
      <w:r>
        <w:rPr>
          <w:rFonts w:ascii="宋体" w:eastAsia="黑体"/>
          <w:b w:val="0"/>
          <w:sz w:val="44"/>
          <w:szCs w:val="44"/>
        </w:rPr>
        <w:t>促进中心</w:t>
      </w:r>
      <w:r>
        <w:rPr>
          <w:rFonts w:ascii="黑体" w:eastAsia="黑体"/>
          <w:b w:val="0"/>
          <w:sz w:val="44"/>
          <w:szCs w:val="44"/>
        </w:rPr>
        <w:t>2025年度部门决算公开说明</w:t>
      </w:r>
    </w:p>
    <w:p w14:paraId="3344BCFA">
      <w:pPr>
        <w:widowControl/>
      </w:pPr>
      <w:r>
        <w:rPr>
          <w:b w:val="0"/>
          <w:sz w:val="0"/>
          <w:szCs w:val="0"/>
        </w:rPr>
        <w:br w:type="page"/>
      </w:r>
    </w:p>
    <w:p w14:paraId="7A2448B1">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304A418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4CEC09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52E5ED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4E7F70D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D0846B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605441C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DD4ED1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75F7678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B4558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61921F1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1D8B392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10C906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62C55AF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2AD1E2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1F44632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946465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9AA9B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75B575B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7AA40E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64F881C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4A7EA16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2195D8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30E79DF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1A590AC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CA5B3F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4F24850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D0BE3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302672A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A138EE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2735D4F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518F13E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7F1FB7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6EC7B45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233ED4B1">
      <w:pPr>
        <w:widowControl/>
      </w:pPr>
      <w:r>
        <w:rPr>
          <w:b w:val="0"/>
          <w:sz w:val="0"/>
          <w:szCs w:val="0"/>
        </w:rPr>
        <w:br w:type="page"/>
      </w:r>
    </w:p>
    <w:p w14:paraId="02E60B1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487BEE6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E0708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承担工业和信息化领域碳达峰碳中和、节能降碳、绿色发展等相关法规、政策、规划及管理制度的分析研究、评估和宣传交流工作；推广工业和信息化领域节能环保新产品、新装备、新技术的应用。</w:t>
      </w:r>
    </w:p>
    <w:p w14:paraId="5C06AD6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4BBCA5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新疆维吾尔自治区工业绿色低碳发展促进中心无下属预算单位。</w:t>
      </w:r>
    </w:p>
    <w:p w14:paraId="1457A1DF">
      <w:pPr>
        <w:widowControl/>
      </w:pPr>
      <w:r>
        <w:rPr>
          <w:b w:val="0"/>
          <w:sz w:val="0"/>
          <w:szCs w:val="0"/>
        </w:rPr>
        <w:br w:type="page"/>
      </w:r>
    </w:p>
    <w:p w14:paraId="7AA60B9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4E5C9D0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00D6A28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2025年度收入总计216.79万元，其中：本年收入合计167.56万元，使用非财政拨款结余（含专用结余）0.00万元，年初结转和结余49.23万元。</w:t>
      </w:r>
    </w:p>
    <w:p w14:paraId="7B283D1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2025年度支出总计216.79万元，其中：本年支出合计186.01万元，结余分配0.00万元，年末结转和结余30.78万元。</w:t>
      </w:r>
    </w:p>
    <w:p w14:paraId="684DDA9F">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收入支出总体与上年相比，减少151.15万元，下降41.08%，主要原因是：1.</w:t>
      </w:r>
      <w:r>
        <w:rPr>
          <w:rFonts w:hint="eastAsia" w:ascii="仿宋_GB2312" w:eastAsia="仿宋_GB2312"/>
          <w:b w:val="0"/>
          <w:sz w:val="32"/>
          <w:szCs w:val="32"/>
          <w:lang w:val="en-US" w:eastAsia="zh-CN"/>
        </w:rPr>
        <w:t>基本支出减少72.72万元。</w:t>
      </w:r>
      <w:r>
        <w:rPr>
          <w:rFonts w:ascii="仿宋_GB2312" w:eastAsia="仿宋_GB2312"/>
          <w:b w:val="0"/>
          <w:sz w:val="32"/>
          <w:szCs w:val="32"/>
        </w:rPr>
        <w:t>在2024年底完成的机构改革中，自治区工信厅设立自治区工业绿色低碳发展促进中心并承接同时撤销的自治区节能监察总队受托开展的节能监察职能，因绿碳中心为一类事业单位，而节能监察总队为参公事业单位，原节能监察总队人员出现较多分流，在职人员相较上年减少，导致人员经费</w:t>
      </w:r>
      <w:r>
        <w:rPr>
          <w:rFonts w:hint="eastAsia" w:ascii="仿宋_GB2312" w:eastAsia="仿宋_GB2312"/>
          <w:b w:val="0"/>
          <w:sz w:val="32"/>
          <w:szCs w:val="32"/>
          <w:lang w:val="en-US" w:eastAsia="zh-CN"/>
        </w:rPr>
        <w:t>较上年减少68.18万元</w:t>
      </w:r>
      <w:r>
        <w:rPr>
          <w:rFonts w:ascii="仿宋_GB2312" w:eastAsia="仿宋_GB2312"/>
          <w:b w:val="0"/>
          <w:sz w:val="32"/>
          <w:szCs w:val="32"/>
        </w:rPr>
        <w:t>、公用经费</w:t>
      </w:r>
      <w:r>
        <w:rPr>
          <w:rFonts w:hint="eastAsia" w:ascii="仿宋_GB2312" w:eastAsia="仿宋_GB2312"/>
          <w:b w:val="0"/>
          <w:sz w:val="32"/>
          <w:szCs w:val="32"/>
          <w:lang w:val="en-US"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4.54万元</w:t>
      </w:r>
      <w:r>
        <w:rPr>
          <w:rFonts w:ascii="仿宋_GB2312" w:eastAsia="仿宋_GB2312"/>
          <w:b w:val="0"/>
          <w:sz w:val="32"/>
          <w:szCs w:val="32"/>
        </w:rPr>
        <w:t>；2.</w:t>
      </w:r>
      <w:r>
        <w:rPr>
          <w:rFonts w:hint="eastAsia" w:ascii="仿宋_GB2312" w:eastAsia="仿宋_GB2312"/>
          <w:b w:val="0"/>
          <w:sz w:val="32"/>
          <w:szCs w:val="32"/>
          <w:lang w:val="en-US" w:eastAsia="zh-CN"/>
        </w:rPr>
        <w:t>项目支出减少59.98万元。</w:t>
      </w:r>
      <w:r>
        <w:rPr>
          <w:rFonts w:ascii="仿宋_GB2312" w:eastAsia="仿宋_GB2312"/>
          <w:b w:val="0"/>
          <w:sz w:val="32"/>
          <w:szCs w:val="32"/>
        </w:rPr>
        <w:t>自治区工业节能减排专项资金项目资金</w:t>
      </w:r>
      <w:r>
        <w:rPr>
          <w:rFonts w:hint="eastAsia" w:ascii="仿宋_GB2312" w:eastAsia="仿宋_GB2312"/>
          <w:b w:val="0"/>
          <w:sz w:val="32"/>
          <w:szCs w:val="32"/>
          <w:lang w:val="en-US" w:eastAsia="zh-CN"/>
        </w:rPr>
        <w:t>支出</w:t>
      </w:r>
      <w:r>
        <w:rPr>
          <w:rFonts w:ascii="仿宋_GB2312" w:eastAsia="仿宋_GB2312"/>
          <w:b w:val="0"/>
          <w:sz w:val="32"/>
          <w:szCs w:val="32"/>
        </w:rPr>
        <w:t>由70.00万元调整至</w:t>
      </w:r>
      <w:r>
        <w:rPr>
          <w:rFonts w:hint="eastAsia" w:ascii="仿宋_GB2312" w:eastAsia="仿宋_GB2312"/>
          <w:b w:val="0"/>
          <w:sz w:val="32"/>
          <w:szCs w:val="32"/>
          <w:lang w:val="en-US" w:eastAsia="zh-CN"/>
        </w:rPr>
        <w:t>29.97</w:t>
      </w:r>
      <w:r>
        <w:rPr>
          <w:rFonts w:ascii="仿宋_GB2312" w:eastAsia="仿宋_GB2312"/>
          <w:b w:val="0"/>
          <w:sz w:val="32"/>
          <w:szCs w:val="32"/>
        </w:rPr>
        <w:t>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较上年减少40.03万元；</w:t>
      </w:r>
      <w:r>
        <w:rPr>
          <w:rFonts w:ascii="仿宋_GB2312" w:eastAsia="仿宋_GB2312"/>
          <w:b w:val="0"/>
          <w:sz w:val="32"/>
          <w:szCs w:val="32"/>
        </w:rPr>
        <w:t>调减国家重大工业节能专项监察项目40.00万元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 xml:space="preserve">较上年减少26.02万元；全国工业节能监察业务培训项目较上年增加9.48万元；调减节能监察技术规范和工作手册研究课题项目，较上年减少3.41万元；3.年末结转和结余较上年减少18.45万元。                        </w:t>
      </w:r>
    </w:p>
    <w:p w14:paraId="63DF40F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0B7B63F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本年收入167.56万元，其中：财政拨款收入167.53万元,占99.98%；上级补助收入0.00万元,占0.00%；事业收入0.00万元，占0.00%；经营收入0.00万元,占0.00%；附属单位上缴收入0.00万元，占0.00%；其他收入0.03万元，占0.02%。</w:t>
      </w:r>
    </w:p>
    <w:p w14:paraId="4283AE9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2781AB5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本年支出186.01万元，其中：基本支出137.56万元，占73.95%；项目支出48.45万元，占26.05%；上缴上级支出0.00万元，占0.00%；经营支出0.00万元，占0.00%；对附属单位补助支出0.00万元，占0.00%。</w:t>
      </w:r>
    </w:p>
    <w:p w14:paraId="1880363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77EE6CA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2025年度财政拨款收入总计167.53万元，其中：年初财政拨款结转和结余0.00万元，本年财政拨款收入167.53万元。财政拨款支出总计167.53万元，其中：年末财政拨款结转和结余0.00万元，本年财政拨款支出167.53万元。</w:t>
      </w:r>
    </w:p>
    <w:p w14:paraId="07958A4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112.76万元，下降40.23%，主要原因是：1.在2024年底完成的机构改革中，自治区工信厅设立自治区工业绿色低碳发展促进中心并承接同时撤销的自治区节能监察总队受托开展的节能监察职能，因绿碳中心为一类事业单位，而节能监察总队为参公事业单位，原节能监察总队人员出现较多分流，在职人员相较上年减少，导致人员经费</w:t>
      </w:r>
      <w:r>
        <w:rPr>
          <w:rFonts w:hint="eastAsia" w:ascii="仿宋_GB2312" w:eastAsia="仿宋_GB2312"/>
          <w:b w:val="0"/>
          <w:sz w:val="32"/>
          <w:szCs w:val="32"/>
          <w:lang w:val="en-US" w:eastAsia="zh-CN"/>
        </w:rPr>
        <w:t>较上年减少68.18万元</w:t>
      </w:r>
      <w:r>
        <w:rPr>
          <w:rFonts w:ascii="仿宋_GB2312" w:eastAsia="仿宋_GB2312"/>
          <w:b w:val="0"/>
          <w:sz w:val="32"/>
          <w:szCs w:val="32"/>
        </w:rPr>
        <w:t>、公用经费</w:t>
      </w:r>
      <w:r>
        <w:rPr>
          <w:rFonts w:hint="eastAsia" w:ascii="仿宋_GB2312" w:eastAsia="仿宋_GB2312"/>
          <w:b w:val="0"/>
          <w:sz w:val="32"/>
          <w:szCs w:val="32"/>
          <w:lang w:val="en-US"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4.54万元</w:t>
      </w:r>
      <w:r>
        <w:rPr>
          <w:rFonts w:ascii="仿宋_GB2312" w:eastAsia="仿宋_GB2312"/>
          <w:b w:val="0"/>
          <w:sz w:val="32"/>
          <w:szCs w:val="32"/>
        </w:rPr>
        <w:t>；2.自治区工业节能减排专项资金项目资金</w:t>
      </w:r>
      <w:r>
        <w:rPr>
          <w:rFonts w:hint="eastAsia" w:ascii="仿宋_GB2312" w:eastAsia="仿宋_GB2312"/>
          <w:b w:val="0"/>
          <w:sz w:val="32"/>
          <w:szCs w:val="32"/>
          <w:lang w:val="en-US" w:eastAsia="zh-CN"/>
        </w:rPr>
        <w:t>支出</w:t>
      </w:r>
      <w:r>
        <w:rPr>
          <w:rFonts w:ascii="仿宋_GB2312" w:eastAsia="仿宋_GB2312"/>
          <w:b w:val="0"/>
          <w:sz w:val="32"/>
          <w:szCs w:val="32"/>
        </w:rPr>
        <w:t>由70.00万元调整至</w:t>
      </w:r>
      <w:r>
        <w:rPr>
          <w:rFonts w:hint="eastAsia" w:ascii="仿宋_GB2312" w:eastAsia="仿宋_GB2312"/>
          <w:b w:val="0"/>
          <w:sz w:val="32"/>
          <w:szCs w:val="32"/>
          <w:lang w:val="en-US" w:eastAsia="zh-CN"/>
        </w:rPr>
        <w:t>29.97</w:t>
      </w:r>
      <w:r>
        <w:rPr>
          <w:rFonts w:ascii="仿宋_GB2312" w:eastAsia="仿宋_GB2312"/>
          <w:b w:val="0"/>
          <w:sz w:val="32"/>
          <w:szCs w:val="32"/>
        </w:rPr>
        <w:t>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较上年减少40.03万元</w:t>
      </w:r>
      <w:r>
        <w:rPr>
          <w:rFonts w:ascii="仿宋_GB2312" w:eastAsia="仿宋_GB2312"/>
          <w:b w:val="0"/>
          <w:sz w:val="32"/>
          <w:szCs w:val="32"/>
        </w:rPr>
        <w:t>。与年初预算相比，年初预算数136.43万元，决算数167.53万元，预决算差异率22.80%，主要原因是：2025年新招录在职人员3名，该差异为追加新招录人员各项经费。</w:t>
      </w:r>
    </w:p>
    <w:p w14:paraId="30CFC06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4274458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办公费、差旅费、“三公”经费等重点支出，体现在有关支出科目中。</w:t>
      </w:r>
    </w:p>
    <w:p w14:paraId="53222C8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按照支出功能分类，资源勘探工业信息等支出（类）工业和信息产业（款）事业运行（项）的支出占本年财政拨款支出总额的比重最高，2025年度决算数为95.21万元，占比56.83%，主要用于2025年在职人员经费支出。</w:t>
      </w:r>
    </w:p>
    <w:p w14:paraId="68C897EC">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2999AD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167.53万元，占本年支出合计的90.07%。与上年相比，减少112.76万元，下降40.23%，主要原因是：1.在2024年底完成的机构改革中，自治区工信厅设立自治区工业绿色低碳发展促进中心并承接同时撤销的自治区节能监察总队受托开展的节能监察职能，因绿碳中心为一类事业单位，而节能监察总队为参公事业单位，原节能监察总队人员出现较多分流，在职人员相较上年减少，导致人员经费</w:t>
      </w:r>
      <w:r>
        <w:rPr>
          <w:rFonts w:hint="eastAsia" w:ascii="仿宋_GB2312" w:eastAsia="仿宋_GB2312"/>
          <w:b w:val="0"/>
          <w:sz w:val="32"/>
          <w:szCs w:val="32"/>
          <w:lang w:val="en-US" w:eastAsia="zh-CN"/>
        </w:rPr>
        <w:t>较上年减少68.18万元</w:t>
      </w:r>
      <w:r>
        <w:rPr>
          <w:rFonts w:ascii="仿宋_GB2312" w:eastAsia="仿宋_GB2312"/>
          <w:b w:val="0"/>
          <w:sz w:val="32"/>
          <w:szCs w:val="32"/>
        </w:rPr>
        <w:t>、公用经费</w:t>
      </w:r>
      <w:r>
        <w:rPr>
          <w:rFonts w:hint="eastAsia" w:ascii="仿宋_GB2312" w:eastAsia="仿宋_GB2312"/>
          <w:b w:val="0"/>
          <w:sz w:val="32"/>
          <w:szCs w:val="32"/>
          <w:lang w:val="en-US"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4.54万元</w:t>
      </w:r>
      <w:r>
        <w:rPr>
          <w:rFonts w:ascii="仿宋_GB2312" w:eastAsia="仿宋_GB2312"/>
          <w:b w:val="0"/>
          <w:sz w:val="32"/>
          <w:szCs w:val="32"/>
        </w:rPr>
        <w:t>；2.自治区工业节能减排专项资金项目资金</w:t>
      </w:r>
      <w:r>
        <w:rPr>
          <w:rFonts w:hint="eastAsia" w:ascii="仿宋_GB2312" w:eastAsia="仿宋_GB2312"/>
          <w:b w:val="0"/>
          <w:sz w:val="32"/>
          <w:szCs w:val="32"/>
          <w:lang w:val="en-US" w:eastAsia="zh-CN"/>
        </w:rPr>
        <w:t>支出</w:t>
      </w:r>
      <w:r>
        <w:rPr>
          <w:rFonts w:ascii="仿宋_GB2312" w:eastAsia="仿宋_GB2312"/>
          <w:b w:val="0"/>
          <w:sz w:val="32"/>
          <w:szCs w:val="32"/>
        </w:rPr>
        <w:t>由70.00万元调整至</w:t>
      </w:r>
      <w:r>
        <w:rPr>
          <w:rFonts w:hint="eastAsia" w:ascii="仿宋_GB2312" w:eastAsia="仿宋_GB2312"/>
          <w:b w:val="0"/>
          <w:sz w:val="32"/>
          <w:szCs w:val="32"/>
          <w:lang w:val="en-US" w:eastAsia="zh-CN"/>
        </w:rPr>
        <w:t>29.97</w:t>
      </w:r>
      <w:r>
        <w:rPr>
          <w:rFonts w:ascii="仿宋_GB2312" w:eastAsia="仿宋_GB2312"/>
          <w:b w:val="0"/>
          <w:sz w:val="32"/>
          <w:szCs w:val="32"/>
        </w:rPr>
        <w:t>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较上年减少40.03万元</w:t>
      </w:r>
      <w:r>
        <w:rPr>
          <w:rFonts w:ascii="仿宋_GB2312" w:eastAsia="仿宋_GB2312"/>
          <w:b w:val="0"/>
          <w:sz w:val="32"/>
          <w:szCs w:val="32"/>
        </w:rPr>
        <w:t>。与年初预算相比，年初预算数136.43万元，决算数167.53万元，预决算差异率22.80%，主要原因是：2025年新招录在职人员3名，该差异为追加新招录人员各项经费。</w:t>
      </w:r>
    </w:p>
    <w:p w14:paraId="178DAFD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01A220C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1.社会保障和就业支出（类）19.48万元，占11.63%。</w:t>
      </w:r>
    </w:p>
    <w:p w14:paraId="27AD9F5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2.卫生健康支出（类）13.15万元，占7.85%。</w:t>
      </w:r>
    </w:p>
    <w:p w14:paraId="4D924C8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3.节能环保支出（类）29.97万元，占17.89%。</w:t>
      </w:r>
    </w:p>
    <w:p w14:paraId="480C8B3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4.资源勘探工业信息等支出（类）95.21万元，占56.83%。</w:t>
      </w:r>
    </w:p>
    <w:p w14:paraId="5EC8F4C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5.住房保障支出（类）9.72万元，占5.80%。</w:t>
      </w:r>
    </w:p>
    <w:p w14:paraId="2CF7F27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5EA76B3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行政单位离退休（项）：支出决算数为0.00万元，比上年决算减少18.05万元，下降100.00%，主要原因是：2024年我单位性质由参公转为事业，退休人员隶属关系划转至工信厅相关处室，导致2025年行政单位离退休经费减少。</w:t>
      </w:r>
    </w:p>
    <w:p w14:paraId="685F53C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12.71万元，比上年决算减少0.56万元，下降4.22%，主要原因是：在职人员相较上年减少，导致机关事业单位基本养老保险缴费支出减少。</w:t>
      </w:r>
    </w:p>
    <w:p w14:paraId="0CCCF39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6.78万元，比上年决算减少6.73万元，下降49.81%，主要原因是：2024年我单位在职转退休1人，2025年我单位无此类情况，导致机关事业单位职业年金缴费支出减少。</w:t>
      </w:r>
    </w:p>
    <w:p w14:paraId="1011138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抚恤（款）死亡抚恤（项）：支出决算数为0.00万元，比上年决算减少25.76万元，下降100.00%，主要原因是：2024年我单位在职人员离世1人，2025年我单位无此类情况，导致死亡抚恤缴费支出减少。</w:t>
      </w:r>
    </w:p>
    <w:p w14:paraId="6BC8738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行政单位医疗（项）：支出决算数为0.00万元，比上年决算减少7.10万元，下降100.00%，主要原因是：2024年我单位性质由参公转为事业，行政单位医疗科目调整至事业单位医疗科目，导致行政单位医疗支出减少。</w:t>
      </w:r>
    </w:p>
    <w:p w14:paraId="773972E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事业单位医疗（项）：支出决算数为7.64万元，比上年决算增加7.64万元，增长100.00%，主要原因是：2024年我单位性质由参公转为事业，行政单位医疗科目调整至事业单位医疗科目，导致事业单位医疗支出增加。</w:t>
      </w:r>
    </w:p>
    <w:p w14:paraId="38188A6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7、卫生健康支出（类）行政事业单位医疗（款）公务员医疗补助（项）：支出决算数为5.51万元，比上年决算减少0.48万元，下降8.01%，主要原因是：在职人员相较上年减少，导致公务员医疗补助较上年减少。</w:t>
      </w:r>
    </w:p>
    <w:p w14:paraId="2DEA7841">
      <w:pPr>
        <w:widowControl/>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rPr>
        <w:t>8、节能环保支出（类）环境保护管理事务（款）行政运行（项）：支出决算数为0.00万元，比上年决算减少116.03万元，下降100.00%，主要原因是：</w:t>
      </w:r>
      <w:r>
        <w:rPr>
          <w:rFonts w:hint="eastAsia" w:ascii="仿宋_GB2312" w:eastAsia="仿宋_GB2312"/>
          <w:b w:val="0"/>
          <w:sz w:val="32"/>
          <w:szCs w:val="32"/>
        </w:rPr>
        <w:t>因机构改革，设立自治区工业绿色低碳发展促进中心，支出相应增加</w:t>
      </w:r>
      <w:r>
        <w:rPr>
          <w:rFonts w:hint="eastAsia" w:ascii="仿宋_GB2312" w:eastAsia="仿宋_GB2312"/>
          <w:b w:val="0"/>
          <w:sz w:val="32"/>
          <w:szCs w:val="32"/>
          <w:lang w:eastAsia="zh-CN"/>
        </w:rPr>
        <w:t>。</w:t>
      </w:r>
    </w:p>
    <w:p w14:paraId="791F0DF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9、节能环保支出（类）能源节约利用（款）能源节约利用（项）：支出决算数为29.97万元，比上年决算减少40.03万元，下降57.19%，主要原因是：调减国家重大工业节能专项监察项目40万元。</w:t>
      </w:r>
    </w:p>
    <w:p w14:paraId="275EC2A9">
      <w:pPr>
        <w:widowControl/>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10、资源勘探工业信息等支出（类）工业和信息产业（款）事业运行（项）：支出决算数为95.21万元，比上年决算增加95.21万元，增长100.00%，主要原因是：</w:t>
      </w:r>
      <w:r>
        <w:rPr>
          <w:rFonts w:hint="eastAsia" w:ascii="仿宋_GB2312" w:eastAsia="仿宋_GB2312"/>
          <w:b w:val="0"/>
          <w:sz w:val="32"/>
          <w:szCs w:val="32"/>
        </w:rPr>
        <w:t>因机构改革，设立自治区工业绿色低碳发展促进中心，支出相应增加</w:t>
      </w:r>
      <w:r>
        <w:rPr>
          <w:rFonts w:hint="eastAsia" w:ascii="仿宋_GB2312" w:eastAsia="仿宋_GB2312"/>
          <w:b w:val="0"/>
          <w:sz w:val="32"/>
          <w:szCs w:val="32"/>
          <w:lang w:eastAsia="zh-CN"/>
        </w:rPr>
        <w:t>。</w:t>
      </w:r>
      <w:r>
        <w:rPr>
          <w:rFonts w:hint="eastAsia" w:ascii="仿宋_GB2312" w:eastAsia="仿宋_GB2312"/>
          <w:b w:val="0"/>
          <w:sz w:val="32"/>
          <w:szCs w:val="32"/>
          <w:lang w:eastAsia="zh-CN"/>
        </w:rPr>
        <w:br w:type="textWrapping"/>
      </w:r>
    </w:p>
    <w:p w14:paraId="26429AC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11、住房保障支出（类）住房改革支出（款）住房公积金（项）：支出决算数为9.72万元，比上年决算减少0.85万元，下降8.04%，主要原因是：在职人员相较上年减少，导致住房公积金较上年减少。</w:t>
      </w:r>
    </w:p>
    <w:p w14:paraId="17F6FFA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25426C8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137.56万元，其中：人员经费129.56万元，包括：基本工资、津贴补贴、奖金、绩效工资、机关事业单位基本养老保险缴费、职业年金缴费、职工基本医疗保险缴费、公务员医疗补助缴费、其他社会保障缴费、住房公积金和其他工资福利支出。</w:t>
      </w:r>
    </w:p>
    <w:p w14:paraId="4EF41D9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公用经费8.00万元，包括：办公费、差旅费、工会经费、福利费、公务用车运行维护费和其他商品和服务支出。</w:t>
      </w:r>
    </w:p>
    <w:p w14:paraId="2483C7A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034AA8F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35C5998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ECA65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D24306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085865C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1.80万元，比上年增加0.20万元，增长12.50%，主要原因是：因机构改革，公务用车运行维护费调增。其中：因公出国（境）费用支出0.00万元,占0.00%，与上年相比无变化，主要原因是：我单位无因公出国（境）费；公务用车购置及运行维护费支出1.80万元，占100.00%，比上年增加0.20万元，增长12.50%，主要原因是：因机构改革，公务用车运行维护费调增；公务接待费支出0.00万元，占0.00%，与上年相比无变化，主要原因是：我单位无公务接待费。</w:t>
      </w:r>
    </w:p>
    <w:p w14:paraId="2C077EA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0D22CDF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w:t>
      </w:r>
      <w:r>
        <w:rPr>
          <w:rFonts w:hint="eastAsia" w:ascii="仿宋_GB2312" w:eastAsia="仿宋_GB2312"/>
          <w:b w:val="0"/>
          <w:sz w:val="32"/>
          <w:szCs w:val="32"/>
          <w:lang w:val="en-US" w:eastAsia="zh-CN"/>
        </w:rPr>
        <w:t>包括：</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0DE487E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1.80万元，其中：公务用车购置费0.00万元，公务用车运行维护费1.80万元。公务用车运行维护费开支内容包括车辆保险、停车过路费、车辆加油、车辆维修等费用。公务用车购置数0辆，公务用车保有量2辆。国有资产占用情况中固定资产车辆2辆，与公务用车保有量差异原因是：无差异。</w:t>
      </w:r>
    </w:p>
    <w:p w14:paraId="104AD3F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本年度未发生</w:t>
      </w:r>
      <w:bookmarkStart w:id="0" w:name="_GoBack"/>
      <w:bookmarkEnd w:id="0"/>
      <w:r>
        <w:rPr>
          <w:rFonts w:ascii="仿宋_GB2312" w:eastAsia="仿宋_GB2312"/>
          <w:b w:val="0"/>
          <w:sz w:val="32"/>
          <w:szCs w:val="32"/>
        </w:rPr>
        <w:t>公务接待</w:t>
      </w:r>
      <w:r>
        <w:rPr>
          <w:rFonts w:hint="eastAsia" w:ascii="仿宋_GB2312" w:eastAsia="仿宋_GB2312"/>
          <w:b w:val="0"/>
          <w:sz w:val="32"/>
          <w:szCs w:val="32"/>
          <w:lang w:val="en-US" w:eastAsia="zh-CN"/>
        </w:rPr>
        <w:t>相关支出</w:t>
      </w:r>
      <w:r>
        <w:rPr>
          <w:rFonts w:ascii="仿宋_GB2312" w:eastAsia="仿宋_GB2312"/>
          <w:b w:val="0"/>
          <w:sz w:val="32"/>
          <w:szCs w:val="32"/>
        </w:rPr>
        <w:t>。单位全年安排的国内公务接待0批次，0人次。</w:t>
      </w:r>
    </w:p>
    <w:p w14:paraId="2866F9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与全年预算相比，财政拨款“三公”经费支出全年预算数1.80万元，决算数1.80万元，预决算差异率0.00%，主要原因是：严格执行中央八项规定及</w:t>
      </w:r>
      <w:r>
        <w:rPr>
          <w:rFonts w:hint="eastAsia" w:ascii="仿宋_GB2312" w:eastAsia="仿宋_GB2312"/>
          <w:b w:val="0"/>
          <w:sz w:val="32"/>
          <w:szCs w:val="32"/>
          <w:lang w:val="en-US" w:eastAsia="zh-CN"/>
        </w:rPr>
        <w:t>其</w:t>
      </w:r>
      <w:r>
        <w:rPr>
          <w:rFonts w:ascii="仿宋_GB2312" w:eastAsia="仿宋_GB2312"/>
          <w:b w:val="0"/>
          <w:sz w:val="32"/>
          <w:szCs w:val="32"/>
        </w:rPr>
        <w:t>实施细则，做到“三公”经费无预算不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1.80万元，决算数1.80万元，预决算差异率0.00%，主要原因是：严格执行公务用车管理制度，合理控制公务用车运行费用；公务接待费全年预算数0.00万元，决算数0.00万元，预决算差异率0.00%，主要原因是：我单位无公务接待费。</w:t>
      </w:r>
    </w:p>
    <w:p w14:paraId="19C20FE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02D1470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D781B3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2025年度新疆维吾尔自治区工业绿色低碳发展促进中心（事业单位）公用经费支出8.00万元，增长100%，主要原因是：2024年我单位性质由参公转为事业，行政运行科目调整至事业运行科目，导致公用经费支出增加。</w:t>
      </w:r>
    </w:p>
    <w:p w14:paraId="64064A2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494AE58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2025年度政府采购支出总额1.96万元，其中：政府采购货物支出0.00万元、政府采购工程支出0.00万元、政府采购服务支出1.96万元。</w:t>
      </w:r>
    </w:p>
    <w:p w14:paraId="01847FA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授予中小企业合同金额1.96万元，占政府采购支出总额的100.00%，其中：授予小微企业合同金额1.96万元，占政府采购支出总额的100.00%。</w:t>
      </w:r>
    </w:p>
    <w:p w14:paraId="6BF2EBB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760260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2辆，价值57.97万元，其中：副部（省）级及以上领导用车0辆、主要负责人用车0辆、机要通信用车0辆、应急保障用车0辆、执法执勤用车0辆、特种专业技术用车0辆、离退休干部服务用车0辆、其他用车2辆，其他用车主要是：一般公务用车及其他车辆万利特面包车，万利特面包车已不能正常使用，待报废;单价100万元（含）以上设备（不含车辆）0台（套）。</w:t>
      </w:r>
    </w:p>
    <w:p w14:paraId="1A65C3B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3CF6F3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管理预算绩效评价项目2个，全年预算数18.48万元，全年执行数18.48万元。预算绩效管理取得的成效：一是严格执行《工信厅全面预算绩效管理办法》，日常对项目资金加快预算执行，确保绩效监控和绩效评价执行率，规范各项预算执行活动,确保预算执行的准确性和规范性,发挥财政资金的最大效用,取得了良好的绩效成果；二是各项工作实施及资金使用情况均在绩效目标设定时限完成，项目经费的使用上，在保证各项任务顺利完成的同时，严格落实厉行节约的原则；三是突出做好项目保障工作，确保项目质量和效益，助力经济高质量发展，维护社会稳定和长治久安。发现的问题及原因：一是预算绩效观念有待提高，部分科室对预算绩效管理工作重视程度不足，对预算绩效管理工作对意义、框架、思路、操作规程认识不深入，申报绩效目标不够明确，设计的评价指标体系有待进一步严谨；二是评价指标体系不够完善，实际操作有难度，没有针对性较强的个性评价指标体系可供预算部门及单位借鉴。下一步改进措施：一是完善预算绩效管理基础工作，进一步完善预算绩效管理各项制度，不断提升预算绩效管理的规范性；二是推进预算绩效管理专业化，引入第三方评价机制，健全预算单位和受托第三方评价机构各司其职、密切配合、相互补充的工作格局，不断发挥出评价结果对提升预算绩效管理专业化的促进作用。三是加强业务培训，提高业务水平和能力，培养一批专业人才队伍。具体附整体支出绩效自评表、项目支出绩效自评表及项目支出绩效评价报告。</w:t>
      </w:r>
    </w:p>
    <w:p w14:paraId="7EF2C388">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5CB49F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694D519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142985F">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24AB8DD3">
      <w:pPr>
        <w:widowControl/>
      </w:pPr>
      <w:r>
        <w:rPr>
          <w:b w:val="0"/>
          <w:sz w:val="0"/>
          <w:szCs w:val="0"/>
        </w:rPr>
        <w:br w:type="page"/>
      </w:r>
    </w:p>
    <w:p w14:paraId="08138AC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6477882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23D57C6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F90DE8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36FF208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2985D3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49F325A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719055D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31EDBA4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6FCA351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599F6E6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06B1258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0E60CB5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6FCD3B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4989FCA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7058A596">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6B82338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9E52AC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5318FBFF">
      <w:pPr>
        <w:widowControl/>
      </w:pPr>
      <w:r>
        <w:rPr>
          <w:b w:val="0"/>
          <w:sz w:val="0"/>
          <w:szCs w:val="0"/>
        </w:rPr>
        <w:br w:type="page"/>
      </w:r>
    </w:p>
    <w:p w14:paraId="209786F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0CB3DB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5FC388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5940CE0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3D5939A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02942FA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7CB8E4A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BE2041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BF5A89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D66D37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F3F48"/>
    <w:rsid w:val="026E77D4"/>
    <w:rsid w:val="09C3084B"/>
    <w:rsid w:val="186D3851"/>
    <w:rsid w:val="1A65341E"/>
    <w:rsid w:val="22196184"/>
    <w:rsid w:val="27FC00B4"/>
    <w:rsid w:val="2CB16231"/>
    <w:rsid w:val="436215D3"/>
    <w:rsid w:val="47E349BA"/>
    <w:rsid w:val="523E4376"/>
    <w:rsid w:val="57127F34"/>
    <w:rsid w:val="672D1C7D"/>
    <w:rsid w:val="6DFC1D81"/>
    <w:rsid w:val="72EC2688"/>
    <w:rsid w:val="74706716"/>
    <w:rsid w:val="75947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f814da46-27c5-4f42-8b08-b3806a91b559</errorID>
      <errorWord>,</errorWord>
      <group>L1_Format</group>
      <groupName>格式问题</groupName>
      <ability>L2_HalfPunc_CN</ability>
      <abilityName>全半角检查</abilityName>
      <candidateList>
        <item>，</item>
      </candidateList>
      <explain>文本全半角错误。</explain>
      <paraID> B7B63F3</paraID>
      <start>30</start>
      <end>31</end>
      <status>unmodified</status>
      <modifiedWord/>
      <trackRevisions>false</trackRevisions>
    </reviewItem>
    <reviewItem>
      <errorID>37fdd342-4a01-44ea-b731-6a086d6ba473</errorID>
      <errorWord>,</errorWord>
      <group>L1_Format</group>
      <groupName>格式问题</groupName>
      <ability>L2_HalfPunc_CN</ability>
      <abilityName>全半角检查</abilityName>
      <candidateList>
        <item>，</item>
      </candidateList>
      <explain>文本全半角错误。</explain>
      <paraID> B7B63F3</paraID>
      <start>51</start>
      <end>52</end>
      <status>unmodified</status>
      <modifiedWord/>
      <trackRevisions>false</trackRevisions>
    </reviewItem>
    <reviewItem>
      <errorID>3e77f217-9b5b-4455-9826-7840d7e80360</errorID>
      <errorWord>,</errorWord>
      <group>L1_Format</group>
      <groupName>格式问题</groupName>
      <ability>L2_HalfPunc_CN</ability>
      <abilityName>全半角检查</abilityName>
      <candidateList>
        <item>，</item>
      </candidateList>
      <explain>文本全半角错误。</explain>
      <paraID> B7B63F3</paraID>
      <start>87</start>
      <end>88</end>
      <status>unmodified</status>
      <modifiedWord/>
      <trackRevisions>false</trackRevisions>
    </reviewItem>
    <reviewItem>
      <errorID>b4a36d78-c742-4acc-af3a-b18126a7978f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5EA76B33</paraID>
      <start>0</start>
      <end>2</end>
      <status>unmodified</status>
      <modifiedWord/>
      <trackRevisions>false</trackRevisions>
    </reviewItem>
    <reviewItem>
      <errorID>1a71fe63-7ca2-4a4f-986d-fa84a4df9e9c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685F53C0</paraID>
      <start>0</start>
      <end>2</end>
      <status>unmodified</status>
      <modifiedWord/>
      <trackRevisions>false</trackRevisions>
    </reviewItem>
    <reviewItem>
      <errorID>5782fc2c-8c29-4d08-ace6-44f9d49885dd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CCCF39C</paraID>
      <start>0</start>
      <end>2</end>
      <status>unmodified</status>
      <modifiedWord/>
      <trackRevisions>false</trackRevisions>
    </reviewItem>
    <reviewItem>
      <errorID>859a92b8-0688-49da-84fa-1fa53337a91b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10111387</paraID>
      <start>0</start>
      <end>2</end>
      <status>unmodified</status>
      <modifiedWord/>
      <trackRevisions>false</trackRevisions>
    </reviewItem>
    <reviewItem>
      <errorID>ad07f4e7-b337-4dcb-b06b-84470f0072d2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6BC87388</paraID>
      <start>0</start>
      <end>2</end>
      <status>unmodified</status>
      <modifiedWord/>
      <trackRevisions>false</trackRevisions>
    </reviewItem>
    <reviewItem>
      <errorID>1e306529-f3bf-4e99-ad17-1170e6ef0114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773972E2</paraID>
      <start>0</start>
      <end>2</end>
      <status>unmodified</status>
      <modifiedWord/>
      <trackRevisions>false</trackRevisions>
    </reviewItem>
    <reviewItem>
      <errorID>1fc46517-189a-47f8-a1e7-401d75a15f40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38188A65</paraID>
      <start>0</start>
      <end>2</end>
      <status>unmodified</status>
      <modifiedWord/>
      <trackRevisions>false</trackRevisions>
    </reviewItem>
    <reviewItem>
      <errorID>d1755495-14ff-4b53-8caa-0c026818a547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149BC66F</paraID>
      <start>0</start>
      <end>2</end>
      <status>unmodified</status>
      <modifiedWord/>
      <trackRevisions>false</trackRevisions>
    </reviewItem>
    <reviewItem>
      <errorID>4d213bdf-78cb-4c70-9239-16cff341d21a</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791F0DF3</paraID>
      <start>0</start>
      <end>2</end>
      <status>unmodified</status>
      <modifiedWord/>
      <trackRevisions>false</trackRevisions>
    </reviewItem>
    <reviewItem>
      <errorID>01a08cbf-4acf-49e2-a64f-9339b933a8c1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275EC2A9</paraID>
      <start>0</start>
      <end>3</end>
      <status>unmodified</status>
      <modifiedWord/>
      <trackRevisions>false</trackRevisions>
    </reviewItem>
    <reviewItem>
      <errorID>51dd21ee-6029-4d4b-b2bc-0785cdbde151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26429ACA</paraID>
      <start>0</start>
      <end>3</end>
      <status>unmodified</status>
      <modifiedWord/>
      <trackRevisions>false</trackRevisions>
    </reviewItem>
    <reviewItem>
      <errorID>1912259d-8cbc-4eae-863a-53f312b066d8</errorID>
      <errorWord>,</errorWord>
      <group>L1_Format</group>
      <groupName>格式问题</groupName>
      <ability>L2_HalfPunc_CN</ability>
      <abilityName>全半角检查</abilityName>
      <candidateList>
        <item>，</item>
      </candidateList>
      <explain>文本全半角错误。</explain>
      <paraID> 85865C4</paraID>
      <start>90</start>
      <end>91</end>
      <status>unmodified</status>
      <modifiedWord/>
      <trackRevisions>false</trackRevisions>
    </reviewItem>
    <reviewItem>
      <errorID>85c6c09b-cfbc-4aff-880d-52e51897d69b</errorID>
      <errorWord>八项规定及实施细则</errorWord>
      <group>L1_Word</group>
      <groupName>字词问题</groupName>
      <ability>L2_Typo</ability>
      <abilityName>字词错误</abilityName>
      <candidateList>
        <item>八项规定及其实施细则</item>
      </candidateList>
      <explain/>
      <paraID>2866F9B7</paraID>
      <start>66</start>
      <end>75</end>
      <status>unmodified</status>
      <modifiedWord/>
      <trackRevisions>false</trackRevisions>
    </reviewItem>
    <reviewItem>
      <errorID>3b9809ac-6660-407f-b029-9c48a6cebf5a</errorID>
      <errorWord>;</errorWord>
      <group>L1_Format</group>
      <groupName>格式问题</groupName>
      <ability>L2_HalfPunc_CN</ability>
      <abilityName>全半角检查</abilityName>
      <candidateList>
        <item>；</item>
      </candidateList>
      <explain>文本全半角错误。</explain>
      <paraID>76026047</paraID>
      <start>177</start>
      <end>178</end>
      <status>unmodified</status>
      <modifiedWord/>
      <trackRevisions>false</trackRevisions>
    </reviewItem>
    <reviewItem>
      <errorID>4cdb3568-a78d-44a8-993b-cb50cad8d31a</errorID>
      <errorWord>,</errorWord>
      <group>L1_Format</group>
      <groupName>格式问题</groupName>
      <ability>L2_HalfPunc_CN</ability>
      <abilityName>全半角检查</abilityName>
      <candidateList>
        <item>，</item>
      </candidateList>
      <explain>文本全半角错误。</explain>
      <paraID> 3CF6F32</paraID>
      <start>180</start>
      <end>181</end>
      <status>unmodified</status>
      <modifiedWord/>
      <trackRevisions>false</trackRevisions>
    </reviewItem>
    <reviewItem>
      <errorID>9a3d5a15-1ef1-41cf-91c6-31b3412905fa</errorID>
      <errorWord>,</errorWord>
      <group>L1_Format</group>
      <groupName>格式问题</groupName>
      <ability>L2_HalfPunc_CN</ability>
      <abilityName>全半角检查</abilityName>
      <candidateList>
        <item>，</item>
      </candidateList>
      <explain>文本全半角错误。</explain>
      <paraID> 3CF6F32</paraID>
      <start>195</start>
      <end>196</end>
      <status>unmodified</status>
      <modifiedWord/>
      <trackRevisions>false</trackRevisions>
    </reviewItem>
    <reviewItem>
      <errorID>3b0f9fb7-90b0-4b68-96f1-e2f4ee025611</errorID>
      <errorWord>,</errorWord>
      <group>L1_Format</group>
      <groupName>格式问题</groupName>
      <ability>L2_HalfPunc_CN</ability>
      <abilityName>全半角检查</abilityName>
      <candidateList>
        <item>，</item>
      </candidateList>
      <explain>文本全半角错误。</explain>
      <paraID> 3CF6F32</paraID>
      <start>207</start>
      <end>208</end>
      <status>unmodified</status>
      <modifiedWord/>
      <trackRevisions>false</trackRevisions>
    </reviewItem>
    <reviewItem>
      <errorID>a317e6a7-e7c7-401e-91f8-53f0df92764a</errorID>
      <errorWord>，</errorWord>
      <group>L1_Word</group>
      <groupName>字词问题</groupName>
      <ability>L2_Typo</ability>
      <abilityName>字词错误</abilityName>
      <candidateList>
        <item>，在</item>
      </candidateList>
      <explain/>
      <paraID> 3CF6F32</paraID>
      <start>246</start>
      <end>247</end>
      <status>unmodified</status>
      <modifiedWord/>
      <trackRevisions>false</trackRevisions>
    </reviewItem>
    <reviewItem>
      <errorID>b9fc97ec-c377-477e-a323-71ae3666c9f2</errorID>
      <errorWord>对</errorWord>
      <group>L1_Word</group>
      <groupName>字词问题</groupName>
      <ability>L2_Typo</ability>
      <abilityName>字词错误</abilityName>
      <candidateList>
        <item>的</item>
      </candidateList>
      <explain/>
      <paraID> 3CF6F32</paraID>
      <start>379</start>
      <end>380</end>
      <status>unmodified</status>
      <modifiedWord/>
      <trackRevisions>false</trackRevisions>
    </reviewItem>
    <reviewItem>
      <errorID>889f5c72-79bd-47b2-978f-be8ee937002e</errorID>
      <errorWord>发挥出</errorWord>
      <group>L1_Word</group>
      <groupName>字词问题</groupName>
      <ability>L2_Typo</ability>
      <abilityName>字词错误</abilityName>
      <candidateList>
        <item>发挥</item>
      </candidateList>
      <explain/>
      <paraID> 3CF6F32</paraID>
      <start>592</start>
      <end>595</end>
      <status>unmodified</status>
      <modifiedWord/>
      <trackRevisions>false</trackRevisions>
    </reviewItem>
  </reviewItems>
  <config/>
</contractReview>
</file>

<file path=customXml/itemProps1.xml><?xml version="1.0" encoding="utf-8"?>
<ds:datastoreItem xmlns:ds="http://schemas.openxmlformats.org/officeDocument/2006/customXml" ds:itemID="{e02815b3-6e14-48a0-a527-5260b1bc7d86}">
  <ds:schemaRefs/>
</ds:datastoreItem>
</file>

<file path=docProps/app.xml><?xml version="1.0" encoding="utf-8"?>
<Properties xmlns="http://schemas.openxmlformats.org/officeDocument/2006/extended-properties" xmlns:vt="http://schemas.openxmlformats.org/officeDocument/2006/docPropsVTypes">
  <Pages>15</Pages>
  <Words>6844</Words>
  <Characters>7614</Characters>
  <TotalTime>60</TotalTime>
  <ScaleCrop>false</ScaleCrop>
  <LinksUpToDate>false</LinksUpToDate>
  <CharactersWithSpaces>7645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2026-08-26T08:24:00Z</dcterms:created>
  <dc:creator>Administrator</dc:creator>
  <cp:lastModifiedBy>久溺深海</cp:lastModifiedBy>
  <dcterms:modified xsi:type="dcterms:W3CDTF">2026-08-31T04:32:47Z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9F6EFA0677A24D529EFB2783A1B60494_13</vt:lpwstr>
  </property>
  <property fmtid="{D5CDD505-2E9C-101B-9397-08002B2CF9AE}" pid="4" name="KSOTemplateDocerSaveRecord">
    <vt:lpwstr>eyJoZGlkIjoiNmZkMjYyYzAxYjhmOGVmYjRhNDdiNWU4MjMwYTAyNjgiLCJ1c2VySWQiOiIyNTIzNDE3MTMifQ==</vt:lpwstr>
  </property>
</Properties>
</file>