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0161B9">
      <w:pPr>
        <w:widowControl/>
        <w:spacing w:before="0" w:beforeLines="0" w:beforeAutospacing="0" w:after="0" w:afterLines="0" w:afterAutospacing="0" w:line="240" w:lineRule="auto"/>
        <w:jc w:val="left"/>
        <w:rPr>
          <w:rFonts w:ascii="宋体" w:eastAsia="宋体"/>
          <w:sz w:val="32"/>
          <w:szCs w:val="32"/>
        </w:rPr>
      </w:pPr>
    </w:p>
    <w:p w14:paraId="2DF20D3A">
      <w:pPr>
        <w:widowControl/>
        <w:spacing w:before="0" w:beforeLines="0" w:beforeAutospacing="0" w:after="0" w:afterLines="0" w:afterAutospacing="0" w:line="240" w:lineRule="auto"/>
        <w:jc w:val="left"/>
        <w:rPr>
          <w:rFonts w:ascii="宋体" w:eastAsia="宋体"/>
          <w:sz w:val="44"/>
          <w:szCs w:val="44"/>
        </w:rPr>
      </w:pPr>
    </w:p>
    <w:p w14:paraId="0DF4C521">
      <w:pPr>
        <w:widowControl/>
        <w:spacing w:before="0" w:beforeLines="0" w:beforeAutospacing="0" w:after="0" w:afterLines="0" w:afterAutospacing="0" w:line="240" w:lineRule="auto"/>
        <w:jc w:val="left"/>
        <w:rPr>
          <w:rFonts w:ascii="宋体" w:eastAsia="宋体"/>
          <w:sz w:val="44"/>
          <w:szCs w:val="44"/>
        </w:rPr>
      </w:pPr>
    </w:p>
    <w:p w14:paraId="416CD48C">
      <w:pPr>
        <w:widowControl/>
        <w:spacing w:before="0" w:beforeLines="0" w:beforeAutospacing="0" w:after="0" w:afterLines="0" w:afterAutospacing="0" w:line="240" w:lineRule="auto"/>
        <w:jc w:val="left"/>
        <w:rPr>
          <w:rFonts w:ascii="宋体" w:eastAsia="宋体"/>
          <w:sz w:val="44"/>
          <w:szCs w:val="44"/>
        </w:rPr>
      </w:pPr>
    </w:p>
    <w:p w14:paraId="55ACB12C">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新疆维吾尔自治区卫星产业发展中心</w:t>
      </w:r>
    </w:p>
    <w:p w14:paraId="495E37E0">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14:paraId="6110B9D0">
      <w:pPr>
        <w:widowControl/>
      </w:pPr>
      <w:r>
        <w:rPr>
          <w:b w:val="0"/>
          <w:sz w:val="0"/>
          <w:szCs w:val="0"/>
        </w:rPr>
        <w:br w:type="page"/>
      </w:r>
    </w:p>
    <w:p w14:paraId="14885190">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14:paraId="212231C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14:paraId="4DEBDA9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14:paraId="3A3A57A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14:paraId="75B2341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14:paraId="0312B30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14:paraId="7518DAB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14:paraId="298458E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14:paraId="2C230F9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14:paraId="4DA239C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14:paraId="088DF4A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14:paraId="66A43F5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14:paraId="52E688F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14:paraId="5071A53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14:paraId="03FCEB0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14:paraId="4216FC5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718D1A5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14:paraId="2967F8C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14:paraId="1B5EA9B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14:paraId="1CF807F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14:paraId="2089F69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14:paraId="64930D9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14:paraId="7C6D4D1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14:paraId="784E051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14:paraId="1B67317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14:paraId="19CEDB0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14:paraId="021C36C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14:paraId="03B0B99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14:paraId="5659DAB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14:paraId="141284A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14:paraId="5262022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14:paraId="10EB17B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14:paraId="4D81C50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14:paraId="4EE3C3A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14:paraId="2119846A">
      <w:pPr>
        <w:widowControl/>
      </w:pPr>
      <w:r>
        <w:rPr>
          <w:b w:val="0"/>
          <w:sz w:val="0"/>
          <w:szCs w:val="0"/>
        </w:rPr>
        <w:br w:type="page"/>
      </w:r>
    </w:p>
    <w:p w14:paraId="6407006C">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14:paraId="0537FAF9">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14:paraId="014A7B7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承担国防领域的卫星应用特殊任务和国防类科研项目；承担国家卫星综合应用新疆示范区工程建设和产业化应用工作；承担自治区工信厅信息系统设备的运营保障和安全防护等工作。</w:t>
      </w:r>
    </w:p>
    <w:p w14:paraId="73FFA207">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14:paraId="041D185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新疆维吾尔自治区卫星产业发展中心无下属预算单位。</w:t>
      </w:r>
    </w:p>
    <w:p w14:paraId="362EA790">
      <w:pPr>
        <w:widowControl/>
      </w:pPr>
      <w:r>
        <w:rPr>
          <w:b w:val="0"/>
          <w:sz w:val="0"/>
          <w:szCs w:val="0"/>
        </w:rPr>
        <w:br w:type="page"/>
      </w:r>
    </w:p>
    <w:p w14:paraId="348FD110">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14:paraId="21AF1379">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14:paraId="319305F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2025年度收入总计731.72万元，其中：本年收入合计561.50万元，使用非财政拨款结余（含专用结余）127.71万元，年初结转和结余42.51万元。</w:t>
      </w:r>
    </w:p>
    <w:p w14:paraId="5A5563B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2025年度支出总计731.72万元，其中：本年支出合计689.09万元，结余分配0.11万元，年末结转和结余42.51万元。</w:t>
      </w:r>
    </w:p>
    <w:p w14:paraId="4DC7A2E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441.23万元，增长151.89%，主要原因是：一是根据《自治区党委编委关于印发〈新疆维吾尔自治区工业和信息化厅所属事业单位改革方案〉的通知》要求，将自治区卫星应用中心、自治区工业和信息化厅信息中心整合，组建自治区卫星产业发展中心，导致对应预算收入增加；二是追加安排人员经费。</w:t>
      </w:r>
    </w:p>
    <w:p w14:paraId="13CE0C65">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14:paraId="32C3C89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本年收入561.50万元，其中：财政拨款收入561.34万元,占99.97%；上级补助收入0.00万元,占0.00%；事业收入0.00万元，占0.00%；经营收入0.00万元,占0.00%；附属单位上缴收入0.00万元，占0.00%；其他收入0.16万元，占0.03%。</w:t>
      </w:r>
    </w:p>
    <w:p w14:paraId="41083D79">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14:paraId="3C64950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本年支出689.09万元，其中：基本支出484.04万元，占70.24%；项目支出205.06万元，占29.76%；上缴上级支出0.00万元，占0.00%；经营支出0.00万元，占0.00%；对附属单位补助支出0.00万元，占0.00%。</w:t>
      </w:r>
    </w:p>
    <w:p w14:paraId="1C0528E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14:paraId="154CB08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2025年度财政拨款收入总计561.34万元，其中：年初财政拨款结转和结余0.00万元，本年财政拨款收入561.34万元。财政拨款支出总计561.34万元，其中：年末财政拨款结转和结余0.00万元，本年财政拨款支出561.34万元。</w:t>
      </w:r>
    </w:p>
    <w:p w14:paraId="31F7FD3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428.40万元，增长322.25%，主要原因是：根据《自治区党委编委关于印发〈新疆维吾尔自治区工业和信息化厅所属事业单位改革方案〉的通知》要求，将自治区卫星应用中心、自治区工业和信息化厅信息中心整合，组建自治区卫星产业发展中心，导致对应预算增加。与年初预算相比，年初预算数512.40万元，决算数561.34万元，预决算差异率9.55%，主要原因是：一是追加安排人员经费；二是人员调离和退休收回基本支出指标；三是根据工作安排调整非财政预算支出。</w:t>
      </w:r>
    </w:p>
    <w:p w14:paraId="64DB1121">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14:paraId="70CCD938">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人员工资、单位基本运转、项目支出等重点支出，体现在有关支出科目中。</w:t>
      </w:r>
    </w:p>
    <w:p w14:paraId="638EAEA6">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按照支出功能分类，资源勘探工业信息等支出（类）工业和信息产业（款）事业运行（项）的支出占本年财政拨款支出总额的比重最高，2025年度决算数为287.16万元，占比51.16%，主要用于人员工资和单位运转。</w:t>
      </w:r>
    </w:p>
    <w:p w14:paraId="7513EDB5">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14:paraId="3733727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支出561.34万元，占本年支出合计的81.46%。与上年相比，增加428.40万元，增长322.25%，主要原因是：根据《自治区党委编委关于印发〈新疆维吾尔自治区工业和信息化厅所属事业单位改革方案〉的通知》要求，将自治区卫星应用中心、自治区工业和信息化厅信息中心整合，组建自治区卫星产业发展中心，导致对应预算增加。与年初预算相比，年初预算数512.40万元，决算数561.34万元，预决算差异率9.55%，主要原因是：一是追加安排人员经费；二是人员调离和退休收回基本支出指标；三是根据工作安排调整非财政预算支出。</w:t>
      </w:r>
    </w:p>
    <w:p w14:paraId="563E724A">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14:paraId="686D9B5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1.社会保障和就业支出（类）126.21万元，占22.48%。</w:t>
      </w:r>
    </w:p>
    <w:p w14:paraId="4E04509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2.卫生健康支出（类）39.93万元，占7.11%。</w:t>
      </w:r>
    </w:p>
    <w:p w14:paraId="0EA8BD1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3.资源勘探工业信息等支出（类）364.51万元，占64.94%。</w:t>
      </w:r>
    </w:p>
    <w:p w14:paraId="15E9F42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4.住房保障支出（类）30.69万元，占5.47%。</w:t>
      </w:r>
    </w:p>
    <w:p w14:paraId="7CC7C1B9">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14:paraId="06327C22">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社会保障和就业支出（类）行政事业单位养老支出（款）事业单位离退休（项）：支出决算数为56.50万元，比上年决算增加54.17万元，增长2,324.89%，主要原因是：根据《自治区党委编委关于印发〈新疆维吾尔自治区工业和信息化厅所属事业单位改革方案〉的通知》要求，将自治区卫星应用中心、自治区工业和信息化厅信息中心整合，组建自治区卫星产业发展中心，导致对应预算收入增加。</w:t>
      </w:r>
    </w:p>
    <w:p w14:paraId="284B78B9">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社会保障和就业支出（类）行政事业单位养老支出（款）机关事业单位基本养老保险缴费支出（项）：支出决算数为40.52万元，比上年决算增加29.80万元，增长277.99%，主要原因是：一是根据《自治区党委编委关于印发〈新疆维吾尔自治区工业和信息化厅所属事业单位改革方案〉的通知》要求，将自治区卫星应用中心、自治区工业和信息化厅信息中心整合，组建自治区卫星产业发展中心，导致对应预算收入增加；二是因社保类缴费基数上调，导致相关支出较上年增加。</w:t>
      </w:r>
    </w:p>
    <w:p w14:paraId="7A871A26">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社会保障和就业支出（类）行政事业单位养老支出（款）机关事业单位职业年金缴费支出（项）：支出决算数为29.20万元，比上年决算增加29.20万元，增长100.00%，主要原因是：一是根据《自治区党委编委关于印发〈新疆维吾尔自治区工业和信息化厅所属事业单位改革方案〉的通知》要求，将自治区卫星应用中心、自治区工业和信息化厅信息中心整合，组建自治区卫星产业发展中心，导致对应预算收入增加；二是因社保类缴费基数上调，导致相关支出较上年增加。</w:t>
      </w:r>
    </w:p>
    <w:p w14:paraId="28C29219">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卫生健康支出（类）行政事业单位医疗（款）事业单位医疗（项）：支出决算数为22.83万元，比上年决算增加17.27万元，增长310.61%，主要原因是：一是根据《自治区党委编委关于印发〈新疆维吾尔自治区工业和信息化厅所属事业单位改革方案〉的通知》要求，将自治区卫星应用中心、自治区工业和信息化厅信息中心整合，组建自治区卫星产业发展中心，导致对应预算收入增加；二是因社保类缴费基数上调，导致相关支出较上年增加。</w:t>
      </w:r>
    </w:p>
    <w:p w14:paraId="3784F54D">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卫生健康支出（类）行政事业单位医疗（款）公务员医疗补助（项）：支出决算数为17.10万元，比上年决算增加12.41万元，增长264.61%，主要原因是：一是根据《自治区党委编委关于印发〈新疆维吾尔自治区工业和信息化厅所属事业单位改革方案〉的通知》要求，将自治区卫星应用中心、自治区工业和信息化厅信息中心整合，组建自治区卫星产业发展中心，导致对应预算收入增加；二是因社保类缴费基数上调，导致相关支出较上年增加。</w:t>
      </w:r>
    </w:p>
    <w:p w14:paraId="3886101D">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资源勘探工业信息等支出（类）工业和信息产业（款）事业运行（项）：支出决算数为287.16万元，比上年决算增加197.56万元，增长220.49%，主要原因是：一是根据《自治区党委编委关于印发〈新疆维吾尔自治区工业和信息化厅所属事业单位改革方案〉的通知》要求，将自治区卫星应用中心、自治区工业和信息化厅信息中心整合，组建自治区卫星产业发展中心，导致对应预算收入增加；二是追加安排人员经费。</w:t>
      </w:r>
    </w:p>
    <w:p w14:paraId="7CD32C66">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7、资源勘探工业信息等支出（类）工业和信息产业（款）其他工业和信息产业支出（项）：支出决算数为77.35万元，比上年决算增加65.35万元，增长544.58%，主要原因是：一是根据《自治区党委编委关于印发〈新疆维吾尔自治区工业和信息化厅所属事业单位改革方案〉的通知》要求，将自治区卫星应用中心、自治区工业和信息化厅信息中心整合，组建自治区卫星产业发展中心，职能整合，导致对应预算增加。</w:t>
      </w:r>
    </w:p>
    <w:p w14:paraId="3539039D">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8、住房保障支出（类）住房改革支出（款）住房公积金（项）：支出决算数为30.69万元，比上年决算增加22.65万元，增长281.72%，主要原因是：一是根据《自治区党委编委关于印发〈新疆维吾尔自治区工业和信息化厅所属事业单位改革方案〉的通知》要求，将自治区卫星应用中心、自治区工业和信息化厅信息中心整合，组建自治区卫星产业发展中心，导致对应预算收入增加；二是因缴费基数上调，导致相关支出较上年增加。</w:t>
      </w:r>
    </w:p>
    <w:p w14:paraId="140FA804">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14:paraId="5A31504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基本支出483.99万元，其中：人员经费460.34万元，包括：基本工资、津贴补贴、奖金、绩效工资、机关事业单位基本养老保险缴费、职业年金缴费、职工基本医疗保险缴费、公务员医疗补助缴费、其他社会保障缴费、住房公积金、离休费、退休费和其他对个人和家庭的补助。</w:t>
      </w:r>
    </w:p>
    <w:p w14:paraId="53510F8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公用经费23.65万元，包括：办公费、水费、电费、邮电费、差旅费、工会经费、福利费、公务用车运行维护费和其他商品和服务支出。</w:t>
      </w:r>
    </w:p>
    <w:p w14:paraId="022CB646">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14:paraId="4D64474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4B64E42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14:paraId="2A29C46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520AB3B2">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14:paraId="6C06E94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三公”经费支出4.40万元，比上年增加2.82万元，增长178.48%，主要原因是：根据《自治区党委编委关于印发〈新疆维吾尔自治区工业和信息化厅所属事业单位改革方案〉的通知》要求，将自治区卫星应用中心、自治区工业和信息化厅信息中心整合，组建自治区卫星产业发展中心，导致对应预算增加。其中：因公出国（境）费用支出0.00万元,占0.00%，与上年相比无变化，主要原因是：我单位无因公出国（境）费；公务用车购置及运行维护费支出4.40万元，占100.00%，比上年增加2.82万元，增长178.48%，主要原因是：根据《自治区党委编委关于印发〈新疆维吾尔自治区工业和信息化厅所属事业单位改革方案〉的通知》要求，将自治区卫星应用中心、自治区工业和信息化厅信息中心整合，组建自治区卫星产业发展中心，导致对应预算增加；公务接待费支出0.00万元，占0.00%，与上年相比无变化，主要原因是：严格执行中央八项规定及</w:t>
      </w:r>
      <w:r>
        <w:rPr>
          <w:rFonts w:hint="eastAsia" w:ascii="仿宋_GB2312" w:eastAsia="仿宋_GB2312"/>
          <w:b w:val="0"/>
          <w:sz w:val="32"/>
          <w:szCs w:val="32"/>
          <w:lang w:val="en-US" w:eastAsia="zh-CN"/>
        </w:rPr>
        <w:t>其</w:t>
      </w:r>
      <w:r>
        <w:rPr>
          <w:rFonts w:ascii="仿宋_GB2312" w:eastAsia="仿宋_GB2312"/>
          <w:b w:val="0"/>
          <w:sz w:val="32"/>
          <w:szCs w:val="32"/>
        </w:rPr>
        <w:t>实施细则，严格控制公务接待事项。</w:t>
      </w:r>
    </w:p>
    <w:p w14:paraId="1DDB65B7">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14:paraId="531B145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因公出国（境）费用0.00万元，</w:t>
      </w:r>
      <w:r>
        <w:rPr>
          <w:rFonts w:hint="eastAsia" w:ascii="仿宋_GB2312" w:eastAsia="仿宋_GB2312"/>
          <w:b w:val="0"/>
          <w:sz w:val="32"/>
          <w:szCs w:val="32"/>
        </w:rPr>
        <w:t>开支内容包括：本年度未发生因公出国（境）相关支出。</w:t>
      </w:r>
      <w:r>
        <w:rPr>
          <w:rFonts w:ascii="仿宋_GB2312" w:eastAsia="仿宋_GB2312"/>
          <w:b w:val="0"/>
          <w:sz w:val="32"/>
          <w:szCs w:val="32"/>
        </w:rPr>
        <w:t>单位全年安排的因公出国（境）团组0个，因公出国（境）0人次。</w:t>
      </w:r>
    </w:p>
    <w:p w14:paraId="1A27820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4.40万元，其中：公务用车购置费0.00万元，公务用车运行维护费4.40万元。公务用车运行维护费开支内容包括保险、油料、维修。公务用车购置数0辆，公务用车保有量3辆。国有资产占用情况中固定资产车辆3辆，与公务用车保有量差异原因是：无。</w:t>
      </w:r>
    </w:p>
    <w:p w14:paraId="07A698E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本年度未发生</w:t>
      </w:r>
      <w:r>
        <w:rPr>
          <w:rFonts w:ascii="仿宋_GB2312" w:eastAsia="仿宋_GB2312"/>
          <w:b w:val="0"/>
          <w:sz w:val="32"/>
          <w:szCs w:val="32"/>
        </w:rPr>
        <w:t>公务接待费</w:t>
      </w:r>
      <w:r>
        <w:rPr>
          <w:rFonts w:hint="eastAsia" w:ascii="仿宋_GB2312" w:eastAsia="仿宋_GB2312"/>
          <w:b w:val="0"/>
          <w:sz w:val="32"/>
          <w:szCs w:val="32"/>
          <w:lang w:val="en-US" w:eastAsia="zh-CN"/>
        </w:rPr>
        <w:t>相关支出</w:t>
      </w:r>
      <w:r>
        <w:rPr>
          <w:rFonts w:ascii="仿宋_GB2312" w:eastAsia="仿宋_GB2312"/>
          <w:b w:val="0"/>
          <w:sz w:val="32"/>
          <w:szCs w:val="32"/>
        </w:rPr>
        <w:t>。单位全年安排的国内公务接待0批次，0人次。</w:t>
      </w:r>
    </w:p>
    <w:p w14:paraId="5F24A97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4.40万元，决算数4.40万元，预决算差异率0.00%，主要原因是：严格执行年初预算。其中：因公出国（境）费用全年预算数0.00万元，决算数0.00万元，预决算差异率0.00%，主要原因是：无相关预算及支出；公务用车购置费全年预算数0.00万元，决算数0.00万元，预决算差异率0.00%，主要原因是：无相关预算及支出；公务用车运行维护费全年预算数4.40万元，决算数4.40万元，预决算差异率0.00%，主要原因是：严格执行年初预算；公务接待费全年预算数0.00万元，决算数0.00万元，预决算差异率0.00%，主要原因是：无相关预算及支出。</w:t>
      </w:r>
    </w:p>
    <w:p w14:paraId="19CFB7CE">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14:paraId="71F0EA81">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14:paraId="4C3DD90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新疆维吾尔自治区卫星产业发展中心（事业单位）公用经费支出23.65万元，比上年增加16.31万元，增长222.21%，主要原因是：根据《自治区党委编委关于印发〈新疆维吾尔自治区工业和信息化厅所属事业单位改革方案〉的通知》要求，将自治区卫星应用中心、自治区工业和信息化厅信息中心整合，组建自治区卫星产业发展中心，导致对应收入支出预算增加。</w:t>
      </w:r>
    </w:p>
    <w:p w14:paraId="467BC983">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14:paraId="1ADB7A8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2025年度政府采购支出总额188.88万元，其中：政府采购货物支出100.28万元、政府采购工程支出0.00万元、政府采购服务支出88.60万元。</w:t>
      </w:r>
    </w:p>
    <w:p w14:paraId="61F474B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授予中小企业合同金额95.26万元，占政府采购支出总额的50.43%，其中：授予小微企业合同金额68.46万元，占政府采购支出总额的36.25%。</w:t>
      </w:r>
    </w:p>
    <w:p w14:paraId="113AE58F">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14:paraId="5238814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2025年12月31日，房屋224.04平方米，价值21.76万元。车辆3辆，价值145.43万元，其中：副部（省）级及以上领导用车0辆、主要负责人用车0辆、机要通信用车0辆、应急保障用车0辆、执法执勤用车0辆、特种专业技术用车0辆、离退休干部服务用车0辆、其他用车3辆，其他用车主要是：单位业务用车;单价100万元（含）以上设备（不含车辆）3台（套）。</w:t>
      </w:r>
    </w:p>
    <w:p w14:paraId="737A7D8A">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14:paraId="6D6E070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根据预算绩效管理要求，本单位2025年度预算绩效评价项目3个，全年预算数225.2万元，全年执行数205.06万元。预算绩效管理取得的成效：一是严格按照</w:t>
      </w:r>
      <w:r>
        <w:rPr>
          <w:rFonts w:hint="eastAsia" w:ascii="仿宋_GB2312" w:eastAsia="仿宋_GB2312"/>
          <w:b w:val="0"/>
          <w:sz w:val="32"/>
          <w:szCs w:val="32"/>
        </w:rPr>
        <w:t>《中华人民共和国会计法》《中华人民共和国预算法》</w:t>
      </w:r>
      <w:r>
        <w:rPr>
          <w:rFonts w:ascii="仿宋_GB2312" w:eastAsia="仿宋_GB2312"/>
          <w:b w:val="0"/>
          <w:sz w:val="32"/>
          <w:szCs w:val="32"/>
        </w:rPr>
        <w:t>《采购法》等制度规定执行；二是不断修订完善</w:t>
      </w:r>
      <w:bookmarkStart w:id="0" w:name="_GoBack"/>
      <w:bookmarkEnd w:id="0"/>
      <w:r>
        <w:rPr>
          <w:rFonts w:ascii="仿宋_GB2312" w:eastAsia="仿宋_GB2312"/>
          <w:b w:val="0"/>
          <w:sz w:val="32"/>
          <w:szCs w:val="32"/>
        </w:rPr>
        <w:t>内部控制制度,规范各项预算执行活动,严格执行《工信厅全面预算绩效管理办法》，实际执行中严格实施,有力保障了预算执行的准确性、规范性,发挥了财政资金的最大效用,取得了良好的绩效成果。发现的问题及原因：组织开展重点项目绩效评价工作时,项目采购、合同执行周期长，预算执行率低，致使项目绩效监控节点时，影响单位整体绩效评价总体分值。下一步改进措施：一是继续完善各项内控制度,加强制度落实,不断提高财政预算执行的准确性、规范性；二是按要求完成绩效目标,切实发挥好财政资金的效用。具体附项目支出绩效自评表。</w:t>
      </w:r>
    </w:p>
    <w:p w14:paraId="349E94B7">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17C83C3A">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14:paraId="0B87280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本单位无其他需说明的事项。</w:t>
      </w:r>
    </w:p>
    <w:p w14:paraId="0DD00B33">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095EFA2D">
      <w:pPr>
        <w:widowControl/>
      </w:pPr>
      <w:r>
        <w:rPr>
          <w:b w:val="0"/>
          <w:sz w:val="0"/>
          <w:szCs w:val="0"/>
        </w:rPr>
        <w:br w:type="page"/>
      </w:r>
    </w:p>
    <w:p w14:paraId="7EB60CFD">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14:paraId="7A8A5D8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14:paraId="76077A54">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45EEE2B3">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14:paraId="7482375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2D744524">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14:paraId="038489B2">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14:paraId="3793EC5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14:paraId="5BAD160D">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14:paraId="08DD078C">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14:paraId="1A08DFC9">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14:paraId="519E5E0A">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14:paraId="79F87F49">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14:paraId="7B8FDC5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14:paraId="7DB8EF6F">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14:paraId="1C683A98">
      <w:pPr>
        <w:widowControl/>
        <w:spacing w:before="0" w:beforeLines="0" w:beforeAutospacing="0" w:after="0" w:afterLines="0" w:afterAutospacing="0" w:line="240" w:lineRule="auto"/>
        <w:ind w:firstLine="643"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14:paraId="149EFF8C">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2772BB3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14:paraId="2986F7C0">
      <w:pPr>
        <w:widowControl/>
      </w:pPr>
      <w:r>
        <w:rPr>
          <w:b w:val="0"/>
          <w:sz w:val="0"/>
          <w:szCs w:val="0"/>
        </w:rPr>
        <w:br w:type="page"/>
      </w:r>
    </w:p>
    <w:p w14:paraId="3CADDA6E">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14:paraId="48814D8E">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596FF813">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1A81E017">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26451F86">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3EF79D7A">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34A1DD61">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29A27ED5">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77C7D364">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1A4AE641">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171D58"/>
    <w:rsid w:val="2850054A"/>
    <w:rsid w:val="6B30107F"/>
    <w:rsid w:val="77F225CC"/>
    <w:rsid w:val="EE3F8BA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15</Pages>
  <Words>6746</Words>
  <Characters>7380</Characters>
  <TotalTime>1</TotalTime>
  <ScaleCrop>false</ScaleCrop>
  <LinksUpToDate>false</LinksUpToDate>
  <CharactersWithSpaces>7387</CharactersWithSpaces>
  <Application>WPS Office_12.1.2.23582_F1E327BC-269C-435d-A152-05C5408002CA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2026-08-26T16:40:00Z</dcterms:created>
  <dc:creator>Administrator</dc:creator>
  <cp:lastModifiedBy>user</cp:lastModifiedBy>
  <dcterms:modified xsi:type="dcterms:W3CDTF">2026-09-02T11:48:24Z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5E4093FF96074F1AAC1CE48D9638F9CA_13</vt:lpwstr>
  </property>
  <property fmtid="{D5CDD505-2E9C-101B-9397-08002B2CF9AE}" pid="4" name="KSOTemplateDocerSaveRecord">
    <vt:lpwstr>eyJoZGlkIjoiNmZkMjYyYzAxYjhmOGVmYjRhNDdiNWU4MjMwYTAyNjgiLCJ1c2VySWQiOiIyNTIzNDE3MTMifQ==</vt:lpwstr>
  </property>
</Properties>
</file>