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C0986">
      <w:pPr>
        <w:widowControl/>
        <w:spacing w:before="0" w:beforeLines="0" w:beforeAutospacing="0" w:after="0" w:afterLines="0" w:afterAutospacing="0" w:line="240" w:lineRule="auto"/>
        <w:jc w:val="left"/>
        <w:rPr>
          <w:rFonts w:ascii="宋体" w:eastAsia="宋体"/>
          <w:sz w:val="32"/>
          <w:szCs w:val="32"/>
        </w:rPr>
      </w:pPr>
    </w:p>
    <w:p w14:paraId="3E0F24B0">
      <w:pPr>
        <w:widowControl/>
        <w:spacing w:before="0" w:beforeLines="0" w:beforeAutospacing="0" w:after="0" w:afterLines="0" w:afterAutospacing="0" w:line="240" w:lineRule="auto"/>
        <w:jc w:val="left"/>
        <w:rPr>
          <w:rFonts w:ascii="宋体" w:eastAsia="宋体"/>
          <w:sz w:val="44"/>
          <w:szCs w:val="44"/>
        </w:rPr>
      </w:pPr>
    </w:p>
    <w:p w14:paraId="09394604">
      <w:pPr>
        <w:widowControl/>
        <w:spacing w:before="0" w:beforeLines="0" w:beforeAutospacing="0" w:after="0" w:afterLines="0" w:afterAutospacing="0" w:line="240" w:lineRule="auto"/>
        <w:jc w:val="left"/>
        <w:rPr>
          <w:rFonts w:ascii="宋体" w:eastAsia="宋体"/>
          <w:sz w:val="44"/>
          <w:szCs w:val="44"/>
        </w:rPr>
      </w:pPr>
    </w:p>
    <w:p w14:paraId="6531BE39">
      <w:pPr>
        <w:widowControl/>
        <w:spacing w:before="0" w:beforeLines="0" w:beforeAutospacing="0" w:after="0" w:afterLines="0" w:afterAutospacing="0" w:line="240" w:lineRule="auto"/>
        <w:jc w:val="left"/>
        <w:rPr>
          <w:rFonts w:ascii="宋体" w:eastAsia="宋体"/>
          <w:sz w:val="44"/>
          <w:szCs w:val="44"/>
        </w:rPr>
      </w:pPr>
    </w:p>
    <w:p w14:paraId="6504E09C">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新疆维吾尔自治区中小企业发展促进中心</w:t>
      </w:r>
    </w:p>
    <w:p w14:paraId="77EA465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6CE095B8">
      <w:pPr>
        <w:widowControl/>
      </w:pPr>
      <w:r>
        <w:rPr>
          <w:b w:val="0"/>
          <w:sz w:val="0"/>
          <w:szCs w:val="0"/>
        </w:rPr>
        <w:br w:type="page"/>
      </w:r>
    </w:p>
    <w:p w14:paraId="76908DAE">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3CA80B1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3B9F23A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6EA7714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0EDF484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0E44CF8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C8CACB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6450D0E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4DC07CB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44F41C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202B2FA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33F41A2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78794C2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53F039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545B2B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3047DD4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5DB510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351AAE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311091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63916E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FD39CF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110FB9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2EF6461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A1019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8CC438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654957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293255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38ACE96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1084FB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16E766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02A826D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87B4E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45A90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D0F5A4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399A775D">
      <w:pPr>
        <w:widowControl/>
      </w:pPr>
      <w:r>
        <w:rPr>
          <w:b w:val="0"/>
          <w:sz w:val="0"/>
          <w:szCs w:val="0"/>
        </w:rPr>
        <w:br w:type="page"/>
      </w:r>
    </w:p>
    <w:p w14:paraId="598BEE8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0C3CD30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5FCCE0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为自治区中小企业发展提供政策指导、创业创新、技术推广、市场开拓、信息服务、人才培养、管理培训、融资服务、法律咨询、合作交流等工作；承担工业和信息领域人才政策研究、人才评价、培训交流等方面工作；承担自治区轻工集体经济联合社日常工作。</w:t>
      </w:r>
    </w:p>
    <w:p w14:paraId="61D8177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AACE92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新疆维吾尔自治区中小企业发展促进中心无下属预算单位。</w:t>
      </w:r>
    </w:p>
    <w:p w14:paraId="2C5103DB">
      <w:pPr>
        <w:widowControl/>
      </w:pPr>
      <w:r>
        <w:rPr>
          <w:b w:val="0"/>
          <w:sz w:val="0"/>
          <w:szCs w:val="0"/>
        </w:rPr>
        <w:br w:type="page"/>
      </w:r>
    </w:p>
    <w:p w14:paraId="1385C09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6EA72F9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551D646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2025年度收入总计1,004.56万元，其中：本年收入合计894.28万元，使用非财政拨款结余（含专用结余）110.27万元，年初结转和结余0.00万元。</w:t>
      </w:r>
    </w:p>
    <w:p w14:paraId="2AD2FB5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2025年度支出总计1,004.56万元，其中：本年支出合计1,004.56万元，结余分配0.00万元，年末结转和结余0.00万元。</w:t>
      </w:r>
    </w:p>
    <w:p w14:paraId="36720A4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238.91万元，下降19.21%，主要原因是：从收入方面看，一是人员减少，财政拨款人员经费减少；二是2025年对外投资企业经营状况不佳，投资收益减少。从支出方面看，一是人员减少，导致人员经费减少；二是自治区中小企业发展专项资金收入减少。</w:t>
      </w:r>
    </w:p>
    <w:p w14:paraId="7652CE8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24357BC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本年收入894.28万元，其中：财政拨款收入448.58万元,占50.16%；上级补助收入0.00万元,占0.00%；事业收入0.00万元，占0.00%；经营收入6.15万元,占0.69%；附属单位上缴收入0.00万元，占0.00%；其他收入439.56万元，占49.15%。</w:t>
      </w:r>
    </w:p>
    <w:p w14:paraId="1E106EC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1227FBA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本年支出1,004.56万元，其中：基本支出408.49万元，占40.66%；项目支出589.92万元，占58.72%；上缴上级支出0.00万元，占0.00%；经营支出6.15万元，占0.61%；对附属单位补助支出0.00万元，占0.00%。</w:t>
      </w:r>
    </w:p>
    <w:p w14:paraId="68ED1B3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59A4A95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2025年度财政拨款收入总计448.58万元，其中：年初财政拨款结转和结余0.00万元，本年财政拨款收入448.58万元。财政拨款支出总计448.58万元，其中：年末财政拨款结转和结余0.00万元，本年财政拨款支出448.58万元。</w:t>
      </w:r>
    </w:p>
    <w:p w14:paraId="449AF90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177.68万元，下降28.37%，主要原因是：一是人员减少，导致人员经费减少，二是自治区中小企业发展专项资金收入减少。与年初预算相比，年初预算数444.21万元，决算数448.58万元，预决算差异率0.98%，主要原因是：人员工资调整，追加人员经费。</w:t>
      </w:r>
    </w:p>
    <w:p w14:paraId="62EEDA3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3E5AFA0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人员经费、核心业务运转、重点项目实施等重点支出，体现在有关支出科目中。</w:t>
      </w:r>
    </w:p>
    <w:p w14:paraId="106CB84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支持中小企业发展和管理支出（款）其他支持中小企业发展和管理支出（项）的支出占本年财政拨款支出总额的比重最高，2025年度决算数为233.89万元，占比52.14%，主要用于人员经费支出及自治区中小企业发展专项项目。</w:t>
      </w:r>
    </w:p>
    <w:p w14:paraId="5D5191C4">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1E80B00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448.58万元，占本年支出合计的44.65%。与上年相比，减少177.68万元，下降28.37%，主要原因是：在职人员减少四人，其中一名在职人员调出，三名人员退休。与年初预算相比，年初预算数444.21万元，决算数448.58万元，预决算差异率0.98%，主要原因是：人员工资调标，追加人员经费。</w:t>
      </w:r>
    </w:p>
    <w:p w14:paraId="435C63B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58453AE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1.社会保障和就业支出（类）54.67万元，占12.19%。</w:t>
      </w:r>
    </w:p>
    <w:p w14:paraId="6743241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2.卫生健康支出（类）35.10万元，占7.82%。</w:t>
      </w:r>
    </w:p>
    <w:p w14:paraId="4D5F66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3.资源勘探工业信息等支出（类）333.89万元，占74.43%。</w:t>
      </w:r>
    </w:p>
    <w:p w14:paraId="1896A89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4.住房保障支出（类）24.92万元，占5.56%。</w:t>
      </w:r>
    </w:p>
    <w:p w14:paraId="5FEE02F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087D122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1、社会保障和就业支出（类）行政事业单位养老支出（款）事业单位离退休（项）：支出决算数为7.76万元，比上年决算增加1.74万元，增长28.90%，主要原因是：新增三名退休人员。</w:t>
      </w:r>
    </w:p>
    <w:p w14:paraId="4647CAA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31.27万元，比上年决算减少3.05万元，下降8.89%，主要原因是：在职人员减少四人，其中一名在职人员调出，三名人员退休。</w:t>
      </w:r>
    </w:p>
    <w:p w14:paraId="0AEBB3D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15.64万元，比上年决算减少1.52万元，下降8.86%，主要原因是：在职人员减少四人，其中一名在职人员调出，三名人员退休。</w:t>
      </w:r>
    </w:p>
    <w:p w14:paraId="29D3778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4、卫生健康支出（类）行政事业单位医疗（款）事业单位医疗（项）：支出决算数为20.24万元，比上年决算增加0.96万元，增长4.98%，主要原因是：人员工资调标，基数增加。</w:t>
      </w:r>
    </w:p>
    <w:p w14:paraId="7F53400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5、卫生健康支出（类）行政事业单位医疗（款）公务员医疗补助（项）：支出决算数为14.86万元，比上年决算减少1.40万元，下降8.61%，主要原因是：在职人员减少四人，其中一名在职人员调出，三名人员退休。</w:t>
      </w:r>
    </w:p>
    <w:p w14:paraId="63F4D43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支持中小企业发展和管理支出（款）中小企业发展专项（项）：支出决算数为100.00万元，比上年决算减少150.00万元，下降60.00%，主要原因是：上级单位对2025年中小企业专项发展资金安排减少。</w:t>
      </w:r>
    </w:p>
    <w:p w14:paraId="7FDFD42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资源勘探工业信息等支出（类）支持中小企业发展和管理支出（款）其他支持中小企业发展和管理支出（项）：支出决算数为233.89万元，比上年决算减少21.96万元，下降8.58%，主要原因是：在职人员减少四人，其中一名在职人员调出，三名人员退休。</w:t>
      </w:r>
    </w:p>
    <w:p w14:paraId="7D46937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8、住房保障支出（类）住房改革支出（款）住房公积金（项）：支出决算数为24.92万元，比上年决算减少2.45万元，下降8.95%，主要原因是：在职人员减少四人，其中一名在职人员调出，三名人员退休。</w:t>
      </w:r>
    </w:p>
    <w:p w14:paraId="59386BF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6FA9570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348.58万元，其中：人员经费322.97万元，包括：基本工资、津贴补贴、奖金、绩效工资、机关事业单位基本养老保险缴费、职业年金缴费、职工基本医疗保险缴费、公务员医疗补助缴费、其他社会保障缴费、住房公积金、其他工资福利支出、退休费和奖励金。</w:t>
      </w:r>
    </w:p>
    <w:p w14:paraId="1B221C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公用经费25.61万元，包括：办公费、水费、取暖费、差旅费、工会经费、福利费和其他商品和服务支出。</w:t>
      </w:r>
    </w:p>
    <w:p w14:paraId="5311EA9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03B7966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42977E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26A3E6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11EFB7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02297A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无财政拨款“三公”经费支出。其中：因公出国（境）费用支出0.00万元,占0.00%，与上年相比无变化，主要原因是：无因公出国（境）费；公务用车购置及运行维护费支出0.00万元，占0.00%，与上年相比无变化，主要原因是：无公务用车购置及运行维护费；公务接待费支出0.00万元，占0.00%，与上年相比无变化，主要原因是：无公务接待费。</w:t>
      </w:r>
    </w:p>
    <w:p w14:paraId="0531037E">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0D42C6C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w:t>
      </w:r>
      <w:r>
        <w:rPr>
          <w:rFonts w:hint="eastAsia" w:ascii="仿宋_GB2312" w:eastAsia="仿宋_GB2312"/>
          <w:b w:val="0"/>
          <w:sz w:val="32"/>
          <w:szCs w:val="32"/>
        </w:rPr>
        <w:t>开支内容包括：本年度未发生因公出国（境）相关支出。</w:t>
      </w:r>
      <w:r>
        <w:rPr>
          <w:rFonts w:ascii="仿宋_GB2312" w:eastAsia="仿宋_GB2312"/>
          <w:b w:val="0"/>
          <w:sz w:val="32"/>
          <w:szCs w:val="32"/>
        </w:rPr>
        <w:t>单位全年安排的因公出国（境）团组0个，因公出国（境）0人次。</w:t>
      </w:r>
    </w:p>
    <w:p w14:paraId="3C761F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无公务用车运行维护费。公务用车购置数0辆，公务用车保有量0辆。国有资产占用情况中固定资产车辆1辆，与公务用车保有量差异原因是：自有一辆车均使用非财政拨款资金。</w:t>
      </w:r>
    </w:p>
    <w:p w14:paraId="790096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本年度未发生</w:t>
      </w:r>
      <w:r>
        <w:rPr>
          <w:rFonts w:ascii="仿宋_GB2312" w:eastAsia="仿宋_GB2312"/>
          <w:b w:val="0"/>
          <w:sz w:val="32"/>
          <w:szCs w:val="32"/>
        </w:rPr>
        <w:t>公务接待费</w:t>
      </w:r>
      <w:r>
        <w:rPr>
          <w:rFonts w:hint="eastAsia" w:ascii="仿宋_GB2312" w:eastAsia="仿宋_GB2312"/>
          <w:b w:val="0"/>
          <w:sz w:val="32"/>
          <w:szCs w:val="32"/>
          <w:lang w:val="en-US" w:eastAsia="zh-CN"/>
        </w:rPr>
        <w:t>相关支出</w:t>
      </w:r>
      <w:bookmarkStart w:id="0" w:name="_GoBack"/>
      <w:bookmarkEnd w:id="0"/>
      <w:r>
        <w:rPr>
          <w:rFonts w:ascii="仿宋_GB2312" w:eastAsia="仿宋_GB2312"/>
          <w:b w:val="0"/>
          <w:sz w:val="32"/>
          <w:szCs w:val="32"/>
        </w:rPr>
        <w:t>。单位全年安排的国内公务接待0批次，0人次。</w:t>
      </w:r>
    </w:p>
    <w:p w14:paraId="1956D1D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无财政拨款“三公”经费支出。其中：因公出国（境）费用全年预算数0.00万元，决算数0.00万元，预决算差异率0.00%，主要原因是：无财政拨款“三公”经费支出；公务用车购置费全年预算数0.00万元，决算数0.00万元，预决算差异率0.00%，主要原因是：无财政拨款“三公”经费支出；公务用车运行维护费全年预算数0.00万元，决算数0.00万元，预决算差异率0.00%，主要原因是：无财政拨款“三公”经费支出；公务接待费全年预算数0.00万元，决算数0.00万元，预决算差异率0.00%，主要原因是：无财政拨款“三公”经费支出。</w:t>
      </w:r>
    </w:p>
    <w:p w14:paraId="01A9FFB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01A0FA4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51E69C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2025年度新疆维吾尔自治区中小企业发展促进中心（事业单位）公用经费支出25.61万元，比上年增加0.06万元，增长0.23%，主要原因是：人员工资调标，事业单位运行经费财政拨款增加。</w:t>
      </w:r>
    </w:p>
    <w:p w14:paraId="1ACFD17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3BB4AB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2025年度政府采购支出总额333.51万元，其中：政府采购货物支出2.01万元、政府采购工程支出0.00万元、政府采购服务支出331.51万元。</w:t>
      </w:r>
    </w:p>
    <w:p w14:paraId="32AD09A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授予中小企业合同金额333.23万元，占政府采购支出总额的99.92%，其中：授予小微企业合同金额331.23万元，占政府采购支出总额的99.32%。</w:t>
      </w:r>
    </w:p>
    <w:p w14:paraId="00ECE14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17415C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2,593.38平方米，价值548.14万元。车辆1辆，价值27.46万元，其中：副部（省）级及以上领导用车0辆、主要负责人用车0辆、机要通信用车0辆、应急保障用车0辆、执法执勤用车0辆、特种专业技术用车0辆、离退休干部服务用车0辆、其他用车1辆，其他用车主要是：用于企业走访、机构调研等业务用车;单价100万元（含）以上设备（不含车辆）0台（套）。</w:t>
      </w:r>
    </w:p>
    <w:p w14:paraId="29FA861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1BFB2E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572.50万元，全年执行数489.92万元。预算绩效管理取得的成效：一是严格执行《工信厅全面预算绩效管理办法》，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三是继续发挥新疆中小企业公共服务平台枢纽作用，强化完善核心服务功能。发现的问题及原因：根据重点工作安排，在项目支出绩效监控工作中，存在预算整体支出绩效目标与产出的数量指标、质量指标缺乏对应性，关联性和可操作性不强、执行周期较长，影响了预算执行率，降低了绩效监控及绩效评价报告工作质量。下一步改进措施：一是建成单位系统内控体系，进一步规范资金使用管理全流程，依程序高质量完成各项工作任务。二是在今后的绩效目标设定过程中，注意考虑突发事件的影响，制定出更加符合实际的绩效目标，加强绩效目标对管理工作的指导作用。具体附项目支出绩效自评表。</w:t>
      </w:r>
    </w:p>
    <w:p w14:paraId="10243678">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508695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05AB03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6482353B">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205D02B4">
      <w:pPr>
        <w:widowControl/>
      </w:pPr>
      <w:r>
        <w:rPr>
          <w:b w:val="0"/>
          <w:sz w:val="0"/>
          <w:szCs w:val="0"/>
        </w:rPr>
        <w:br w:type="page"/>
      </w:r>
    </w:p>
    <w:p w14:paraId="4E97377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2F5948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34FA285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6FF8A1D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39EC4B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12E1ACC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40F1837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7F5715F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5BFC0DC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1D09521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07EA181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6B49FF8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093677E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10BFCA8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52EB1F0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1AACA583">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1221365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42DE5B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63F98D32">
      <w:pPr>
        <w:widowControl/>
      </w:pPr>
      <w:r>
        <w:rPr>
          <w:b w:val="0"/>
          <w:sz w:val="0"/>
          <w:szCs w:val="0"/>
        </w:rPr>
        <w:br w:type="page"/>
      </w:r>
    </w:p>
    <w:p w14:paraId="195CD33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2CB647A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DC7F2A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5240F6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2BB15CA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61FB39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908D3E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3F9EE45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A21B9D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23C3253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4A0690"/>
    <w:rsid w:val="387534DB"/>
    <w:rsid w:val="60FB592A"/>
    <w:rsid w:val="785F29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5708</Words>
  <Characters>6312</Characters>
  <TotalTime>4</TotalTime>
  <ScaleCrop>false</ScaleCrop>
  <LinksUpToDate>false</LinksUpToDate>
  <CharactersWithSpaces>6319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2026-08-25T11:07:00Z</dcterms:created>
  <dc:creator>Administrator</dc:creator>
  <cp:lastModifiedBy>久溺深海</cp:lastModifiedBy>
  <dcterms:modified xsi:type="dcterms:W3CDTF">2026-08-30T06:58:08Z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8CF7A3ABD54043D296A46AF092CC3F53_13</vt:lpwstr>
  </property>
  <property fmtid="{D5CDD505-2E9C-101B-9397-08002B2CF9AE}" pid="4" name="KSOTemplateDocerSaveRecord">
    <vt:lpwstr>eyJoZGlkIjoiNmZkMjYyYzAxYjhmOGVmYjRhNDdiNWU4MjMwYTAyNjgiLCJ1c2VySWQiOiIyNTIzNDE3MTMifQ==</vt:lpwstr>
  </property>
</Properties>
</file>