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C111F">
      <w:pPr>
        <w:widowControl/>
        <w:spacing w:before="0" w:beforeLines="0" w:beforeAutospacing="0" w:after="0" w:afterLines="0" w:afterAutospacing="0" w:line="240" w:lineRule="auto"/>
        <w:jc w:val="left"/>
        <w:rPr>
          <w:rFonts w:ascii="宋体" w:eastAsia="宋体"/>
          <w:sz w:val="32"/>
          <w:szCs w:val="32"/>
        </w:rPr>
      </w:pPr>
      <w:bookmarkStart w:id="0" w:name="_GoBack"/>
      <w:bookmarkEnd w:id="0"/>
    </w:p>
    <w:p w14:paraId="4D78D7FB">
      <w:pPr>
        <w:widowControl/>
        <w:spacing w:before="0" w:beforeLines="0" w:beforeAutospacing="0" w:after="0" w:afterLines="0" w:afterAutospacing="0" w:line="240" w:lineRule="auto"/>
        <w:jc w:val="left"/>
        <w:rPr>
          <w:rFonts w:ascii="宋体" w:eastAsia="宋体"/>
          <w:sz w:val="44"/>
          <w:szCs w:val="44"/>
        </w:rPr>
      </w:pPr>
    </w:p>
    <w:p w14:paraId="1ACB1073">
      <w:pPr>
        <w:widowControl/>
        <w:spacing w:before="0" w:beforeLines="0" w:beforeAutospacing="0" w:after="0" w:afterLines="0" w:afterAutospacing="0" w:line="240" w:lineRule="auto"/>
        <w:jc w:val="left"/>
        <w:rPr>
          <w:rFonts w:ascii="宋体" w:eastAsia="宋体"/>
          <w:sz w:val="44"/>
          <w:szCs w:val="44"/>
        </w:rPr>
      </w:pPr>
    </w:p>
    <w:p w14:paraId="319F09A0">
      <w:pPr>
        <w:widowControl/>
        <w:spacing w:before="0" w:beforeLines="0" w:beforeAutospacing="0" w:after="0" w:afterLines="0" w:afterAutospacing="0" w:line="240" w:lineRule="auto"/>
        <w:jc w:val="left"/>
        <w:rPr>
          <w:rFonts w:ascii="宋体" w:eastAsia="宋体"/>
          <w:sz w:val="44"/>
          <w:szCs w:val="44"/>
        </w:rPr>
      </w:pPr>
    </w:p>
    <w:p w14:paraId="36D779C4">
      <w:pPr>
        <w:widowControl/>
        <w:spacing w:before="0" w:beforeLines="0" w:beforeAutospacing="0" w:after="0" w:afterLines="0" w:afterAutospacing="0" w:line="240" w:lineRule="auto"/>
        <w:jc w:val="center"/>
        <w:outlineLvl w:val="0"/>
        <w:rPr>
          <w:rFonts w:ascii="宋体" w:eastAsia="黑体"/>
          <w:b w:val="0"/>
          <w:sz w:val="44"/>
          <w:szCs w:val="44"/>
        </w:rPr>
      </w:pPr>
      <w:r>
        <w:rPr>
          <w:rFonts w:ascii="宋体" w:eastAsia="黑体"/>
          <w:b w:val="0"/>
          <w:sz w:val="44"/>
          <w:szCs w:val="44"/>
        </w:rPr>
        <w:t>新疆维吾尔自治区专业建设工程质量安全</w:t>
      </w:r>
    </w:p>
    <w:p w14:paraId="1268E962">
      <w:pPr>
        <w:widowControl/>
        <w:spacing w:before="0" w:beforeLines="0" w:beforeAutospacing="0" w:after="0" w:afterLines="0" w:afterAutospacing="0" w:line="240" w:lineRule="auto"/>
        <w:jc w:val="center"/>
        <w:outlineLvl w:val="0"/>
        <w:rPr>
          <w:rFonts w:ascii="黑体" w:eastAsia="黑体"/>
          <w:sz w:val="44"/>
          <w:szCs w:val="44"/>
        </w:rPr>
      </w:pPr>
      <w:r>
        <w:rPr>
          <w:rFonts w:ascii="宋体" w:eastAsia="黑体"/>
          <w:b w:val="0"/>
          <w:sz w:val="44"/>
          <w:szCs w:val="44"/>
        </w:rPr>
        <w:t>监督站</w:t>
      </w:r>
      <w:r>
        <w:rPr>
          <w:rFonts w:ascii="黑体" w:eastAsia="黑体"/>
          <w:b w:val="0"/>
          <w:sz w:val="44"/>
          <w:szCs w:val="44"/>
        </w:rPr>
        <w:t>2025年度部门决算公开说明</w:t>
      </w:r>
    </w:p>
    <w:p w14:paraId="73D6E8BF">
      <w:pPr>
        <w:widowControl/>
      </w:pPr>
      <w:r>
        <w:rPr>
          <w:b w:val="0"/>
          <w:sz w:val="0"/>
          <w:szCs w:val="0"/>
        </w:rPr>
        <w:br w:type="page"/>
      </w:r>
    </w:p>
    <w:p w14:paraId="1CBCBB07">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4332581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7F9C809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16C22BA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1D20C11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1883B7B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2490E64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10B565C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1D2B7B5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427ACEA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31A606C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4D9B504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3FD9A7D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627921A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097CED3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5D4A1CC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7C78E53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458047A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25064E2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28EC7C4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40A3898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5F687A6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6A11532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5FC594D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2297C3D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1DFC7C2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3995CED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6FB236C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566623C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2614033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465B3F8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05FF468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23D7EF2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1D6BFCC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1472967C">
      <w:pPr>
        <w:widowControl/>
      </w:pPr>
      <w:r>
        <w:rPr>
          <w:b w:val="0"/>
          <w:sz w:val="0"/>
          <w:szCs w:val="0"/>
        </w:rPr>
        <w:br w:type="page"/>
      </w:r>
    </w:p>
    <w:p w14:paraId="574BEE3C">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712FFAB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3B3D2E2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贯彻执行国家、自治区有关建设工程质量安全监督管理法律、法规、标准和规范，受工信厅委托拟定自治区有色、化工等专业建设工程质量安全监督工作标准规范并贯彻执行</w:t>
      </w:r>
      <w:r>
        <w:rPr>
          <w:rFonts w:hint="eastAsia" w:ascii="仿宋_GB2312" w:eastAsia="仿宋_GB2312"/>
          <w:b w:val="0"/>
          <w:sz w:val="32"/>
          <w:szCs w:val="32"/>
          <w:lang w:eastAsia="zh-CN"/>
        </w:rPr>
        <w:t>；</w:t>
      </w:r>
      <w:r>
        <w:rPr>
          <w:rFonts w:ascii="仿宋_GB2312" w:eastAsia="仿宋_GB2312"/>
          <w:b w:val="0"/>
          <w:sz w:val="32"/>
          <w:szCs w:val="32"/>
        </w:rPr>
        <w:t>承担管理权限内的有色、化工等专业建设工程质量安全监督管理，以及指导各地做好属地专业建设工程质量安全监督工作。</w:t>
      </w:r>
    </w:p>
    <w:p w14:paraId="202B522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2225622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新疆维吾尔自治区专业建设工程质量安全监督站无下属预算单位。</w:t>
      </w:r>
    </w:p>
    <w:p w14:paraId="6047F471">
      <w:pPr>
        <w:widowControl/>
      </w:pPr>
      <w:r>
        <w:rPr>
          <w:b w:val="0"/>
          <w:sz w:val="0"/>
          <w:szCs w:val="0"/>
        </w:rPr>
        <w:br w:type="page"/>
      </w:r>
    </w:p>
    <w:p w14:paraId="7D72812A">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44E1030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4A9D008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2025年度收入总计259.39万元，其中：本年收入合计254.29万元，使用非财政拨款结余（含专用结余）5.10万元，年初结转和结余0.00万元。</w:t>
      </w:r>
    </w:p>
    <w:p w14:paraId="7D9D4C3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2025年度支出总计259.39万元，其中：本年支出合计259.38万元，结余分配0.00万元，年末结转和结余0.00万元。</w:t>
      </w:r>
    </w:p>
    <w:p w14:paraId="70E9329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收入支出总体与上年相比，增加2.62万元，增长1.02%，主要原因是：使用非财政拨款结余（含专用结余）资金安排</w:t>
      </w:r>
      <w:r>
        <w:rPr>
          <w:rFonts w:hint="eastAsia" w:ascii="仿宋_GB2312" w:eastAsia="仿宋_GB2312"/>
          <w:b w:val="0"/>
          <w:sz w:val="32"/>
          <w:szCs w:val="32"/>
          <w:lang w:eastAsia="zh-CN"/>
        </w:rPr>
        <w:t>“</w:t>
      </w:r>
      <w:r>
        <w:rPr>
          <w:rFonts w:ascii="仿宋_GB2312" w:eastAsia="仿宋_GB2312"/>
          <w:b w:val="0"/>
          <w:sz w:val="32"/>
          <w:szCs w:val="32"/>
        </w:rPr>
        <w:t>双随机、一公开</w:t>
      </w:r>
      <w:r>
        <w:rPr>
          <w:rFonts w:hint="eastAsia" w:ascii="仿宋_GB2312" w:eastAsia="仿宋_GB2312"/>
          <w:b w:val="0"/>
          <w:sz w:val="32"/>
          <w:szCs w:val="32"/>
          <w:lang w:eastAsia="zh-CN"/>
        </w:rPr>
        <w:t>”</w:t>
      </w:r>
      <w:r>
        <w:rPr>
          <w:rFonts w:ascii="仿宋_GB2312" w:eastAsia="仿宋_GB2312"/>
          <w:b w:val="0"/>
          <w:sz w:val="32"/>
          <w:szCs w:val="32"/>
        </w:rPr>
        <w:t>项目支出，导致本年收入支出规模较上年有所增加。</w:t>
      </w:r>
    </w:p>
    <w:p w14:paraId="78A5B8F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0C2CBC3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本年收入254.29万元，其中：财政拨款收入254.28万元</w:t>
      </w:r>
      <w:r>
        <w:rPr>
          <w:rFonts w:hint="eastAsia" w:ascii="仿宋_GB2312" w:eastAsia="仿宋_GB2312"/>
          <w:b w:val="0"/>
          <w:sz w:val="32"/>
          <w:szCs w:val="32"/>
          <w:lang w:eastAsia="zh-CN"/>
        </w:rPr>
        <w:t>，</w:t>
      </w:r>
      <w:r>
        <w:rPr>
          <w:rFonts w:ascii="仿宋_GB2312" w:eastAsia="仿宋_GB2312"/>
          <w:b w:val="0"/>
          <w:sz w:val="32"/>
          <w:szCs w:val="32"/>
        </w:rPr>
        <w:t>占100.00%；上级补助收入0.00万元</w:t>
      </w:r>
      <w:r>
        <w:rPr>
          <w:rFonts w:hint="eastAsia" w:ascii="仿宋_GB2312" w:eastAsia="仿宋_GB2312"/>
          <w:b w:val="0"/>
          <w:sz w:val="32"/>
          <w:szCs w:val="32"/>
          <w:lang w:eastAsia="zh-CN"/>
        </w:rPr>
        <w:t>，</w:t>
      </w:r>
      <w:r>
        <w:rPr>
          <w:rFonts w:ascii="仿宋_GB2312" w:eastAsia="仿宋_GB2312"/>
          <w:b w:val="0"/>
          <w:sz w:val="32"/>
          <w:szCs w:val="32"/>
        </w:rPr>
        <w:t>占0.00%；事业收入0.00万元，占0.00%；经营收入0.00万元</w:t>
      </w:r>
      <w:r>
        <w:rPr>
          <w:rFonts w:hint="eastAsia" w:ascii="仿宋_GB2312" w:eastAsia="仿宋_GB2312"/>
          <w:b w:val="0"/>
          <w:sz w:val="32"/>
          <w:szCs w:val="32"/>
          <w:lang w:eastAsia="zh-CN"/>
        </w:rPr>
        <w:t>，</w:t>
      </w:r>
      <w:r>
        <w:rPr>
          <w:rFonts w:ascii="仿宋_GB2312" w:eastAsia="仿宋_GB2312"/>
          <w:b w:val="0"/>
          <w:sz w:val="32"/>
          <w:szCs w:val="32"/>
        </w:rPr>
        <w:t>占0.00%；附属单位上缴收入0.00万元，占0.00%；其他收入0.00万元，占0.00%。</w:t>
      </w:r>
    </w:p>
    <w:p w14:paraId="6B89B0F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0A4D3F2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本年支出259.38万元，其中：基本支出238.61万元，占91.99%；项目支出20.77万元，占8.01%；上缴上级支出0.00万元，占0.00%；经营支出0.00万元，占0.00%；对附属单位补助支出0.00万元，占0.00%。</w:t>
      </w:r>
    </w:p>
    <w:p w14:paraId="649FD26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6FB2CCB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2025年度财政拨款收入总计254.28万元，其中：年初财政拨款结转和结余0.00万元，本年财政拨款收入254.28万元。财政拨款支出总计254.28万元，其中：年末财政拨款结转和结余0.00万元，本年财政拨款支出254.28万元。</w:t>
      </w:r>
    </w:p>
    <w:p w14:paraId="5E0C947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2.27万元，下降0.88%，主要原因是：本年度使用财政拨款资金安排的质量安全监督检查费项目经费压减，导致财政拨款收入减少。与年初预算相比，年初预算数241.92万元，决算数254.28万元，预决算差异率5.11%，主要原因是：一是年中追加人员经费44.62万元，年末根据资金执行情况调减人员及公用经费32.26万元，两项资金增减变动相抵后，导致年初预算数与决算数相差12.36万元。</w:t>
      </w:r>
    </w:p>
    <w:p w14:paraId="0DEE95B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2B9E4324">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单位履职运转、质量安全监督、公共服务保障等重点支出，体现在有关支出科目中。</w:t>
      </w:r>
    </w:p>
    <w:p w14:paraId="72E923B5">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资源勘探开发（款）有色金属矿勘探和采选（项）的支出占本年财政拨款支出总额的比重最高，2025年度决算数为170.41万元，占比67.01%，主要用于单位履职运转支出。</w:t>
      </w:r>
    </w:p>
    <w:p w14:paraId="29896410">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07C7C5B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254.28万元，占本年支出合计的98.03%。与上年相比，减少2.27万元，下降0.88%，主要原因是：本年度使用财政拨款资金安排的质量安全监督检查费项目经费压减，导致财政拨款收入减少。与年初预算相比，年初预算数241.92万元，决算数254.28万元，预决算差异率5.11%，主要原因是：一是年中追加人员经费44.62万元，年末根据资金执行情况调减人员及公用经费32.26万元，两项资金增减变动相抵后，导致年初预算数与决算数相差12.36万元。</w:t>
      </w:r>
    </w:p>
    <w:p w14:paraId="222AF753">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76D5991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1.社会保障和就业支出（类）47.96万元，占18.86%。</w:t>
      </w:r>
    </w:p>
    <w:p w14:paraId="2F118A9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2.卫生健康支出（类）19.10万元，占7.51%。</w:t>
      </w:r>
    </w:p>
    <w:p w14:paraId="26B66C6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3.资源勘探工业信息等支出（类）170.41万元，占67.0</w:t>
      </w:r>
      <w:r>
        <w:rPr>
          <w:rFonts w:hint="eastAsia" w:ascii="仿宋_GB2312" w:eastAsia="仿宋_GB2312"/>
          <w:b w:val="0"/>
          <w:sz w:val="32"/>
          <w:szCs w:val="32"/>
          <w:lang w:val="en-US" w:eastAsia="zh-CN"/>
        </w:rPr>
        <w:t>1</w:t>
      </w:r>
      <w:r>
        <w:rPr>
          <w:rFonts w:ascii="仿宋_GB2312" w:eastAsia="仿宋_GB2312"/>
          <w:b w:val="0"/>
          <w:sz w:val="32"/>
          <w:szCs w:val="32"/>
        </w:rPr>
        <w:t>%。</w:t>
      </w:r>
    </w:p>
    <w:p w14:paraId="79A1F5C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4.住房保障支出（类）16.82万元，占6.61%。</w:t>
      </w:r>
    </w:p>
    <w:p w14:paraId="3661B57B">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38B5ECC8">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11.61万元，比上年决算增加4.83万元，增长71.24%，主要原因是：2025年一名职工在职转退休，退休人员增加，导致事业单位离退休经费支出增加。</w:t>
      </w:r>
    </w:p>
    <w:p w14:paraId="598875A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18.69万元，比上年决算减少0.26万元，下降1.37%，主要原因是：在职人员养老保险缴费基数变更，导致机关事业单位基本养老保险缴费支出有所减少。</w:t>
      </w:r>
    </w:p>
    <w:p w14:paraId="7F0E2779">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17.65万元，比上年决算减少3.19万元，下降15.31%，主要原因是：2025年无因办理在职转退休导致的一次性记实职业年金缴费支出，导致职业年金缴费支出减少。</w:t>
      </w:r>
    </w:p>
    <w:p w14:paraId="6D5A7F8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4、卫生健康支出（类）行政事业单位医疗（款）事业单位医疗（项）：支出决算数为10.79万元，比上年决算增加0.04万元，增长0.37%，主要原因是：在职人员正常晋升，社保基数调整，导致相应支出增加。</w:t>
      </w:r>
    </w:p>
    <w:p w14:paraId="3704F4BE">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5、卫生健康支出（类）行政事业单位医疗（款）公务员医疗补助（项）：支出决算数为8.31万元，比上年决算增加0.04万元，增长0.48%，主要原因是：在职人员正常晋升，社保基数调整，导致相应支出增加。</w:t>
      </w:r>
    </w:p>
    <w:p w14:paraId="7D5279A1">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资源勘探开发（款）有色金属矿勘探和采选（项）：支出决算数为170.41万元，比上年决算减少3.62万元，下降2.08%，主要原因是：本年度使用财政拨款资金安排的质量安全监督检查费项目经费压减，导致相应支出减少。</w:t>
      </w:r>
    </w:p>
    <w:p w14:paraId="1F9E6D58">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7、住房保障支出（类）住房改革支出（款）住房公积金（项）：支出决算数为16.82万元，比上年决算减少0.12万元，下降0.71%，主要原因是：在职人员住房公积金缴费基数变更，导致住房公积金支出有所减少。</w:t>
      </w:r>
    </w:p>
    <w:p w14:paraId="28E3BA3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44D36D2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238.61万元，其中：人员经费229.00万元，包括：基本工资、津贴补贴、奖金、绩效工资、机关事业单位基本养老保险缴费、职业年金缴费、职工基本医疗保险缴费、公务员医疗补助缴费、其他社会保障缴费、住房公积金、退休费和其他对个人和家庭的补助。</w:t>
      </w:r>
    </w:p>
    <w:p w14:paraId="144C502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公用经费9.62万元，包括：办公费、电费、邮电费、差旅费、工会经费、福利费、公务用车运行维护费和其他商品和服务支出。</w:t>
      </w:r>
    </w:p>
    <w:p w14:paraId="34779AA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4180093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06F8B68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5D41419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3E0F566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70695FF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经费支出1.90万元，比上年增加1.56万元，增长458.82%，主要原因是：2024年我单位</w:t>
      </w:r>
      <w:r>
        <w:rPr>
          <w:rFonts w:hint="eastAsia" w:ascii="仿宋_GB2312" w:eastAsia="仿宋_GB2312"/>
          <w:b w:val="0"/>
          <w:sz w:val="32"/>
          <w:szCs w:val="32"/>
          <w:lang w:eastAsia="zh-CN"/>
        </w:rPr>
        <w:t>“三公”经费</w:t>
      </w:r>
      <w:r>
        <w:rPr>
          <w:rFonts w:ascii="仿宋_GB2312" w:eastAsia="仿宋_GB2312"/>
          <w:b w:val="0"/>
          <w:sz w:val="32"/>
          <w:szCs w:val="32"/>
        </w:rPr>
        <w:t>支出为0.34万元，2025年根据实际需求调整公务用车运行维护费支出为1.90万元。其中：因公出国（境）费用支出0.00万元</w:t>
      </w:r>
      <w:r>
        <w:rPr>
          <w:rFonts w:hint="eastAsia" w:ascii="仿宋_GB2312" w:eastAsia="仿宋_GB2312"/>
          <w:b w:val="0"/>
          <w:sz w:val="32"/>
          <w:szCs w:val="32"/>
          <w:lang w:eastAsia="zh-CN"/>
        </w:rPr>
        <w:t>，</w:t>
      </w:r>
      <w:r>
        <w:rPr>
          <w:rFonts w:ascii="仿宋_GB2312" w:eastAsia="仿宋_GB2312"/>
          <w:b w:val="0"/>
          <w:sz w:val="32"/>
          <w:szCs w:val="32"/>
        </w:rPr>
        <w:t>占0.00%，与上年相比无变化，主要原因是：我单位无因公出国（境）费用支出；公务用车购置及运行维护费支出1.90万元，占100.00%，比上年增加1.56万元，增长458.82%，主要原因是：2024年我单位</w:t>
      </w:r>
      <w:r>
        <w:rPr>
          <w:rFonts w:hint="eastAsia" w:ascii="仿宋_GB2312" w:eastAsia="仿宋_GB2312"/>
          <w:b w:val="0"/>
          <w:sz w:val="32"/>
          <w:szCs w:val="32"/>
          <w:lang w:eastAsia="zh-CN"/>
        </w:rPr>
        <w:t>“三公”经费</w:t>
      </w:r>
      <w:r>
        <w:rPr>
          <w:rFonts w:ascii="仿宋_GB2312" w:eastAsia="仿宋_GB2312"/>
          <w:b w:val="0"/>
          <w:sz w:val="32"/>
          <w:szCs w:val="32"/>
        </w:rPr>
        <w:t>支出为0.34万元，2025年根据实际需求调整公务用车运行维护费支出为1.90万元；公务接待费支出0.00万元，占0.00%，与上年相比无变化，主要原因是：我单位无公务接待费支出。</w:t>
      </w:r>
    </w:p>
    <w:p w14:paraId="6CD324ED">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3E292A7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lang w:eastAsia="zh-CN"/>
        </w:rPr>
        <w:t>：</w:t>
      </w:r>
      <w:r>
        <w:rPr>
          <w:rFonts w:hint="eastAsia" w:ascii="仿宋_GB2312" w:eastAsia="仿宋_GB2312"/>
          <w:b w:val="0"/>
          <w:sz w:val="32"/>
          <w:szCs w:val="32"/>
        </w:rPr>
        <w:t>本年度未发生因公出国（境）相关支出</w:t>
      </w:r>
      <w:r>
        <w:rPr>
          <w:rFonts w:ascii="仿宋_GB2312" w:eastAsia="仿宋_GB2312"/>
          <w:b w:val="0"/>
          <w:sz w:val="32"/>
          <w:szCs w:val="32"/>
        </w:rPr>
        <w:t>。单位全年安排的因公出国（境）团组0个，因公出国（境）0人次。</w:t>
      </w:r>
    </w:p>
    <w:p w14:paraId="38EE816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公务用车购置及运行维护费1.90万元，其中：公务用车购置费0.00万元，公务用车运行维护费1.90万元。公务用车运行维护费开支内容包括</w:t>
      </w:r>
      <w:r>
        <w:rPr>
          <w:rFonts w:hint="eastAsia" w:ascii="仿宋_GB2312" w:eastAsia="仿宋_GB2312"/>
          <w:b w:val="0"/>
          <w:sz w:val="32"/>
          <w:szCs w:val="32"/>
          <w:lang w:eastAsia="zh-CN"/>
        </w:rPr>
        <w:t>：</w:t>
      </w:r>
      <w:r>
        <w:rPr>
          <w:rFonts w:ascii="仿宋_GB2312" w:eastAsia="仿宋_GB2312"/>
          <w:b w:val="0"/>
          <w:sz w:val="32"/>
          <w:szCs w:val="32"/>
        </w:rPr>
        <w:t>车辆保险、加油、维修等支出。公务用车购置数0辆，公务用车保有量2辆。国有资产占用情况中固定资产车辆2辆，与公务用车保有量差异原因是：与公务用车保有量无差异。</w:t>
      </w:r>
    </w:p>
    <w:p w14:paraId="1DCD43A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w:t>
      </w:r>
      <w:r>
        <w:rPr>
          <w:rFonts w:hint="eastAsia" w:ascii="仿宋_GB2312" w:eastAsia="仿宋_GB2312"/>
          <w:b w:val="0"/>
          <w:sz w:val="32"/>
          <w:szCs w:val="32"/>
        </w:rPr>
        <w:t>本年度未发生</w:t>
      </w:r>
      <w:r>
        <w:rPr>
          <w:rFonts w:hint="eastAsia" w:ascii="仿宋_GB2312" w:eastAsia="仿宋_GB2312"/>
          <w:b w:val="0"/>
          <w:sz w:val="32"/>
          <w:szCs w:val="32"/>
          <w:lang w:eastAsia="zh-CN"/>
        </w:rPr>
        <w:t>公务接待费</w:t>
      </w:r>
      <w:r>
        <w:rPr>
          <w:rFonts w:hint="eastAsia" w:ascii="仿宋_GB2312" w:eastAsia="仿宋_GB2312"/>
          <w:b w:val="0"/>
          <w:sz w:val="32"/>
          <w:szCs w:val="32"/>
        </w:rPr>
        <w:t>相关支出</w:t>
      </w:r>
      <w:r>
        <w:rPr>
          <w:rFonts w:ascii="仿宋_GB2312" w:eastAsia="仿宋_GB2312"/>
          <w:b w:val="0"/>
          <w:sz w:val="32"/>
          <w:szCs w:val="32"/>
        </w:rPr>
        <w:t>。单位全年安排的国内公务接待0批次，0人次。</w:t>
      </w:r>
    </w:p>
    <w:p w14:paraId="25285CE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与全年预算相比，财政拨款“三公”经费支出全年预算数1.90万元，决算数1.90万元，预决算差异率0.00%，主要原因是：严格执行中央八项规定及</w:t>
      </w:r>
      <w:r>
        <w:rPr>
          <w:rFonts w:hint="eastAsia" w:ascii="仿宋_GB2312" w:eastAsia="仿宋_GB2312"/>
          <w:b w:val="0"/>
          <w:sz w:val="32"/>
          <w:szCs w:val="32"/>
          <w:lang w:val="en-US" w:eastAsia="zh-CN"/>
        </w:rPr>
        <w:t>其实施</w:t>
      </w:r>
      <w:r>
        <w:rPr>
          <w:rFonts w:ascii="仿宋_GB2312" w:eastAsia="仿宋_GB2312"/>
          <w:b w:val="0"/>
          <w:sz w:val="32"/>
          <w:szCs w:val="32"/>
        </w:rPr>
        <w:t>细则，做到</w:t>
      </w:r>
      <w:r>
        <w:rPr>
          <w:rFonts w:hint="eastAsia" w:ascii="仿宋_GB2312" w:eastAsia="仿宋_GB2312"/>
          <w:b w:val="0"/>
          <w:sz w:val="32"/>
          <w:szCs w:val="32"/>
          <w:lang w:eastAsia="zh-CN"/>
        </w:rPr>
        <w:t>“三公”经费</w:t>
      </w:r>
      <w:r>
        <w:rPr>
          <w:rFonts w:ascii="仿宋_GB2312" w:eastAsia="仿宋_GB2312"/>
          <w:b w:val="0"/>
          <w:sz w:val="32"/>
          <w:szCs w:val="32"/>
        </w:rPr>
        <w:t>只减不增，无预算不支出。其中：因公出国（境）费用全年预算数0.00万元，决算数0.00万元，预决算差异率0.00%，主要原因是：我单位无因公出国（境）费用支出；公务用车购置费全年预算数0.00万元，决算数0.00万元，预决算差异率0.00%，主要原因是：我单位无公务用车购置费支出；公务用车运行维护费全年预算数1.90万元，决算数1.90万元，预决算差异率0.00%，主要原因是：严格执行中央八项规定及</w:t>
      </w:r>
      <w:r>
        <w:rPr>
          <w:rFonts w:hint="eastAsia" w:ascii="仿宋_GB2312" w:eastAsia="仿宋_GB2312"/>
          <w:b w:val="0"/>
          <w:sz w:val="32"/>
          <w:szCs w:val="32"/>
          <w:lang w:val="en-US" w:eastAsia="zh-CN"/>
        </w:rPr>
        <w:t>其实施</w:t>
      </w:r>
      <w:r>
        <w:rPr>
          <w:rFonts w:ascii="仿宋_GB2312" w:eastAsia="仿宋_GB2312"/>
          <w:b w:val="0"/>
          <w:sz w:val="32"/>
          <w:szCs w:val="32"/>
        </w:rPr>
        <w:t>细则，做到</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经费只减不增，无预算不支出；公务接待费全年预算数0.00万元，决算数0.00万元，预决算差异率0.00%，主要原因是：我单位无公务接待费。</w:t>
      </w:r>
    </w:p>
    <w:p w14:paraId="77690C8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259E5F1D">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15CA7E7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2025年度新疆维吾尔自治区专业建设工程质量安全监督站（事业单位）公用经费支出9.62万元，比上年减少3.41万元，下降26.17%，主要原因是：2025年一名职工在职转退休，在职人员减少，导致公用经费支出减少。</w:t>
      </w:r>
    </w:p>
    <w:p w14:paraId="444934BB">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241B4FA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2025年度政府采购支出总额2.15万元，其中：政府采购货物支出0.32万元、政府采购工程支出0.00万元、政府采购服务支出1.83万元。</w:t>
      </w:r>
    </w:p>
    <w:p w14:paraId="0EFC20C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授予中小企业合同金额0.84万元，占政府采购支出总额的39.07%，其中：授予小微企业合同金额0.70万元，占政府采购支出总额的32.56%。</w:t>
      </w:r>
    </w:p>
    <w:p w14:paraId="20BDD47C">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719D521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0.00平方米，价值0.00万元。车辆2辆，价值42.78万元，其中：副部（省）级及以上领导用车0辆、主要负责人用车0辆、机要通信用车0辆、应急保障用车0辆、执法执勤用车0辆、特种专业技术用车0辆、离退休干部服务用车0辆、其他用车2辆，其他用车主要是：一般公务用车</w:t>
      </w:r>
      <w:r>
        <w:rPr>
          <w:rFonts w:hint="eastAsia" w:ascii="仿宋_GB2312" w:eastAsia="仿宋_GB2312"/>
          <w:b w:val="0"/>
          <w:sz w:val="32"/>
          <w:szCs w:val="32"/>
          <w:lang w:eastAsia="zh-CN"/>
        </w:rPr>
        <w:t>；</w:t>
      </w:r>
      <w:r>
        <w:rPr>
          <w:rFonts w:ascii="仿宋_GB2312" w:eastAsia="仿宋_GB2312"/>
          <w:b w:val="0"/>
          <w:sz w:val="32"/>
          <w:szCs w:val="32"/>
        </w:rPr>
        <w:t>单价100万元（含）以上设备（不含车辆）0台（套）。</w:t>
      </w:r>
    </w:p>
    <w:p w14:paraId="1DD163E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1601B12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2个，全年预算数25.10万元，全年执行数20.77万元。预算绩效管理取得的成效：一是严格执行《工信厅全面预算绩效管理办法》，规范和加快预算执行，积极做好绩效监控和绩效评价工作，确保预算执行的及时性和规范性,切实发挥财政资金最大效用；二是各项工作实施及资金使用情况均在绩效目标设定时限完成，在项目经费的使用上，在保证各项任务顺利完成的同时，严格落实厉行节约原则；三是突出做好质量和安全监督检查工作，确保项目质量和效益，助力经济高质量发展，维护社会稳定和长治久安。发现的问题及原因：根据重点工作安排，在项目支出绩效监控工作中，存在预算整体支出绩效目标与产出的数量指标、质量指标缺乏对应性，关联性和可操作性不强。存在对项目绩效目标的设定和各项指标的理解、认识不到位，导致项目绩效目标不够明确、不够细化、不够量化、缺乏可衡量性和可实现性。执行周期较长，影响了该项目的预算执行率，降低了绩效监控及绩效评价报告工作质量。下一步改进措施：一是建成单位系统内控体系，进一步规范资金使用管理全流程，依程序高质量完成各项工作任务。二是在今后的绩效目标设定过程中，注意考虑如疫情等突发事件的影响，制定出更加符合实际的绩效目标，加强绩效目标对管理工作的指导作用。具体附项目支出绩效自评表。</w:t>
      </w:r>
    </w:p>
    <w:p w14:paraId="77E64B3D">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65C86AB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57BA946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79452584">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1459976B">
      <w:pPr>
        <w:widowControl/>
      </w:pPr>
      <w:r>
        <w:rPr>
          <w:b w:val="0"/>
          <w:sz w:val="0"/>
          <w:szCs w:val="0"/>
        </w:rPr>
        <w:br w:type="page"/>
      </w:r>
    </w:p>
    <w:p w14:paraId="6E2CB874">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643ED17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05F6192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4C71F38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13380B9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5CA310C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741B994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44FE3F8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193D197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6A926A4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3BBAC77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1491952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4BA1215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502A001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5800BD6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0DA0F331">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5C9EC05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936834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2CD79D97">
      <w:pPr>
        <w:widowControl/>
      </w:pPr>
      <w:r>
        <w:rPr>
          <w:b w:val="0"/>
          <w:sz w:val="0"/>
          <w:szCs w:val="0"/>
        </w:rPr>
        <w:br w:type="page"/>
      </w:r>
    </w:p>
    <w:p w14:paraId="5F249113">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6B1554F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077BDE0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4F4A61D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18CCFF3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7713395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4411703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016859D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2F3EF95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5B30F6F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226367"/>
    <w:rsid w:val="21A713CE"/>
    <w:rsid w:val="224F429B"/>
    <w:rsid w:val="22F23E66"/>
    <w:rsid w:val="258C11B7"/>
    <w:rsid w:val="2B0A0D5F"/>
    <w:rsid w:val="31DD2753"/>
    <w:rsid w:val="4EA84268"/>
    <w:rsid w:val="4FFF83E3"/>
    <w:rsid w:val="591756C3"/>
    <w:rsid w:val="5BB029AE"/>
    <w:rsid w:val="5CE33CC4"/>
    <w:rsid w:val="5D8F3D5B"/>
    <w:rsid w:val="606940D8"/>
    <w:rsid w:val="61254671"/>
    <w:rsid w:val="63B042D3"/>
    <w:rsid w:val="6B9419A4"/>
    <w:rsid w:val="6B9942D7"/>
    <w:rsid w:val="6C9E790E"/>
    <w:rsid w:val="71BB2380"/>
    <w:rsid w:val="77FA41DD"/>
    <w:rsid w:val="7CA43D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5771</Words>
  <Characters>6391</Characters>
  <TotalTime>55</TotalTime>
  <ScaleCrop>false</ScaleCrop>
  <LinksUpToDate>false</LinksUpToDate>
  <CharactersWithSpaces>6401</CharactersWithSpaces>
  <Application>WPS Office_12.1.2.23582_F1E327BC-269C-435d-A152-05C5408002CA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2026-08-26T03:49:00Z</dcterms:created>
  <dc:creator>Administrator</dc:creator>
  <cp:lastModifiedBy>user</cp:lastModifiedBy>
  <dcterms:modified xsi:type="dcterms:W3CDTF">2026-09-02T11:50:58Z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7E4F07A2C5F546AE92ECBABF86AE4433_13</vt:lpwstr>
  </property>
  <property fmtid="{D5CDD505-2E9C-101B-9397-08002B2CF9AE}" pid="4" name="KSOTemplateDocerSaveRecord">
    <vt:lpwstr>eyJoZGlkIjoiNmZkMjYyYzAxYjhmOGVmYjRhNDdiNWU4MjMwYTAyNjgiLCJ1c2VySWQiOiIyNTIzNDE3MTMifQ==</vt:lpwstr>
  </property>
</Properties>
</file>