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C5763">
      <w:pPr>
        <w:widowControl/>
        <w:spacing w:before="0" w:beforeLines="0" w:beforeAutospacing="0" w:after="0" w:afterLines="0" w:afterAutospacing="0" w:line="240" w:lineRule="auto"/>
        <w:jc w:val="left"/>
        <w:rPr>
          <w:rFonts w:ascii="宋体" w:eastAsia="宋体"/>
          <w:sz w:val="32"/>
          <w:szCs w:val="32"/>
        </w:rPr>
      </w:pPr>
    </w:p>
    <w:p w14:paraId="4F5353FD">
      <w:pPr>
        <w:widowControl/>
        <w:spacing w:before="0" w:beforeLines="0" w:beforeAutospacing="0" w:after="0" w:afterLines="0" w:afterAutospacing="0" w:line="240" w:lineRule="auto"/>
        <w:jc w:val="left"/>
        <w:rPr>
          <w:rFonts w:ascii="宋体" w:eastAsia="宋体"/>
          <w:sz w:val="44"/>
          <w:szCs w:val="44"/>
        </w:rPr>
      </w:pPr>
    </w:p>
    <w:p w14:paraId="3FA4E7DD">
      <w:pPr>
        <w:widowControl/>
        <w:spacing w:before="0" w:beforeLines="0" w:beforeAutospacing="0" w:after="0" w:afterLines="0" w:afterAutospacing="0" w:line="240" w:lineRule="auto"/>
        <w:jc w:val="left"/>
        <w:rPr>
          <w:rFonts w:ascii="宋体" w:eastAsia="宋体"/>
          <w:sz w:val="44"/>
          <w:szCs w:val="44"/>
        </w:rPr>
      </w:pPr>
    </w:p>
    <w:p w14:paraId="406F280F">
      <w:pPr>
        <w:widowControl/>
        <w:spacing w:before="0" w:beforeLines="0" w:beforeAutospacing="0" w:after="0" w:afterLines="0" w:afterAutospacing="0" w:line="240" w:lineRule="auto"/>
        <w:jc w:val="left"/>
        <w:rPr>
          <w:rFonts w:ascii="宋体" w:eastAsia="宋体"/>
          <w:sz w:val="44"/>
          <w:szCs w:val="44"/>
        </w:rPr>
      </w:pPr>
    </w:p>
    <w:p w14:paraId="2663DD62">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新疆维吾尔自治区工业和信息化厅机关服务中心</w:t>
      </w:r>
    </w:p>
    <w:p w14:paraId="300B20EB">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4F58EED5">
      <w:pPr>
        <w:widowControl/>
      </w:pPr>
      <w:r>
        <w:rPr>
          <w:b w:val="0"/>
          <w:sz w:val="0"/>
          <w:szCs w:val="0"/>
        </w:rPr>
        <w:br w:type="page"/>
      </w:r>
    </w:p>
    <w:p w14:paraId="0C163EBF">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1A855C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08D17A2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04B82A3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15F254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9F5A0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B89EC1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87145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4C81037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7F1DC8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27FDF9D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3884467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4005D1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4BABA3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192874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2F9F36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59F4C89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CAA5A9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1643910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42A126D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51485A7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30B5E16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E4967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6F7CD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1E22E8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67030EE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239CD01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5B55235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DC1719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3F6EAC7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2CEDFF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78F9BC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E14894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39D206C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3AB3FE16">
      <w:pPr>
        <w:widowControl/>
      </w:pPr>
      <w:r>
        <w:rPr>
          <w:b w:val="0"/>
          <w:sz w:val="0"/>
          <w:szCs w:val="0"/>
        </w:rPr>
        <w:br w:type="page"/>
      </w:r>
    </w:p>
    <w:p w14:paraId="0BFBB42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1E09B96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2C56F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负责自治区工信厅机关后勤服务保障,负责自治区工信厅三个机关办公楼值班安保、消防、水电暖等公用设施维修维护及水电暖气费的收缴;17个住宅区值班安保、消防安全管理、水电暖等公用设施维修维护及改造，水、电、物业管理各类费用收缴工作。（2）负责自治区工信厅机关车辆管理、使用和保养维修工作、安全行车教育。（3）负责自治区工信厅公有房屋的管理、使用、租赁等。（4）负责自治区工信厅机关后勤服务和环境卫生、绿化等工作。（5）协助有关部门开展综合治理,创建平安单位和社区精神文明建设等工作。（6）承担自治区工信厅系统公共机构节能（垃圾分类）工作。本单位下设7个科室，分别是：综合科、财务科、办公楼服务科、物业管理科、生活服务科、车队、国防工办招待所。</w:t>
      </w:r>
    </w:p>
    <w:p w14:paraId="5524084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781BDE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新疆维吾尔自治区工业和信息化厅机关服务中心无下属预算单位。</w:t>
      </w:r>
    </w:p>
    <w:p w14:paraId="39EDBF7F">
      <w:pPr>
        <w:widowControl/>
      </w:pPr>
      <w:r>
        <w:rPr>
          <w:b w:val="0"/>
          <w:sz w:val="0"/>
          <w:szCs w:val="0"/>
        </w:rPr>
        <w:br w:type="page"/>
      </w:r>
    </w:p>
    <w:p w14:paraId="32CC005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25C2BBA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4F0D37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2025年度收入总计1,690.34万元，其中：本年收入合计1,622.81万元，使用非财政拨款结余（含专用结余）0.00万元，年初结转和结余67.54万元。</w:t>
      </w:r>
    </w:p>
    <w:p w14:paraId="55AAB98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2025年度支出总计1,690.34万元，其中：本年支出合计1,622.58万元，结余分配0.00万元，年末结转和结余67.76万元。</w:t>
      </w:r>
    </w:p>
    <w:p w14:paraId="4C961E0F">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收入支出总体与上年相比，增加322.41万元，增长23.57%，主要原因是：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）文件要求将原自治区机械电子工业行业管理办公室机关服务中心6人划转至自治区工业和信息化厅机关服务中心，调入2人，军队转业安置1人，导致对应预算收入增加；二是追加安排人员经费。</w:t>
      </w:r>
    </w:p>
    <w:p w14:paraId="0DCBCEA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4C4C186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本年收入1,622.81万元，其中：财政拨款收入1,622.58万元,占99.99%；上级补助收入0.00万元,占0.00%；事业收入0.00万元，占0.00%；经营收入0.00万元,占0.00%；附属单位上缴收入0.00万元，占0.00%；其他收入0.23万元，占0.01%。</w:t>
      </w:r>
    </w:p>
    <w:p w14:paraId="44F8C51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3E16DD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本年支出1,622.58万元，其中：基本支出1,622.58万元，占100.00%；项目支出0.00万元，占0.00%；上缴上级支出0.00万元，占0.00%；经营支出0.00万元，占0.00%；对附属单位补助支出0.00万元，占0.00%。</w:t>
      </w:r>
    </w:p>
    <w:p w14:paraId="4A532E9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22AD2BE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1,622.58万元，其中：年初财政拨款结转和结余0.00万元，本年财政拨款收入1,622.58万元。财政拨款支出总计1,622.58万元，其中：年末财政拨款结转和结余0.00万元，本年财政拨款支出1,622.58万元。</w:t>
      </w:r>
    </w:p>
    <w:p w14:paraId="60DCCCCD">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财政拨款收入支出总体与上年相比，增加255.52万元，增长18.69%，主要原因是：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）文件要求将原自治区机械电子工业行业管理办公室机关服务中心6人划转至自治区工业和信息化厅机关服务中心，调入2人，军队转业安置1人，导致对应预算增加。</w:t>
      </w:r>
      <w:r>
        <w:rPr>
          <w:rFonts w:ascii="仿宋_GB2312" w:eastAsia="仿宋_GB2312"/>
          <w:b w:val="0"/>
          <w:sz w:val="32"/>
          <w:szCs w:val="32"/>
        </w:rPr>
        <w:t>与年初预算相比，年初预算数1,364.18万元，决算数1,622.58万元，预决算差异率18.94%，主要原因是：</w:t>
      </w:r>
      <w:r>
        <w:rPr>
          <w:rFonts w:hint="eastAsia" w:ascii="仿宋_GB2312" w:eastAsia="仿宋_GB2312"/>
          <w:b w:val="0"/>
          <w:sz w:val="32"/>
          <w:szCs w:val="32"/>
          <w:lang w:val="en-US" w:eastAsia="zh-CN"/>
        </w:rPr>
        <w:t>一是新增人员手续均在年中办理，相应人员经费增加；二是追加安排人员经费。</w:t>
      </w:r>
    </w:p>
    <w:p w14:paraId="203901F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5CB2CE1">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经费、公用经费、项目支出等重点支出，体现在有关支出科目中。</w:t>
      </w:r>
    </w:p>
    <w:p w14:paraId="154128D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按照支出功能分类，资源勘探工业信息等支出（类）工业和信息产业（款）机关服务（项）的支出占本年财政拨款支出总额的比重最高，2025年度决算数为907.69万元，占比55.94%，主要用于</w:t>
      </w:r>
      <w:r>
        <w:rPr>
          <w:rFonts w:hint="eastAsia" w:ascii="仿宋_GB2312" w:eastAsia="仿宋_GB2312"/>
          <w:b w:val="0"/>
          <w:sz w:val="32"/>
          <w:szCs w:val="32"/>
          <w:lang w:val="en-US" w:eastAsia="zh-CN"/>
        </w:rPr>
        <w:t>人员</w:t>
      </w:r>
      <w:r>
        <w:rPr>
          <w:rFonts w:ascii="仿宋_GB2312" w:eastAsia="仿宋_GB2312"/>
          <w:b w:val="0"/>
          <w:sz w:val="32"/>
          <w:szCs w:val="32"/>
        </w:rPr>
        <w:t>工资</w:t>
      </w:r>
      <w:r>
        <w:rPr>
          <w:rFonts w:hint="eastAsia" w:ascii="仿宋_GB2312" w:eastAsia="仿宋_GB2312"/>
          <w:b w:val="0"/>
          <w:sz w:val="32"/>
          <w:szCs w:val="32"/>
          <w:lang w:val="en-US" w:eastAsia="zh-CN"/>
        </w:rPr>
        <w:t>及单位运转</w:t>
      </w:r>
      <w:r>
        <w:rPr>
          <w:rFonts w:ascii="仿宋_GB2312" w:eastAsia="仿宋_GB2312"/>
          <w:b w:val="0"/>
          <w:sz w:val="32"/>
          <w:szCs w:val="32"/>
        </w:rPr>
        <w:t>。</w:t>
      </w:r>
    </w:p>
    <w:p w14:paraId="7152163A">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53124972">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2025年度一般公共预算财政拨款支出1,622.58万元，占本年支出合计的100.00%。与上年相比，增加255.52万元，增长18.69%，主要原因是：</w:t>
      </w:r>
      <w:r>
        <w:rPr>
          <w:rFonts w:hint="eastAsia" w:ascii="仿宋_GB2312" w:eastAsia="仿宋_GB2312"/>
          <w:b w:val="0"/>
          <w:sz w:val="32"/>
          <w:szCs w:val="32"/>
          <w:lang w:val="en-US" w:eastAsia="zh-CN"/>
        </w:rPr>
        <w:t>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）文件要求将原自治区机械电子工业行业管理办公室机关服务中心6人划转至自治区工业和信息化厅机关服务中心，调入2人，军队转业安置1人，导致对应预算增加。</w:t>
      </w:r>
      <w:r>
        <w:rPr>
          <w:rFonts w:ascii="仿宋_GB2312" w:eastAsia="仿宋_GB2312"/>
          <w:b w:val="0"/>
          <w:sz w:val="32"/>
          <w:szCs w:val="32"/>
        </w:rPr>
        <w:t>与年初预算相比，年初预算数1,364.18万元，决算数1,622.58万元，预决算差异率18.94%，主要原因是：</w:t>
      </w:r>
      <w:r>
        <w:rPr>
          <w:rFonts w:hint="eastAsia" w:ascii="仿宋_GB2312" w:eastAsia="仿宋_GB2312"/>
          <w:b w:val="0"/>
          <w:sz w:val="32"/>
          <w:szCs w:val="32"/>
          <w:lang w:val="en-US" w:eastAsia="zh-CN"/>
        </w:rPr>
        <w:t>一是新增人员手续均在年中办理；相应人员经费增加；二是追加安排人员经费。</w:t>
      </w:r>
    </w:p>
    <w:p w14:paraId="761F999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4ED731A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1.社会保障和就业支出（类）507.00万元，占31.25%。</w:t>
      </w:r>
    </w:p>
    <w:p w14:paraId="2ADFA24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2.卫生健康支出（类）115.91万元，占7.14%。</w:t>
      </w:r>
    </w:p>
    <w:p w14:paraId="29AD405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3.资源勘探工业信息等支出（类）907.69万元，占55.94%。</w:t>
      </w:r>
    </w:p>
    <w:p w14:paraId="19B23D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4.住房保障支出（类）91.98万元，占5.67%。</w:t>
      </w:r>
    </w:p>
    <w:p w14:paraId="582CEDE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594FC8C">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1、社会保障和就业支出（类）行政事业单位养老支出（款）事业单位离退休（项）：支出决算数为252.77万元，比上年决算减少11.17万元，下降4.23%，主要原因是：离退休人员去世2人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离休工资减少，一般公共预算财政拨款支出减少。</w:t>
      </w:r>
    </w:p>
    <w:p w14:paraId="4932A95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2、社会保障和就业支出（类）行政事业单位养老支出（款）机关事业单位基本养老保险缴费支出（项）：支出决算数为112.26万元，比上年决算增加7.84万元，增长7.51%，主要原因是：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）文件要求将原自治区机械电子工业行业管理办公室机关服务中心6人划转至自治区工业和信息化厅机关服务中心，调入2人，军队转业安置1人，导致对应预算增加；二是社保类缴费基数上调</w:t>
      </w:r>
      <w:r>
        <w:rPr>
          <w:rFonts w:ascii="仿宋_GB2312" w:eastAsia="仿宋_GB2312"/>
          <w:b w:val="0"/>
          <w:sz w:val="32"/>
          <w:szCs w:val="32"/>
        </w:rPr>
        <w:t>，</w:t>
      </w:r>
      <w:r>
        <w:rPr>
          <w:rFonts w:hint="eastAsia" w:ascii="仿宋_GB2312" w:eastAsia="仿宋_GB2312"/>
          <w:b w:val="0"/>
          <w:sz w:val="32"/>
          <w:szCs w:val="32"/>
          <w:lang w:val="en-US" w:eastAsia="zh-CN"/>
        </w:rPr>
        <w:t>导致相应支出较上年增加</w:t>
      </w:r>
      <w:r>
        <w:rPr>
          <w:rFonts w:ascii="仿宋_GB2312" w:eastAsia="仿宋_GB2312"/>
          <w:b w:val="0"/>
          <w:sz w:val="32"/>
          <w:szCs w:val="32"/>
        </w:rPr>
        <w:t>。</w:t>
      </w:r>
    </w:p>
    <w:p w14:paraId="1489CC1F">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3、社会保障和就业支出（类）行政事业单位养老支出（款）机关事业单位职业年金缴费支出（项）：支出决算数为99.08万元，比上年决算增加67.63万元，增长215.04%，主要原因是：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增加；二是因社保类缴费基数上调，导致相应支出较上年增加。</w:t>
      </w:r>
    </w:p>
    <w:p w14:paraId="792FEBC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4、社会保障和就业支出（类）抚恤（款）死亡抚恤（项）：支出决算数为42.89万元，比上年决算增加42.89万元，增长100.00%，主要原因是：离退休职工去世2人。</w:t>
      </w:r>
    </w:p>
    <w:p w14:paraId="587FB432">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5、卫生健康支出（类）行政事业单位医疗（款）事业单位医疗（项）：支出决算数为67.01万元，比上年决算增加17.22万元，增长34.59%，主要原因是：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增加；二是因社保类缴费基数上调，导致相应支出较上年增加。</w:t>
      </w:r>
    </w:p>
    <w:p w14:paraId="768B4149">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6、卫生健康支出（类）行政事业单位医疗（款）公务员医疗补助（项）：支出决算数为48.90万元，比上年决算增加2.87万元，增长6.24%，主要原因是：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增加；二是因社保类缴费基数上调，导致相应支出较上年增加。</w:t>
      </w:r>
    </w:p>
    <w:p w14:paraId="4BE9E939">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7、资源勘探工业信息等支出（类）工业和信息产业（款）机关服务（项）：支出决算数为907.69万元，比上年决算增加117.89万元，增长14.93%，主要原因是：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）文件要求将原自治区机械电子工业行业管理办公室机关服务中心6人划转至自治区工业和信息化厅机关服务中心，调入2人，军队转业安置1人，导致对应预算收入增加；二是追加安排人员经费。</w:t>
      </w:r>
    </w:p>
    <w:p w14:paraId="43F93CCE">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8、住房保障支出（类）住房改革支出（款）住房公积金（项）：支出决算数为91.98万元，比上年决算增加10.36万元，增长12.69%，主要原因是：</w:t>
      </w:r>
      <w:r>
        <w:rPr>
          <w:rFonts w:hint="eastAsia" w:ascii="仿宋_GB2312" w:eastAsia="仿宋_GB2312"/>
          <w:b w:val="0"/>
          <w:sz w:val="32"/>
          <w:szCs w:val="32"/>
          <w:lang w:val="en-US" w:eastAsia="zh-CN"/>
        </w:rPr>
        <w:t>一是根据《新疆维吾尔自治区人力资源和社会保障厅》（新人社函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预算增加；二是因社保类缴费基数上调，导致相应支出较上年增加。</w:t>
      </w:r>
    </w:p>
    <w:p w14:paraId="41F1FC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8A368E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1,622.58万元，其中：人员经费1,561.59万元，包括：基本工资、津贴补贴、奖金、绩效工资、机关事业单位基本养老保险缴费、职业年金缴费、职工基本医疗保险缴费、公务员医疗补助缴费、其他社会保障缴费、住房公积金、其他工资福利支出、离休费、退休费、抚恤金和其他对个人和家庭的补助。</w:t>
      </w:r>
    </w:p>
    <w:p w14:paraId="4E487ED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公用经费60.99万元，包括：办公费、差旅费、培训费、工会经费、福利费、公务用车运行维护费和其他商品和服务支出。</w:t>
      </w:r>
    </w:p>
    <w:p w14:paraId="19D4582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DA53D5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1D3B2A4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01B68D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E6D331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23E7A2D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2025年度财政拨款“三公”经费支出4.29万元，比上年增加0.01万元，增长0.23%，主要原因是：</w:t>
      </w:r>
      <w:r>
        <w:rPr>
          <w:rFonts w:hint="eastAsia" w:ascii="仿宋_GB2312" w:eastAsia="仿宋_GB2312"/>
          <w:b w:val="0"/>
          <w:sz w:val="32"/>
          <w:szCs w:val="32"/>
          <w:lang w:val="en-US" w:eastAsia="zh-CN"/>
        </w:rPr>
        <w:t>现有公务车辆使用年限较长，零部件耗损加大，故障频次有所上升，造成本年度车辆维修维护费用增加</w:t>
      </w:r>
      <w:r>
        <w:rPr>
          <w:rFonts w:ascii="仿宋_GB2312" w:eastAsia="仿宋_GB2312"/>
          <w:b w:val="0"/>
          <w:sz w:val="32"/>
          <w:szCs w:val="32"/>
        </w:rPr>
        <w:t>。其中：因公出国（境）费用支出0.00万元,占0.00%，与上年相比无变化，主要原因是：无因公出国（境）费；公务用车购置及运行维护费支出4.29万元，占100.00%，比上年增加0.01万元，增长0.23%，主要原因是：</w:t>
      </w:r>
      <w:r>
        <w:rPr>
          <w:rFonts w:hint="eastAsia" w:ascii="仿宋_GB2312" w:eastAsia="仿宋_GB2312"/>
          <w:b w:val="0"/>
          <w:sz w:val="32"/>
          <w:szCs w:val="32"/>
          <w:lang w:val="en-US" w:eastAsia="zh-CN"/>
        </w:rPr>
        <w:t>现有公务车辆使用年限较长，零部件耗损加大，故障频次有所上升，造成本年度车辆维修维护费用增加；</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本年度未发生</w:t>
      </w:r>
      <w:r>
        <w:rPr>
          <w:rFonts w:ascii="仿宋_GB2312" w:eastAsia="仿宋_GB2312"/>
          <w:b w:val="0"/>
          <w:sz w:val="32"/>
          <w:szCs w:val="32"/>
        </w:rPr>
        <w:t>公务接待费</w:t>
      </w:r>
      <w:r>
        <w:rPr>
          <w:rFonts w:hint="eastAsia" w:ascii="仿宋_GB2312" w:eastAsia="仿宋_GB2312"/>
          <w:b w:val="0"/>
          <w:sz w:val="32"/>
          <w:szCs w:val="32"/>
          <w:lang w:val="en-US" w:eastAsia="zh-CN"/>
        </w:rPr>
        <w:t>相关支出</w:t>
      </w:r>
      <w:r>
        <w:rPr>
          <w:rFonts w:ascii="仿宋_GB2312" w:eastAsia="仿宋_GB2312"/>
          <w:b w:val="0"/>
          <w:sz w:val="32"/>
          <w:szCs w:val="32"/>
        </w:rPr>
        <w:t>。</w:t>
      </w:r>
    </w:p>
    <w:p w14:paraId="6BB72D00">
      <w:pPr>
        <w:widowControl/>
        <w:spacing w:before="0" w:beforeLines="0" w:beforeAutospacing="0" w:after="0" w:afterLines="0" w:afterAutospacing="0" w:line="240" w:lineRule="auto"/>
        <w:ind w:firstLine="640" w:firstLineChars="200"/>
        <w:jc w:val="left"/>
        <w:rPr>
          <w:rFonts w:ascii="仿宋_GB2312" w:eastAsia="仿宋_GB2312"/>
          <w:sz w:val="32"/>
          <w:szCs w:val="32"/>
        </w:rPr>
      </w:pPr>
      <w:bookmarkStart w:id="0" w:name="_GoBack"/>
      <w:bookmarkEnd w:id="0"/>
      <w:r>
        <w:rPr>
          <w:rFonts w:ascii="仿宋_GB2312" w:eastAsia="仿宋_GB2312"/>
          <w:b w:val="0"/>
          <w:sz w:val="32"/>
          <w:szCs w:val="32"/>
        </w:rPr>
        <w:t>具体情况如下：</w:t>
      </w:r>
    </w:p>
    <w:p w14:paraId="4659ECF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w:t>
      </w:r>
      <w:r>
        <w:rPr>
          <w:rFonts w:hint="eastAsia" w:ascii="仿宋_GB2312" w:eastAsia="仿宋_GB2312"/>
          <w:b w:val="0"/>
          <w:sz w:val="32"/>
          <w:szCs w:val="32"/>
          <w:lang w:val="en-US" w:eastAsia="zh-CN"/>
        </w:rPr>
        <w:t>包括：</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38021A4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4.29万元，其中：公务用车购置费0.00万元，公务用车运行维护费4.29万元。公务用车运行维护费开支内容包括：车辆保险、车辆燃油、车辆维修等费用。公务用车购置数0辆，公务用车保有量3辆。国有资产占用情况中固定资产车辆3辆，与公务用车保有量差异原因是：公务用车保有量3辆与固定资产车辆3辆一致。</w:t>
      </w:r>
    </w:p>
    <w:p w14:paraId="3CBE4CC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本年度未发生</w:t>
      </w:r>
      <w:r>
        <w:rPr>
          <w:rFonts w:ascii="仿宋_GB2312" w:eastAsia="仿宋_GB2312"/>
          <w:b w:val="0"/>
          <w:sz w:val="32"/>
          <w:szCs w:val="32"/>
        </w:rPr>
        <w:t>公务接待费</w:t>
      </w:r>
      <w:r>
        <w:rPr>
          <w:rFonts w:hint="eastAsia" w:ascii="仿宋_GB2312" w:eastAsia="仿宋_GB2312"/>
          <w:b w:val="0"/>
          <w:sz w:val="32"/>
          <w:szCs w:val="32"/>
          <w:lang w:val="en-US" w:eastAsia="zh-CN"/>
        </w:rPr>
        <w:t>相关支出</w:t>
      </w:r>
      <w:r>
        <w:rPr>
          <w:rFonts w:ascii="仿宋_GB2312" w:eastAsia="仿宋_GB2312"/>
          <w:b w:val="0"/>
          <w:sz w:val="32"/>
          <w:szCs w:val="32"/>
        </w:rPr>
        <w:t>。单位全年安排的国内公务接待0批次，0人次。</w:t>
      </w:r>
    </w:p>
    <w:p w14:paraId="5B727F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与全年预算相比，财政拨款“三公”经费支出全年预算数4.29万元，决算数4.29万元，预决算差异率0.00%，主要原因是：严格执行中央八项规定及</w:t>
      </w:r>
      <w:r>
        <w:rPr>
          <w:rFonts w:hint="eastAsia" w:ascii="仿宋_GB2312" w:eastAsia="仿宋_GB2312"/>
          <w:b w:val="0"/>
          <w:sz w:val="32"/>
          <w:szCs w:val="32"/>
          <w:lang w:val="en-US" w:eastAsia="zh-CN"/>
        </w:rPr>
        <w:t>其</w:t>
      </w:r>
      <w:r>
        <w:rPr>
          <w:rFonts w:ascii="仿宋_GB2312" w:eastAsia="仿宋_GB2312"/>
          <w:b w:val="0"/>
          <w:sz w:val="32"/>
          <w:szCs w:val="32"/>
        </w:rPr>
        <w:t>实施细则，做到“三公”经费只减不增，无预算不支出。其中：因公出国（境）费用全年预算数0.00万元，决算数0.00万元，预决算差异率0.00%，主要原因是：我单位无因公出国（境）费；公务用车购置费全年预算数0.00万元，决算数0.00万元，预决算差异率0.00%，主要原因是：公务用车购置数0辆；公务用车运行维护费全年预算数4.29万元，决算数4.29万元，预决算差异率0.00%，主要原因是：严格执行中央八项规定及</w:t>
      </w:r>
      <w:r>
        <w:rPr>
          <w:rFonts w:hint="eastAsia" w:ascii="仿宋_GB2312" w:eastAsia="仿宋_GB2312"/>
          <w:b w:val="0"/>
          <w:sz w:val="32"/>
          <w:szCs w:val="32"/>
          <w:lang w:val="en-US" w:eastAsia="zh-CN"/>
        </w:rPr>
        <w:t>其</w:t>
      </w:r>
      <w:r>
        <w:rPr>
          <w:rFonts w:ascii="仿宋_GB2312" w:eastAsia="仿宋_GB2312"/>
          <w:b w:val="0"/>
          <w:sz w:val="32"/>
          <w:szCs w:val="32"/>
        </w:rPr>
        <w:t>实施细则，做到“三公”经费只减不增，无预算不支出；公务接待费全年预算数0.00万元，决算数0.00万元，预决算差异率0.00%，主要原因是：公务接待费0万元。</w:t>
      </w:r>
    </w:p>
    <w:p w14:paraId="15382AE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162386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34E0245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2025年度新疆维吾尔自治区工业和信息化厅机关服务中心（事业单位）公用经费支出60.99万元，比上年增加6.73万元，增长12.40%，主要原因是：</w:t>
      </w:r>
      <w:r>
        <w:rPr>
          <w:rFonts w:hint="eastAsia" w:ascii="仿宋_GB2312" w:eastAsia="仿宋_GB2312"/>
          <w:b w:val="0"/>
          <w:sz w:val="32"/>
          <w:szCs w:val="32"/>
          <w:lang w:val="en-US" w:eastAsia="zh-CN"/>
        </w:rPr>
        <w:t>根据《新疆维吾尔自治区人力资源和社会保障厅》（新人社函</w:t>
      </w:r>
      <w:r>
        <w:rPr>
          <w:rFonts w:hint="eastAsia" w:ascii="仿宋" w:hAnsi="仿宋" w:eastAsia="仿宋" w:cs="仿宋"/>
          <w:b w:val="0"/>
          <w:sz w:val="32"/>
          <w:szCs w:val="32"/>
          <w:lang w:val="en-US" w:eastAsia="zh-CN"/>
        </w:rPr>
        <w:t>〔2019〕23号</w:t>
      </w:r>
      <w:r>
        <w:rPr>
          <w:rFonts w:hint="eastAsia" w:ascii="仿宋_GB2312" w:eastAsia="仿宋_GB2312"/>
          <w:b w:val="0"/>
          <w:sz w:val="32"/>
          <w:szCs w:val="32"/>
          <w:lang w:val="en-US" w:eastAsia="zh-CN"/>
        </w:rPr>
        <w:t>）文件要求将原自治区机械电子工业行业管理办公室机关服务中心6人划转至自治区工业和信息化厅机关服务中心，调入2人，军队转业安置1人，导致对应收入支出预算增加。</w:t>
      </w:r>
    </w:p>
    <w:p w14:paraId="147AFAF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764D2A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2025年度政府采购支出总额13.76万元，其中：政府采购货物支出5.97万元、政府采购工程支出0.00万元、政府采购服务支出7.79万元。</w:t>
      </w:r>
    </w:p>
    <w:p w14:paraId="758B27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授予中小企业合同金额9.76万元，占政府采购支出总额的70.93%，其中：授予小微企业合同金额9.76万元，占政府采购支出总额的70.93%。</w:t>
      </w:r>
    </w:p>
    <w:p w14:paraId="119CE20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AB1FA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177.70平方米，价值2.19万元。车辆3辆，价值72.14万元，其中：副部（省）级及以上领导用车0辆、主要负责人用车0辆、机要通信用车0辆、应急保障用车0辆、执法执勤用车0辆、特种专业技术用车0辆、离退休干部服务用车0辆、其他用车3辆，其他用车主要是：保障单位工作正常运转;单价100万元（含）以上设备（不含车辆）0台（套）。</w:t>
      </w:r>
    </w:p>
    <w:p w14:paraId="69C6B0A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F46B13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rPr>
        <w:t>根据预算绩效管理要求，本单位2025年度预算绩效评价项目0个，全年预算数0.00万元，全年执行数0.00万元。预算绩效管理取得的成效：我单位无绩效管理项目。发现的问题及原因：我单位无绩效管理项目。下一步改进措施：我单位无绩效管理项目。</w:t>
      </w:r>
      <w:r>
        <w:rPr>
          <w:rFonts w:ascii="仿宋_GB2312" w:eastAsia="仿宋_GB2312"/>
          <w:b w:val="0"/>
          <w:sz w:val="32"/>
          <w:szCs w:val="32"/>
        </w:rPr>
        <w:t>具体附项目支出绩效自评表。</w:t>
      </w:r>
    </w:p>
    <w:p w14:paraId="07CEEC7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8CFC9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5742F835">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231AC5D">
      <w:pPr>
        <w:widowControl/>
      </w:pPr>
      <w:r>
        <w:rPr>
          <w:b w:val="0"/>
          <w:sz w:val="0"/>
          <w:szCs w:val="0"/>
        </w:rPr>
        <w:br w:type="page"/>
      </w:r>
    </w:p>
    <w:p w14:paraId="5CF543B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2263764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3E71286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ABE2B5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0F78E28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4B8CE5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78310C2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3BDD0E1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197BE67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56E3A61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6DA5BEE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64BF68E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30463E5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3A72DAA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A5C855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7656EA22">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1E2266C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322241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6E662FF6">
      <w:pPr>
        <w:widowControl/>
      </w:pPr>
      <w:r>
        <w:rPr>
          <w:b w:val="0"/>
          <w:sz w:val="0"/>
          <w:szCs w:val="0"/>
        </w:rPr>
        <w:br w:type="page"/>
      </w:r>
    </w:p>
    <w:p w14:paraId="2FE06F2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7A7AE9C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01E0EB3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3AF2DCF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3A2EC29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3154442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15BAC8E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0E4233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A298E0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3E79FB4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E20DB"/>
    <w:rsid w:val="0646208C"/>
    <w:rsid w:val="06ED083E"/>
    <w:rsid w:val="0834138C"/>
    <w:rsid w:val="08E314C3"/>
    <w:rsid w:val="09015B8D"/>
    <w:rsid w:val="0A3E5611"/>
    <w:rsid w:val="0B786411"/>
    <w:rsid w:val="0E9D5597"/>
    <w:rsid w:val="0EE63298"/>
    <w:rsid w:val="0F4644A5"/>
    <w:rsid w:val="119A095B"/>
    <w:rsid w:val="11CD3F28"/>
    <w:rsid w:val="16013C68"/>
    <w:rsid w:val="173C156E"/>
    <w:rsid w:val="17A90C03"/>
    <w:rsid w:val="194A45B7"/>
    <w:rsid w:val="1CE343B6"/>
    <w:rsid w:val="1E9C65A7"/>
    <w:rsid w:val="2152113E"/>
    <w:rsid w:val="21D309BD"/>
    <w:rsid w:val="22BA2069"/>
    <w:rsid w:val="2471703D"/>
    <w:rsid w:val="25823C86"/>
    <w:rsid w:val="260D3714"/>
    <w:rsid w:val="26945C79"/>
    <w:rsid w:val="26AA787D"/>
    <w:rsid w:val="27AA2BA2"/>
    <w:rsid w:val="291D3382"/>
    <w:rsid w:val="2B1026E4"/>
    <w:rsid w:val="2E0D4B58"/>
    <w:rsid w:val="2E9612F8"/>
    <w:rsid w:val="34A31D32"/>
    <w:rsid w:val="354262DE"/>
    <w:rsid w:val="35E91FD6"/>
    <w:rsid w:val="367500B9"/>
    <w:rsid w:val="36D80D94"/>
    <w:rsid w:val="38B9585A"/>
    <w:rsid w:val="38E772CA"/>
    <w:rsid w:val="3A424FAD"/>
    <w:rsid w:val="3B9B3BC1"/>
    <w:rsid w:val="3BAB3878"/>
    <w:rsid w:val="41AF41ED"/>
    <w:rsid w:val="42A549A7"/>
    <w:rsid w:val="42E3232E"/>
    <w:rsid w:val="460E4441"/>
    <w:rsid w:val="46CD2113"/>
    <w:rsid w:val="47C440FC"/>
    <w:rsid w:val="484D6D70"/>
    <w:rsid w:val="497A59CD"/>
    <w:rsid w:val="4B065505"/>
    <w:rsid w:val="4E4A1971"/>
    <w:rsid w:val="4F63778F"/>
    <w:rsid w:val="51124527"/>
    <w:rsid w:val="51AE16B9"/>
    <w:rsid w:val="52C1752E"/>
    <w:rsid w:val="534A142B"/>
    <w:rsid w:val="54681928"/>
    <w:rsid w:val="55A269D8"/>
    <w:rsid w:val="56457239"/>
    <w:rsid w:val="580A72D4"/>
    <w:rsid w:val="58947ADB"/>
    <w:rsid w:val="596A27A0"/>
    <w:rsid w:val="5B744480"/>
    <w:rsid w:val="5EFA1BE7"/>
    <w:rsid w:val="5F4E7EBB"/>
    <w:rsid w:val="606D6CE4"/>
    <w:rsid w:val="6070529F"/>
    <w:rsid w:val="609B40A9"/>
    <w:rsid w:val="62B14A7C"/>
    <w:rsid w:val="67C719FB"/>
    <w:rsid w:val="69AE44CB"/>
    <w:rsid w:val="69AF73BD"/>
    <w:rsid w:val="6B5A5141"/>
    <w:rsid w:val="6B7D5A99"/>
    <w:rsid w:val="6D844AA1"/>
    <w:rsid w:val="6DE56FD1"/>
    <w:rsid w:val="6DED3931"/>
    <w:rsid w:val="6F573F47"/>
    <w:rsid w:val="722E773F"/>
    <w:rsid w:val="749A36E8"/>
    <w:rsid w:val="77AA7447"/>
    <w:rsid w:val="78E0091E"/>
    <w:rsid w:val="79517F8D"/>
    <w:rsid w:val="79F36741"/>
    <w:rsid w:val="7B055F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6610</Words>
  <Characters>7293</Characters>
  <TotalTime>1</TotalTime>
  <ScaleCrop>false</ScaleCrop>
  <LinksUpToDate>false</LinksUpToDate>
  <CharactersWithSpaces>7300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2026-08-24T04:51:00Z</dcterms:created>
  <dc:creator>Administrator</dc:creator>
  <cp:lastModifiedBy>久溺深海</cp:lastModifiedBy>
  <dcterms:modified xsi:type="dcterms:W3CDTF">2026-08-31T04:29:50Z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0E4090532117414E88FD47F4116663B4_13</vt:lpwstr>
  </property>
  <property fmtid="{D5CDD505-2E9C-101B-9397-08002B2CF9AE}" pid="4" name="KSOTemplateDocerSaveRecord">
    <vt:lpwstr>eyJoZGlkIjoiNmZkMjYyYzAxYjhmOGVmYjRhNDdiNWU4MjMwYTAyNjgiLCJ1c2VySWQiOiIyNTIzNDE3MTMifQ==</vt:lpwstr>
  </property>
</Properties>
</file>