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92435">
      <w:pPr>
        <w:widowControl/>
        <w:spacing w:before="0" w:beforeLines="0" w:beforeAutospacing="0" w:after="0" w:afterLines="0" w:afterAutospacing="0" w:line="240" w:lineRule="auto"/>
        <w:jc w:val="left"/>
        <w:rPr>
          <w:rFonts w:ascii="宋体" w:eastAsia="宋体"/>
          <w:sz w:val="32"/>
          <w:szCs w:val="32"/>
        </w:rPr>
      </w:pPr>
    </w:p>
    <w:p w14:paraId="74425B46">
      <w:pPr>
        <w:widowControl/>
        <w:spacing w:before="0" w:beforeLines="0" w:beforeAutospacing="0" w:after="0" w:afterLines="0" w:afterAutospacing="0" w:line="240" w:lineRule="auto"/>
        <w:jc w:val="left"/>
        <w:rPr>
          <w:rFonts w:ascii="宋体" w:eastAsia="宋体"/>
          <w:sz w:val="44"/>
          <w:szCs w:val="44"/>
        </w:rPr>
      </w:pPr>
    </w:p>
    <w:p w14:paraId="4E3544E1">
      <w:pPr>
        <w:widowControl/>
        <w:spacing w:before="0" w:beforeLines="0" w:beforeAutospacing="0" w:after="0" w:afterLines="0" w:afterAutospacing="0" w:line="240" w:lineRule="auto"/>
        <w:jc w:val="left"/>
        <w:rPr>
          <w:rFonts w:ascii="宋体" w:eastAsia="宋体"/>
          <w:sz w:val="44"/>
          <w:szCs w:val="44"/>
        </w:rPr>
      </w:pPr>
    </w:p>
    <w:p w14:paraId="77073E87">
      <w:pPr>
        <w:widowControl/>
        <w:spacing w:before="0" w:beforeLines="0" w:beforeAutospacing="0" w:after="0" w:afterLines="0" w:afterAutospacing="0" w:line="240" w:lineRule="auto"/>
        <w:jc w:val="left"/>
        <w:rPr>
          <w:rFonts w:ascii="宋体" w:eastAsia="宋体"/>
          <w:sz w:val="44"/>
          <w:szCs w:val="44"/>
        </w:rPr>
      </w:pPr>
    </w:p>
    <w:p w14:paraId="6FE78B19">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乌鲁木齐市无线电管理中心</w:t>
      </w:r>
    </w:p>
    <w:p w14:paraId="4434F764">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0D286608">
      <w:pPr>
        <w:widowControl/>
      </w:pPr>
      <w:r>
        <w:rPr>
          <w:b w:val="0"/>
          <w:sz w:val="0"/>
          <w:szCs w:val="0"/>
        </w:rPr>
        <w:br w:type="page"/>
      </w:r>
    </w:p>
    <w:p w14:paraId="33DE4A80">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473EF5B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D6846C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208E9F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6B5E5F9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50007FB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BC5A6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62841F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A59A2E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CAE1E1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D9FE6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75B9AE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AAA54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4C12FE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A6010E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9A9C1C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D133B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AB062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A716EA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3CE7C5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0E070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B54707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9E30B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208C674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2F43A6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79CDB7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051BC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AD01A4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582DA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09ED34A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7FE49E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EAA0F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0690463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69CD1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3CA7BD7">
      <w:pPr>
        <w:widowControl/>
      </w:pPr>
      <w:r>
        <w:rPr>
          <w:b w:val="0"/>
          <w:sz w:val="0"/>
          <w:szCs w:val="0"/>
        </w:rPr>
        <w:br w:type="page"/>
      </w:r>
    </w:p>
    <w:p w14:paraId="1D152F4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E3E4D1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001D9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034587C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5666B50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乌鲁木齐市无线电管理中心无下属预算单位。</w:t>
      </w:r>
    </w:p>
    <w:p w14:paraId="555ED5B4">
      <w:pPr>
        <w:widowControl/>
      </w:pPr>
      <w:r>
        <w:rPr>
          <w:b w:val="0"/>
          <w:sz w:val="0"/>
          <w:szCs w:val="0"/>
        </w:rPr>
        <w:br w:type="page"/>
      </w:r>
    </w:p>
    <w:p w14:paraId="65A9F52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33DE6F3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188CD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2025年度收入总计317.92万元，其中：本年收入合计317.77万元，使用非财政拨款结余（含专用结余）0.00万元，年初结转和结余0.15万元。</w:t>
      </w:r>
    </w:p>
    <w:p w14:paraId="3B44F1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2025年度支出总计317.92万元，其中：本年支出合计317.77万元，结余分配0.00万元，年末结转和结余0.15万元。</w:t>
      </w:r>
    </w:p>
    <w:p w14:paraId="6812CC0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收入支出总体与上年相比，减少139.26万元，下降30.46%，主要原因是：2025年</w:t>
      </w:r>
      <w:r>
        <w:rPr>
          <w:rFonts w:hint="eastAsia" w:ascii="仿宋_GB2312" w:eastAsia="仿宋_GB2312"/>
          <w:b w:val="0"/>
          <w:sz w:val="32"/>
          <w:szCs w:val="32"/>
          <w:lang w:val="en-US" w:eastAsia="zh-CN"/>
        </w:rPr>
        <w:t>取消</w:t>
      </w:r>
      <w:r>
        <w:rPr>
          <w:rFonts w:ascii="仿宋_GB2312" w:eastAsia="仿宋_GB2312"/>
          <w:b w:val="0"/>
          <w:sz w:val="32"/>
          <w:szCs w:val="32"/>
        </w:rPr>
        <w:t>乌鲁木齐城市无线电移动智能众包监测系统建设项目，</w:t>
      </w:r>
      <w:r>
        <w:rPr>
          <w:rFonts w:hint="eastAsia" w:ascii="仿宋_GB2312" w:eastAsia="仿宋_GB2312"/>
          <w:b w:val="0"/>
          <w:sz w:val="32"/>
          <w:szCs w:val="32"/>
          <w:lang w:val="en-US" w:eastAsia="zh-CN"/>
        </w:rPr>
        <w:t>2025年</w:t>
      </w:r>
      <w:r>
        <w:rPr>
          <w:rFonts w:ascii="仿宋_GB2312" w:eastAsia="仿宋_GB2312"/>
          <w:b w:val="0"/>
          <w:sz w:val="32"/>
          <w:szCs w:val="32"/>
        </w:rPr>
        <w:t>中央无线电资金</w:t>
      </w:r>
      <w:r>
        <w:rPr>
          <w:rFonts w:hint="eastAsia" w:ascii="仿宋_GB2312" w:eastAsia="仿宋_GB2312"/>
          <w:b w:val="0"/>
          <w:sz w:val="32"/>
          <w:szCs w:val="32"/>
          <w:lang w:val="en-US" w:eastAsia="zh-CN"/>
        </w:rPr>
        <w:t>较上年</w:t>
      </w:r>
      <w:r>
        <w:rPr>
          <w:rFonts w:ascii="仿宋_GB2312" w:eastAsia="仿宋_GB2312"/>
          <w:b w:val="0"/>
          <w:sz w:val="32"/>
          <w:szCs w:val="32"/>
        </w:rPr>
        <w:t>减少。</w:t>
      </w:r>
    </w:p>
    <w:p w14:paraId="7F8E7F1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1C6E65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本年收入317.77万元，其中：财政拨款收入317.77万元,占100.00%；上级补助收入0.00万元,占0.00%；事业收入0.00万元，占0.00%；经营收入0.00万元,占0.00%；附属单位上缴收入0.00万元，占0.00%；其他收入0.01万元，占0.00%。</w:t>
      </w:r>
    </w:p>
    <w:p w14:paraId="204A840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33AE47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本年支出317.77万元，其中：基本支出208.23万元，占65.53%；项目支出109.53万元，占34.47%；上缴上级支出0.00万元，占0.00%；经营支出0.00万元，占0.00%；对附属单位补助支出0.00万元，占0.00%。</w:t>
      </w:r>
    </w:p>
    <w:p w14:paraId="0E9979C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1F8555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2025年度财政拨款收入总计317.77万元，其中：年初财政拨款结转和结余0.00万元，本年财政拨款收入317.77万元。财政拨款支出总计317.77万元，其中：年末财政</w:t>
      </w:r>
      <w:bookmarkStart w:id="0" w:name="_GoBack"/>
      <w:bookmarkEnd w:id="0"/>
      <w:r>
        <w:rPr>
          <w:rFonts w:ascii="仿宋_GB2312" w:eastAsia="仿宋_GB2312"/>
          <w:b w:val="0"/>
          <w:sz w:val="32"/>
          <w:szCs w:val="32"/>
        </w:rPr>
        <w:t>拨款结转和结余0.00万元，本年财政拨款支出317.77万元。</w:t>
      </w:r>
    </w:p>
    <w:p w14:paraId="260F55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财政拨款收入支出总体与上年相比，减少139.26万元，下降30.47%，主要原因是：2025年中央无线电管理经费较2024年减少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主要是取消</w:t>
      </w:r>
      <w:r>
        <w:rPr>
          <w:rFonts w:ascii="仿宋_GB2312" w:eastAsia="仿宋_GB2312"/>
          <w:b w:val="0"/>
          <w:sz w:val="32"/>
          <w:szCs w:val="32"/>
        </w:rPr>
        <w:t>乌鲁木齐城市无线电移动智能众包监测系统建设项目。与年初预算相比，年初预算数378.51万元，决算数317.77万元，预决算差异率-16.05%，主要原因是：一是追加一般公共预算财政拨款基本支出预算17.05万元。二是调减一般公共预算财政拨款项目支出预算77.79万元。</w:t>
      </w:r>
    </w:p>
    <w:p w14:paraId="32F3C7D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08C22C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无线电及信息通信监管、机关事业单位养老保险缴费支出、机关事业单位职业年金缴费支出、事业单位医疗、公务员医疗补助、住房公积金等重点支出，体现在有关支出科目中。</w:t>
      </w:r>
    </w:p>
    <w:p w14:paraId="36FF27BB">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248.35万元，占比78.15%，主要用于：一是保障在职人员工资及单位日常运转；二是审批无线电频率使用许可、审查无线电台（站）的建设布局和台址、核发无线电台执照及无线电台识别码（含呼号）、负责无线电管理的行政执法检查、征收无线电频率占用费、依法组织实施无线电管制；三是无线电监（检）测业务、干扰查处等无线电管理工作。</w:t>
      </w:r>
    </w:p>
    <w:p w14:paraId="4491B380">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29552AB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317.77万元，占本年支出合计的100.00%。与上年相比，减少139.26万元，下降30.47%，主要原因是：2025年中央无线电管理经费较2024年减少乌鲁木齐城市无线电移动智能众包监测系统建设项目。与年初预算相比，年初预算数378.51万元，决算数317.77万元，预决算差异率-16.05%，主要原因是：一是追加一般公共预算财政拨款基本支出预算17.05万元。二是调减一般公共预算财政拨款项目支出预算77.79万元。</w:t>
      </w:r>
    </w:p>
    <w:p w14:paraId="47298FA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71C75E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1.社会保障和就业支出（类）37.06万元，占11.66%。</w:t>
      </w:r>
    </w:p>
    <w:p w14:paraId="364604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2.卫生健康支出（类）18.08万元，占5.69%。</w:t>
      </w:r>
    </w:p>
    <w:p w14:paraId="269995C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3.资源勘探工业信息等支出（类）248.35万元，占78.15%。</w:t>
      </w:r>
    </w:p>
    <w:p w14:paraId="614B57B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4.住房保障支出（类）14.28万元，占4.49%。</w:t>
      </w:r>
    </w:p>
    <w:p w14:paraId="0B82A65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49DFFF5">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1、社会保障和就业支出（类）行政事业单位养老支出（款）事业单位离退休（项）：支出决算数为2.90万元，比上年决算增加2.90万元，增长100.00%，主要原因是：新增1名退休人员，</w:t>
      </w:r>
      <w:r>
        <w:rPr>
          <w:rFonts w:hint="eastAsia" w:ascii="仿宋_GB2312" w:eastAsia="仿宋_GB2312"/>
          <w:b w:val="0"/>
          <w:sz w:val="32"/>
          <w:szCs w:val="32"/>
          <w:lang w:val="en-US" w:eastAsia="zh-CN"/>
        </w:rPr>
        <w:t>退休经费</w:t>
      </w:r>
      <w:r>
        <w:rPr>
          <w:rFonts w:ascii="仿宋_GB2312" w:eastAsia="仿宋_GB2312"/>
          <w:b w:val="0"/>
          <w:sz w:val="32"/>
          <w:szCs w:val="32"/>
        </w:rPr>
        <w:t>较上年增加</w:t>
      </w:r>
      <w:r>
        <w:rPr>
          <w:rFonts w:hint="eastAsia" w:ascii="仿宋_GB2312" w:eastAsia="仿宋_GB2312"/>
          <w:b w:val="0"/>
          <w:sz w:val="32"/>
          <w:szCs w:val="32"/>
          <w:lang w:eastAsia="zh-CN"/>
        </w:rPr>
        <w:t>。</w:t>
      </w:r>
    </w:p>
    <w:p w14:paraId="7E3AE4D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2、社会保障和就业支出（类）行政事业单位养老支出（款）机关事业单位基本养老保险缴费支出（项）：支出决算数为18.39万元，比上年决算增加4.16万元，增长29.23%，主要原因是：</w:t>
      </w:r>
      <w:r>
        <w:rPr>
          <w:rFonts w:hint="eastAsia" w:ascii="仿宋_GB2312" w:eastAsia="仿宋_GB2312"/>
          <w:b w:val="0"/>
          <w:sz w:val="32"/>
          <w:szCs w:val="32"/>
          <w:lang w:val="en-US" w:eastAsia="zh-CN"/>
        </w:rPr>
        <w:t>1.</w:t>
      </w:r>
      <w:r>
        <w:rPr>
          <w:rFonts w:ascii="仿宋_GB2312" w:eastAsia="仿宋_GB2312"/>
          <w:b w:val="0"/>
          <w:sz w:val="32"/>
          <w:szCs w:val="32"/>
        </w:rPr>
        <w:t>机关事业单位基本养老保险基数</w:t>
      </w:r>
      <w:r>
        <w:rPr>
          <w:rFonts w:hint="eastAsia" w:ascii="仿宋_GB2312" w:eastAsia="仿宋_GB2312"/>
          <w:b w:val="0"/>
          <w:sz w:val="32"/>
          <w:szCs w:val="32"/>
          <w:lang w:val="en-US" w:eastAsia="zh-CN"/>
        </w:rPr>
        <w:t>正常调整</w:t>
      </w:r>
      <w:r>
        <w:rPr>
          <w:rFonts w:ascii="仿宋_GB2312" w:eastAsia="仿宋_GB2312"/>
          <w:b w:val="0"/>
          <w:sz w:val="32"/>
          <w:szCs w:val="32"/>
        </w:rPr>
        <w:t>；</w:t>
      </w:r>
      <w:r>
        <w:rPr>
          <w:rFonts w:hint="eastAsia" w:ascii="仿宋_GB2312" w:eastAsia="仿宋_GB2312"/>
          <w:b w:val="0"/>
          <w:sz w:val="32"/>
          <w:szCs w:val="32"/>
          <w:lang w:val="en-US" w:eastAsia="zh-CN"/>
        </w:rPr>
        <w:t>2.</w:t>
      </w:r>
      <w:r>
        <w:rPr>
          <w:rFonts w:ascii="仿宋_GB2312" w:eastAsia="仿宋_GB2312"/>
          <w:b w:val="0"/>
          <w:sz w:val="32"/>
          <w:szCs w:val="32"/>
        </w:rPr>
        <w:t>新调入2名在职人员，机关事业单位基本养老保险支出较上年增加。</w:t>
      </w:r>
    </w:p>
    <w:p w14:paraId="567A6FC0">
      <w:pPr>
        <w:widowControl/>
        <w:spacing w:before="0" w:beforeLines="0" w:beforeAutospacing="0" w:after="0" w:afterLines="0" w:afterAutospacing="0" w:line="240" w:lineRule="auto"/>
        <w:ind w:firstLine="640" w:firstLineChars="200"/>
        <w:rPr>
          <w:rFonts w:hint="eastAsia" w:ascii="仿宋_GB2312" w:eastAsia="仿宋_GB2312"/>
          <w:b w:val="0"/>
          <w:sz w:val="32"/>
          <w:szCs w:val="32"/>
        </w:rPr>
      </w:pPr>
      <w:r>
        <w:rPr>
          <w:rFonts w:ascii="仿宋_GB2312" w:eastAsia="仿宋_GB2312"/>
          <w:b w:val="0"/>
          <w:sz w:val="32"/>
          <w:szCs w:val="32"/>
        </w:rPr>
        <w:t>3、社会保障和就业支出（类）行政事业单位养老支出（款）机关事业单位职业年金缴费支出（项）：支出决算数为15.77万元，比上年决算增加8.21万元，增长108.60%，主要原因是：1.记实1名调出人员职业年金；2.</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p>
    <w:p w14:paraId="1EB144E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10.48万元，比上年决算增加2.51万元，增长31.49%，主要原因是：1.事业单位医疗基数调增；2.新调入2名在职人员，相应事业单位医疗支出较上年增加。</w:t>
      </w:r>
    </w:p>
    <w:p w14:paraId="723C248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5、卫生健康支出（类）行政事业单位医疗（款）公务员医疗补助（项）：支出决算数为7.60万元，比上年决算增加0.96万元，增长14.46%，主要原因是：新调入2名在职人员，公务员医疗补助支出较上年增加。</w:t>
      </w:r>
    </w:p>
    <w:p w14:paraId="0AD529E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6、资源勘探工业信息等支出（类）工业和信息产业（款）无线电及信息通信监管（项）：支出决算数为248.35万元，比上年决算减少160.73万元，下降39.29%，主要原因是：2025年</w:t>
      </w:r>
      <w:r>
        <w:rPr>
          <w:rFonts w:hint="eastAsia" w:ascii="仿宋_GB2312" w:eastAsia="仿宋_GB2312"/>
          <w:b w:val="0"/>
          <w:sz w:val="32"/>
          <w:szCs w:val="32"/>
          <w:lang w:val="en-US" w:eastAsia="zh-CN"/>
        </w:rPr>
        <w:t>取消</w:t>
      </w:r>
      <w:r>
        <w:rPr>
          <w:rFonts w:ascii="仿宋_GB2312" w:eastAsia="仿宋_GB2312"/>
          <w:b w:val="0"/>
          <w:sz w:val="32"/>
          <w:szCs w:val="32"/>
        </w:rPr>
        <w:t>乌鲁木齐城市无线电移动智能众包监测系统建设项目，</w:t>
      </w:r>
      <w:r>
        <w:rPr>
          <w:rFonts w:hint="eastAsia" w:ascii="仿宋_GB2312" w:eastAsia="仿宋_GB2312"/>
          <w:b w:val="0"/>
          <w:sz w:val="32"/>
          <w:szCs w:val="32"/>
          <w:lang w:val="en-US" w:eastAsia="zh-CN"/>
        </w:rPr>
        <w:t>2025年</w:t>
      </w:r>
      <w:r>
        <w:rPr>
          <w:rFonts w:ascii="仿宋_GB2312" w:eastAsia="仿宋_GB2312"/>
          <w:b w:val="0"/>
          <w:sz w:val="32"/>
          <w:szCs w:val="32"/>
        </w:rPr>
        <w:t>中央无线电资金较上年减少。</w:t>
      </w:r>
    </w:p>
    <w:p w14:paraId="46F56E4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14.28万元，比上年决算增加2.73万元，增长23.64%，主要原因是：1.住房公积金基数调增；2.新调入2名在职人员，住房公积金支出较上年增加。</w:t>
      </w:r>
    </w:p>
    <w:p w14:paraId="69890DA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04B81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208.23万元，其中：人员经费178.31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14:paraId="5449BD4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公用经费29.92万元，包括：办公费、邮电费、取暖费、物业管理费、差旅费、工会经费、福利费、公务用车运行维护费和其他商品和服务支出。</w:t>
      </w:r>
    </w:p>
    <w:p w14:paraId="08519AB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10DEE17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4EE43A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280DAC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0322B33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3EFEC3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2025年度财政拨款“三公”经费支出10.70万元，比上年减少1.00万元，下降8.55%，主要原因是：严格执行公务</w:t>
      </w:r>
      <w:r>
        <w:rPr>
          <w:rFonts w:hint="eastAsia" w:ascii="仿宋_GB2312" w:eastAsia="仿宋_GB2312"/>
          <w:b w:val="0"/>
          <w:sz w:val="32"/>
          <w:szCs w:val="32"/>
          <w:lang w:val="en-US" w:eastAsia="zh-CN"/>
        </w:rPr>
        <w:t>用车</w:t>
      </w:r>
      <w:r>
        <w:rPr>
          <w:rFonts w:ascii="仿宋_GB2312" w:eastAsia="仿宋_GB2312"/>
          <w:b w:val="0"/>
          <w:sz w:val="32"/>
          <w:szCs w:val="32"/>
        </w:rPr>
        <w:t>管理制度，合理压减公务用车运行费用。其中：因公出国（境）费用支出0.00万元,占0.00%，与上年相比无变化，主要原因是：</w:t>
      </w:r>
      <w:r>
        <w:rPr>
          <w:rFonts w:hint="eastAsia" w:ascii="仿宋_GB2312" w:eastAsia="仿宋_GB2312"/>
          <w:b w:val="0"/>
          <w:sz w:val="32"/>
          <w:szCs w:val="32"/>
        </w:rPr>
        <w:t>本年度未发生因公出国（境）相关支出</w:t>
      </w:r>
      <w:r>
        <w:rPr>
          <w:rFonts w:ascii="仿宋_GB2312" w:eastAsia="仿宋_GB2312"/>
          <w:b w:val="0"/>
          <w:sz w:val="32"/>
          <w:szCs w:val="32"/>
        </w:rPr>
        <w:t>；公务用车购置及运行维护费支出10.70万元，占100.00%，比上年减少1.00万元，下降8.55%，主要原因是：严格执行公务</w:t>
      </w:r>
      <w:r>
        <w:rPr>
          <w:rFonts w:hint="eastAsia" w:ascii="仿宋_GB2312" w:eastAsia="仿宋_GB2312"/>
          <w:b w:val="0"/>
          <w:sz w:val="32"/>
          <w:szCs w:val="32"/>
          <w:lang w:val="en-US" w:eastAsia="zh-CN"/>
        </w:rPr>
        <w:t>用车</w:t>
      </w:r>
      <w:r>
        <w:rPr>
          <w:rFonts w:ascii="仿宋_GB2312" w:eastAsia="仿宋_GB2312"/>
          <w:b w:val="0"/>
          <w:sz w:val="32"/>
          <w:szCs w:val="32"/>
        </w:rPr>
        <w:t>管理制度，合理压减公务用车运行费用；公务接待费支出0.00万元，占0.00%，与上年相比无变化，主要原因是：</w:t>
      </w:r>
      <w:r>
        <w:rPr>
          <w:rFonts w:hint="eastAsia" w:ascii="仿宋_GB2312" w:eastAsia="仿宋_GB2312"/>
          <w:b w:val="0"/>
          <w:sz w:val="32"/>
          <w:szCs w:val="32"/>
          <w:lang w:val="en-US" w:eastAsia="zh-CN"/>
        </w:rPr>
        <w:t>本年度</w:t>
      </w:r>
      <w:r>
        <w:rPr>
          <w:rFonts w:ascii="仿宋_GB2312" w:eastAsia="仿宋_GB2312"/>
          <w:b w:val="0"/>
          <w:sz w:val="32"/>
          <w:szCs w:val="32"/>
        </w:rPr>
        <w:t>无公务接待</w:t>
      </w:r>
      <w:r>
        <w:rPr>
          <w:rFonts w:hint="eastAsia" w:ascii="仿宋_GB2312" w:eastAsia="仿宋_GB2312"/>
          <w:b w:val="0"/>
          <w:sz w:val="32"/>
          <w:szCs w:val="32"/>
          <w:lang w:val="en-US" w:eastAsia="zh-CN"/>
        </w:rPr>
        <w:t>支出</w:t>
      </w:r>
      <w:r>
        <w:rPr>
          <w:rFonts w:ascii="仿宋_GB2312" w:eastAsia="仿宋_GB2312"/>
          <w:b w:val="0"/>
          <w:sz w:val="32"/>
          <w:szCs w:val="32"/>
        </w:rPr>
        <w:t>。</w:t>
      </w:r>
    </w:p>
    <w:p w14:paraId="490AE18A">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2908BD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：本年度未发生因公出国（境）相关支出</w:t>
      </w:r>
      <w:r>
        <w:rPr>
          <w:rFonts w:hint="eastAsia" w:ascii="仿宋_GB2312" w:eastAsia="仿宋_GB2312"/>
          <w:b w:val="0"/>
          <w:sz w:val="32"/>
          <w:szCs w:val="32"/>
          <w:lang w:eastAsia="zh-CN"/>
        </w:rPr>
        <w:t>。</w:t>
      </w:r>
      <w:r>
        <w:rPr>
          <w:rFonts w:ascii="仿宋_GB2312" w:eastAsia="仿宋_GB2312"/>
          <w:b w:val="0"/>
          <w:sz w:val="32"/>
          <w:szCs w:val="32"/>
        </w:rPr>
        <w:t>单位全年安排的因公出国（境）团组0个，因公出国（境）0人次。</w:t>
      </w:r>
    </w:p>
    <w:p w14:paraId="5C4339D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10.70万元，其中：公务用车购置费0.00万元，公务用车运行维护费10.70万元。公务用车运行维护费开支内容包括车辆保险、停车过路费、车辆油料费、车辆审验费、车辆维护维修费。公务用车购置数0辆，公务用车保有量4辆。国有资产占用情况中固定资产车辆4辆，与公务用车保有量差异原因是：与公务用车保有量无差异。</w:t>
      </w:r>
    </w:p>
    <w:p w14:paraId="721AEB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w:t>
      </w:r>
      <w:r>
        <w:rPr>
          <w:rFonts w:ascii="仿宋_GB2312" w:eastAsia="仿宋_GB2312"/>
          <w:b w:val="0"/>
          <w:sz w:val="32"/>
          <w:szCs w:val="32"/>
        </w:rPr>
        <w:t>无公务接待</w:t>
      </w:r>
      <w:r>
        <w:rPr>
          <w:rFonts w:hint="eastAsia" w:ascii="仿宋_GB2312" w:eastAsia="仿宋_GB2312"/>
          <w:b w:val="0"/>
          <w:sz w:val="32"/>
          <w:szCs w:val="32"/>
          <w:lang w:val="en-US" w:eastAsia="zh-CN"/>
        </w:rPr>
        <w:t>支出</w:t>
      </w:r>
      <w:r>
        <w:rPr>
          <w:rFonts w:ascii="仿宋_GB2312" w:eastAsia="仿宋_GB2312"/>
          <w:b w:val="0"/>
          <w:sz w:val="32"/>
          <w:szCs w:val="32"/>
        </w:rPr>
        <w:t>。单位全年安排的国内公务接待0批次，0人次。</w:t>
      </w:r>
    </w:p>
    <w:p w14:paraId="7BAAAED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与全年预算相比，财政拨款“三公”经费支出全年预算数10.70万元，决算数10.70万元，预决算差异率0.00%，主要原因是：严格执行中央八项规定及</w:t>
      </w:r>
      <w:r>
        <w:rPr>
          <w:rFonts w:hint="eastAsia" w:ascii="仿宋_GB2312" w:eastAsia="仿宋_GB2312"/>
          <w:b w:val="0"/>
          <w:sz w:val="32"/>
          <w:szCs w:val="32"/>
          <w:lang w:val="en-US" w:eastAsia="zh-CN"/>
        </w:rPr>
        <w:t>其实施</w:t>
      </w:r>
      <w:r>
        <w:rPr>
          <w:rFonts w:ascii="仿宋_GB2312" w:eastAsia="仿宋_GB2312"/>
          <w:b w:val="0"/>
          <w:sz w:val="32"/>
          <w:szCs w:val="32"/>
        </w:rPr>
        <w:t>细则，做到“三公”经费只减不增，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10.70万元，决算数10.70万元，预决算差异率0.00%，主要原因是：厉行节约严格控制经费，预决算保持一致；公务接待费全年预算数0.00万元，决算数0.00万元，预决算差异率0.00%，主要原因是：</w:t>
      </w:r>
      <w:r>
        <w:rPr>
          <w:rFonts w:hint="eastAsia" w:ascii="仿宋_GB2312" w:eastAsia="仿宋_GB2312"/>
          <w:b w:val="0"/>
          <w:sz w:val="32"/>
          <w:szCs w:val="32"/>
          <w:lang w:val="en-US" w:eastAsia="zh-CN"/>
        </w:rPr>
        <w:t>本年度</w:t>
      </w:r>
      <w:r>
        <w:rPr>
          <w:rFonts w:ascii="仿宋_GB2312" w:eastAsia="仿宋_GB2312"/>
          <w:b w:val="0"/>
          <w:sz w:val="32"/>
          <w:szCs w:val="32"/>
        </w:rPr>
        <w:t>无公务接待</w:t>
      </w:r>
      <w:r>
        <w:rPr>
          <w:rFonts w:hint="eastAsia" w:ascii="仿宋_GB2312" w:eastAsia="仿宋_GB2312"/>
          <w:b w:val="0"/>
          <w:sz w:val="32"/>
          <w:szCs w:val="32"/>
          <w:lang w:val="en-US" w:eastAsia="zh-CN"/>
        </w:rPr>
        <w:t>支出</w:t>
      </w:r>
      <w:r>
        <w:rPr>
          <w:rFonts w:ascii="仿宋_GB2312" w:eastAsia="仿宋_GB2312"/>
          <w:b w:val="0"/>
          <w:sz w:val="32"/>
          <w:szCs w:val="32"/>
        </w:rPr>
        <w:t>。</w:t>
      </w:r>
    </w:p>
    <w:p w14:paraId="4ABF422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CF79F2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D31183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2025年度乌鲁木齐市无线电管理中心（事业单位）公用经费支出29.92万元，比上年增加3.52万元，增长13.33%，主要原因是：1.调入2名在职人员；2.较上年新增1名退休人员预算，公用经费支出增加。</w:t>
      </w:r>
    </w:p>
    <w:p w14:paraId="34F08EB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6F6FD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2025年度政府采购支出总额99.22万元，其中：政府采购货物支出0.49万元、政府采购工程支出3.80万元、政府采购服务支出94.93万元。</w:t>
      </w:r>
    </w:p>
    <w:p w14:paraId="5F8540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授予中小企业合同金额89.73万元，占政府采购支出总额的90.44%，其中：授予小微企业合同金额44.46万元，占政府采购支出总额的44.81%。</w:t>
      </w:r>
    </w:p>
    <w:p w14:paraId="244A714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95581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3,326.54平方米，价值1,900.75万元。车辆4辆，价值218.23万元，其中：副部（省）级及以上领导用车0辆、主要负责人用车0辆、机要通信用车0辆、应急保障用车0辆、执法执勤用车0辆、特种专业技术用车3辆、离退休干部服务用车0辆、其他用车1辆，其他用车主要是：用于日常开展无线电工作;单价100万元（含）以上设备（不含车辆）11台（套）。</w:t>
      </w:r>
    </w:p>
    <w:p w14:paraId="0D7FDCC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E8A2AF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0个，全年预算数0万元，全年执行数0万元。预算绩效管理取得的成效：一是严格执行自治区工信厅制定的预算绩效管理办法，对项目资金加快预算执行，确保绩效监控和绩效评价执行率，规范预算执行活动，确保预算执行的准确性、规范性。二是各项工作实施实现预期绩效目标，公共服务履职效能、项目实施质量，资金统筹使用效率稳步提升。预算绩效管理常态化、规范化水平进一步提高，有效保障了单位年度各项重点工作、常规业务顺利开展。发现的问题及原因：一是绩效目标设定精细化程度不足。组织开展项目绩效评价工作时，因项目采购、合同执行周期长，预算执行率偏低，致使项目在绩效监控节点时，影响单位整体绩效评价总体分值；二是相关绩效管理方面专业知识的系统性学习有待加强。各项指标的设置要进一步优化、完善，主要在细化、量化上改进。下一步改进措施：一是完善各项内控制度，建立上下协调、科室联动、层层抓落实的工作责任制，将绩效管理责任分解落实到具体科室、明确到具体责任人，确保资金支出安全、高效利用；二是加强对专项资金预算绩效监控力度，加强对专项资金预算执行力度的考核，确保项目执行按期完成；三是建立健全绩效管理与预算管理有机结合的工作机制，落实绩效评价结果成为预算编制的重要参考因素我单位无绩效管理项目。具体附项目支出绩效自评表。</w:t>
      </w:r>
    </w:p>
    <w:p w14:paraId="26AFFFE9">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75E5F36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E70C2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95B7673">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73DDB46">
      <w:pPr>
        <w:widowControl/>
      </w:pPr>
      <w:r>
        <w:rPr>
          <w:b w:val="0"/>
          <w:sz w:val="0"/>
          <w:szCs w:val="0"/>
        </w:rPr>
        <w:br w:type="page"/>
      </w:r>
    </w:p>
    <w:p w14:paraId="31AF33C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4596FBD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CBD775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B748AB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C79542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EC394A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6A17186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7DFBE56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75E4FF4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323D163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291598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57EE80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3DB8E4A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3B45631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B29E6F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608316F5">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112B5A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D8CA88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ED65CA3">
      <w:pPr>
        <w:widowControl/>
      </w:pPr>
      <w:r>
        <w:rPr>
          <w:b w:val="0"/>
          <w:sz w:val="0"/>
          <w:szCs w:val="0"/>
        </w:rPr>
        <w:br w:type="page"/>
      </w:r>
    </w:p>
    <w:p w14:paraId="2101256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342CDC7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18E9F8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5514C26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89AFA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B8C5B1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5778DA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FDCF70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1ED503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490CBF3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3277469"/>
    <w:rsid w:val="56C97F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6077</Words>
  <Characters>6733</Characters>
  <TotalTime>6</TotalTime>
  <ScaleCrop>false</ScaleCrop>
  <LinksUpToDate>false</LinksUpToDate>
  <CharactersWithSpaces>6740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2026-08-30T07:02:00Z</dcterms:created>
  <dc:creator>1</dc:creator>
  <cp:lastModifiedBy>Slivia</cp:lastModifiedBy>
  <dcterms:modified xsi:type="dcterms:W3CDTF">2026-08-30T07:15:22Z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eyJoZGlkIjoiZGM4Y2ExNDA0MjdkYTk1NTY2NzM4YTExNWYxN2IxZmMiLCJ1c2VySWQiOiIzMjM2NTI0MzUifQ==</vt:lpwstr>
  </property>
  <property fmtid="{D5CDD505-2E9C-101B-9397-08002B2CF9AE}" pid="3" name="KSOProductBuildVer">
    <vt:lpwstr>2052-12.1.0.28043</vt:lpwstr>
  </property>
  <property fmtid="{D5CDD505-2E9C-101B-9397-08002B2CF9AE}" pid="4" name="ICV">
    <vt:lpwstr>09D3ADE017D9465BBCDD275620F49D54_12</vt:lpwstr>
  </property>
</Properties>
</file>