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6D1FA">
      <w:pPr>
        <w:widowControl/>
        <w:spacing w:before="0" w:beforeLines="0" w:beforeAutospacing="0" w:after="0" w:afterLines="0" w:afterAutospacing="0" w:line="240" w:lineRule="auto"/>
        <w:jc w:val="left"/>
        <w:rPr>
          <w:rFonts w:ascii="宋体" w:eastAsia="宋体"/>
          <w:sz w:val="32"/>
          <w:szCs w:val="32"/>
        </w:rPr>
      </w:pPr>
    </w:p>
    <w:p w14:paraId="34874BB8">
      <w:pPr>
        <w:widowControl/>
        <w:spacing w:before="0" w:beforeLines="0" w:beforeAutospacing="0" w:after="0" w:afterLines="0" w:afterAutospacing="0" w:line="240" w:lineRule="auto"/>
        <w:jc w:val="left"/>
        <w:rPr>
          <w:rFonts w:ascii="宋体" w:eastAsia="宋体"/>
          <w:sz w:val="44"/>
          <w:szCs w:val="44"/>
        </w:rPr>
      </w:pPr>
    </w:p>
    <w:p w14:paraId="7B6EFBA3">
      <w:pPr>
        <w:widowControl/>
        <w:spacing w:before="0" w:beforeLines="0" w:beforeAutospacing="0" w:after="0" w:afterLines="0" w:afterAutospacing="0" w:line="240" w:lineRule="auto"/>
        <w:jc w:val="left"/>
        <w:rPr>
          <w:rFonts w:ascii="宋体" w:eastAsia="宋体"/>
          <w:sz w:val="44"/>
          <w:szCs w:val="44"/>
        </w:rPr>
      </w:pPr>
    </w:p>
    <w:p w14:paraId="1EB14176">
      <w:pPr>
        <w:widowControl/>
        <w:spacing w:before="0" w:beforeLines="0" w:beforeAutospacing="0" w:after="0" w:afterLines="0" w:afterAutospacing="0" w:line="240" w:lineRule="auto"/>
        <w:jc w:val="left"/>
        <w:rPr>
          <w:rFonts w:ascii="宋体" w:eastAsia="宋体"/>
          <w:sz w:val="44"/>
          <w:szCs w:val="44"/>
        </w:rPr>
      </w:pPr>
    </w:p>
    <w:p w14:paraId="5F82E2B6">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和田地区无线电管理中心</w:t>
      </w:r>
    </w:p>
    <w:p w14:paraId="1DDBBD72">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0B34026E">
      <w:pPr>
        <w:widowControl/>
      </w:pPr>
      <w:r>
        <w:rPr>
          <w:b w:val="0"/>
          <w:sz w:val="0"/>
          <w:szCs w:val="0"/>
        </w:rPr>
        <w:br w:type="page"/>
      </w:r>
    </w:p>
    <w:p w14:paraId="068C3DF2">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7BD947F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573B5B5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6207FCC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1A0634F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4889AE9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316CD40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31C12B0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1776709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7BE223B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7589DF1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4522368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526BE48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29CB511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03BA756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63F3D52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5999FE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5ACD4B4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4384595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54E9755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48D5911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141BC27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0B892EB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0F0D822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6085266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347485E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3488139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0630F96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2F2DA73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5DAE23B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5DADA55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234C395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2AFB284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2DD3F99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68B1DD47">
      <w:pPr>
        <w:widowControl/>
      </w:pPr>
      <w:r>
        <w:rPr>
          <w:b w:val="0"/>
          <w:sz w:val="0"/>
          <w:szCs w:val="0"/>
        </w:rPr>
        <w:br w:type="page"/>
      </w:r>
    </w:p>
    <w:p w14:paraId="7C19E80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4820736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5843960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根据自治区工业和信息化厅授权，协调处理辖区内无线电管理相关事宜。</w:t>
      </w:r>
    </w:p>
    <w:p w14:paraId="3C5FC68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35CA781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和田地区无线电管理中心无下属预算单位。</w:t>
      </w:r>
    </w:p>
    <w:p w14:paraId="41E39F10">
      <w:pPr>
        <w:widowControl/>
      </w:pPr>
      <w:r>
        <w:rPr>
          <w:b w:val="0"/>
          <w:sz w:val="0"/>
          <w:szCs w:val="0"/>
        </w:rPr>
        <w:br w:type="page"/>
      </w:r>
    </w:p>
    <w:p w14:paraId="3A81DDD6">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70C4742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10901880">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2025年度收入总计321.78万元，其中：本年收入合计315.72万元，使用非财政拨款结余（含专用结余）0.00万元，年初结转和结余6.0</w:t>
      </w:r>
      <w:r>
        <w:rPr>
          <w:rFonts w:hint="eastAsia" w:ascii="仿宋_GB2312" w:eastAsia="仿宋_GB2312"/>
          <w:b w:val="0"/>
          <w:color w:val="auto"/>
          <w:sz w:val="32"/>
          <w:szCs w:val="32"/>
          <w:lang w:val="en-US" w:eastAsia="zh-CN"/>
        </w:rPr>
        <w:t>6</w:t>
      </w:r>
      <w:r>
        <w:rPr>
          <w:rFonts w:ascii="仿宋_GB2312" w:eastAsia="仿宋_GB2312"/>
          <w:b w:val="0"/>
          <w:color w:val="auto"/>
          <w:sz w:val="32"/>
          <w:szCs w:val="32"/>
        </w:rPr>
        <w:t>万元。</w:t>
      </w:r>
    </w:p>
    <w:p w14:paraId="2E05511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color w:val="auto"/>
          <w:sz w:val="32"/>
          <w:szCs w:val="32"/>
        </w:rPr>
        <w:t>2025年度支出总计321.78万元，其中：本年支出合计313.86万元，结余分配</w:t>
      </w:r>
      <w:r>
        <w:rPr>
          <w:rFonts w:ascii="仿宋_GB2312" w:eastAsia="仿宋_GB2312"/>
          <w:b w:val="0"/>
          <w:sz w:val="32"/>
          <w:szCs w:val="32"/>
        </w:rPr>
        <w:t>0.07万元，年末结转和结余7.85万元。</w:t>
      </w:r>
    </w:p>
    <w:p w14:paraId="6C464D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25.43万元，下降7.32%，主要原因是：一是一般公共预算财政拨款基本支出较上年增加9.01万元，其中：人员类经费增加12.73万元，主要是2025年新招录2人，人员经费相应增加；公用经费减少3.72万元，主要是响应过紧日子要求，主动压减一般性支出。二是一般公共预算财政拨款项目支出较上年增加24.33万元，为中央无线电管理经费项目支出增加。三是使用非财政拨款项目收入较上年减少58.77万元。</w:t>
      </w:r>
    </w:p>
    <w:p w14:paraId="05FEA41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2AF5318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本年收入315.72万元，其中：财政拨款收入307.61万元,占97.43%；上级补助收入0.00万元,占0.00%；事业收入0.00万元，占0.00%；经营收入0.00万元,占0.00%；附属单位上缴收入0.00万元，占0.00%；其他收入8.12万元，占2.57%。</w:t>
      </w:r>
    </w:p>
    <w:p w14:paraId="6B311F8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171175A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本年支出313.86万元，其中：基本支出206.69万元，占65.85%；项目支出107.17万元，占34.15%；上缴上级支出0.00万元，占0.00%；经营支出0.00万元，占0.00%；对附属单位补助支出0.00万元，占0.00%。</w:t>
      </w:r>
    </w:p>
    <w:p w14:paraId="370EF28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4B3954F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2025年度财政拨款收入总计307.61万元，其中：年初财政拨款结转和结余0.00万元，本年财政拨款收入307.61万元。财政拨款支出总计307.61万元，其中：年末财政拨款结转和结余0.00万元，本年财政拨款支出307.61万元。</w:t>
      </w:r>
    </w:p>
    <w:p w14:paraId="5C0B86A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33.34万元，增长12.16%，主要原因是：一是一般公共预算财政拨款基本支出较上年增加9.01万元，其中：人员类经费增加12.73万元，主要是2025年新招录2人，人员经费相应增加；公用经费减少3.72万元，主要是响应过紧日子要求，主动压减一般性支出。二是一般公共预算财政拨款项目支出较上年增加24.33万元，为中央无线电管理经费项目支出增加。与年初预算相比，年初预算数289.85万元，决算数307.61万元，预决算差异率6.13%，主要原因是：在年度执行中，根据自治区财政厅下达预算调整文件追加及调减预算，一是年中追加一般公共预算财政拨款基本支出人员类项目44.68万元；二是调减年初一般公共预算财政拨款基本支出人员类项目4.72万元；三是调减年初一般公共预算财政拨款基本支出运转类项目4.07万元；四是调减年初一般公共预算财政拨款中央无线电管理经费项目18.13万元。</w:t>
      </w:r>
    </w:p>
    <w:p w14:paraId="1601509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1C11477B">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无线电干扰排查、考试保障、重点区域测试等重点支出，体现在有关支出科目中。</w:t>
      </w:r>
    </w:p>
    <w:p w14:paraId="2568B905">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241.20万元，占比78.41%，主要用于无线电安全保障业务。</w:t>
      </w:r>
    </w:p>
    <w:p w14:paraId="617B3A1E">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6021114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307.61万元，占本年支出合计的98.01%。与上年相比，增加33.34万元，增长12.16%，主要原因是：一是一般公共预算财政拨款基本支出较上年增加9.01万元，其中：人员类经费增加12.73万元，主要是2025年新招录2人，人员经费相应增加；公用经费减少3.72万元，主要是响应过紧日子要求，主动压减一般性支出。二是一般公共预算财政拨款项目支出较上年增加24.33万元，为中央无线电管理经费项目支出增加。与年初预算相比，年初预算数289.85万元，决算数307.61万元，预决算差异率6.13%，主要原因是：在年度执行中，根据自治区财政厅下达预算调整文件追加及调减预算，一是年中追加一般公共预算财政拨款基本支出人员类项目44.68万元；二是调减年初一般公共预算财政拨款基本支出人员类项目4.72万元；三是调减年初一般公共预算财政拨款基本支出运转类项目4.07万元；四是调减年初一般公共预算财政拨款中央无线电管理经费项目18.13万元。</w:t>
      </w:r>
    </w:p>
    <w:p w14:paraId="65E1D3CC">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51071B5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1.社会保障和就业支出（类）42.97万元，占13.97%。</w:t>
      </w:r>
    </w:p>
    <w:p w14:paraId="1682BF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2.卫生健康支出（类）10.68万元，占3.47%。</w:t>
      </w:r>
    </w:p>
    <w:p w14:paraId="75D7400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3.资源勘探工业信息等支出（类）241.20万元，占78.41%。</w:t>
      </w:r>
    </w:p>
    <w:p w14:paraId="17DA929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4.住房保障支出（类）12.76万元，占4.15%。</w:t>
      </w:r>
    </w:p>
    <w:p w14:paraId="3FCE492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3C45D9C0">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1、社会保障和就业支出（类）行政事业单位养老支出（款）事业单位离退休（项）：支出决算数为6.42万元，比上年决算增加0.70万元，增长12.24%，主要原因是：2025年新增退休1人，退休经费相应增加。</w:t>
      </w:r>
    </w:p>
    <w:p w14:paraId="2FE56E3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16.27万元，比上年决算减少0.25万元，下降1.51%，主要原因是：在职人员减少1人，养老保险缴费减少。</w:t>
      </w:r>
    </w:p>
    <w:p w14:paraId="0299AA2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20.28万元，比上年决算增加17.55万元，增长642.86%，主要原因是：一是记实1名在职转退休人员职业年金</w:t>
      </w:r>
      <w:r>
        <w:rPr>
          <w:rFonts w:hint="eastAsia" w:ascii="仿宋_GB2312" w:eastAsia="仿宋_GB2312"/>
          <w:b w:val="0"/>
          <w:sz w:val="32"/>
          <w:szCs w:val="32"/>
          <w:lang w:eastAsia="zh-CN"/>
        </w:rPr>
        <w:t>；</w:t>
      </w:r>
      <w:r>
        <w:rPr>
          <w:rFonts w:ascii="仿宋_GB2312" w:eastAsia="仿宋_GB2312"/>
          <w:b w:val="0"/>
          <w:sz w:val="32"/>
          <w:szCs w:val="32"/>
        </w:rPr>
        <w:t>二</w:t>
      </w:r>
      <w:r>
        <w:rPr>
          <w:rFonts w:hint="eastAsia" w:ascii="仿宋_GB2312" w:eastAsia="仿宋_GB2312"/>
          <w:b w:val="0"/>
          <w:sz w:val="32"/>
          <w:szCs w:val="32"/>
          <w:lang w:val="en-US" w:eastAsia="zh-CN"/>
        </w:rPr>
        <w:t>是</w:t>
      </w:r>
      <w:r>
        <w:rPr>
          <w:rFonts w:hint="default" w:ascii="仿宋_GB2312" w:eastAsia="仿宋_GB2312"/>
          <w:b w:val="0"/>
          <w:sz w:val="32"/>
          <w:szCs w:val="32"/>
        </w:rPr>
        <w:t>根据《新疆维吾尔自治区职业年金单位缴费实账管理实施方案》</w:t>
      </w:r>
      <w:r>
        <w:rPr>
          <w:rFonts w:hint="default" w:ascii="仿宋_GB2312" w:eastAsia="仿宋_GB2312"/>
          <w:b w:val="0"/>
          <w:sz w:val="32"/>
          <w:szCs w:val="32"/>
          <w:lang w:eastAsia="zh-CN"/>
        </w:rPr>
        <w:t>（</w:t>
      </w:r>
      <w:r>
        <w:rPr>
          <w:rFonts w:hint="default" w:ascii="仿宋_GB2312" w:eastAsia="仿宋_GB2312"/>
          <w:b w:val="0"/>
          <w:sz w:val="32"/>
          <w:szCs w:val="32"/>
        </w:rPr>
        <w:t>新人社发〔2025〕18号</w:t>
      </w:r>
      <w:r>
        <w:rPr>
          <w:rFonts w:hint="default" w:ascii="仿宋_GB2312" w:eastAsia="仿宋_GB2312"/>
          <w:b w:val="0"/>
          <w:sz w:val="32"/>
          <w:szCs w:val="32"/>
          <w:lang w:eastAsia="zh-CN"/>
        </w:rPr>
        <w:t>），</w:t>
      </w:r>
      <w:r>
        <w:rPr>
          <w:rFonts w:hint="default" w:ascii="仿宋_GB2312" w:eastAsia="仿宋_GB2312"/>
          <w:b w:val="0"/>
          <w:sz w:val="32"/>
          <w:szCs w:val="32"/>
        </w:rPr>
        <w:t>自</w:t>
      </w:r>
      <w:r>
        <w:rPr>
          <w:rFonts w:hint="default" w:ascii="仿宋_GB2312" w:eastAsia="仿宋_GB2312"/>
          <w:b w:val="0"/>
          <w:sz w:val="32"/>
          <w:szCs w:val="32"/>
          <w:lang w:val="en-US" w:eastAsia="zh-CN"/>
        </w:rPr>
        <w:t>2025</w:t>
      </w:r>
      <w:r>
        <w:rPr>
          <w:rFonts w:hint="default" w:ascii="仿宋_GB2312" w:eastAsia="仿宋_GB2312"/>
          <w:b w:val="0"/>
          <w:sz w:val="32"/>
          <w:szCs w:val="32"/>
        </w:rPr>
        <w:t>年起全额拨款单位职业年金缴费由记账积累改为实账缴费，职业年金纳入部门预算足额保障，支出相应增加。</w:t>
      </w:r>
    </w:p>
    <w:p w14:paraId="27301ACF">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4、卫生健康支出（类）行政事业单位医疗（款）事业单位医疗（项）：支出决算数为6.61万元，比上年决算减少0.13万元，下降1.93%，主要原因是：在职人员减少1人，基本医疗保险缴费减少。</w:t>
      </w:r>
    </w:p>
    <w:p w14:paraId="45C952E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5、卫生健康支出（类）行政事业单位医疗（款）公务员医疗补助（项）：支出决算数为4.07万元，比上年决算减少0.08万元，下降1.93%，主要原因是：在职人员减少1人，公务员医疗保险缴费减少。</w:t>
      </w:r>
    </w:p>
    <w:p w14:paraId="1E2698B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款）无线电及信息通信监管（项）：支出决算数为241.20万元，比上年决算增加16.30万元，增长7.25%，主要原因是：2025年新招录2人，无线电安全保障业务人员及公用经费相应增加。</w:t>
      </w:r>
    </w:p>
    <w:p w14:paraId="5052794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7、住房保障支出（类）住房改革支出（款）住房公积金（项）：支出决算数为12.76万元，比上年决算减少0.74万元，下降5.48%，主要原因是：在职人员减少1人，住房公积金缴费减少。</w:t>
      </w:r>
    </w:p>
    <w:p w14:paraId="7E55836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71A97C2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206.69万元，其中：人员经费184.54万元，包括：基本工资、津贴补贴、奖金、绩效工资、机关事业单位基本养老保险缴费、职业年金缴费、职工基本医疗保险缴费、公务员医疗补助缴费、其他社会保障缴费、住房公积金、其他工资福利支出、退休费、生活补助和其他对个人和家庭的补助。</w:t>
      </w:r>
    </w:p>
    <w:p w14:paraId="49A2A94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公用经费22.15万元，包括：办公费、邮电费、差旅费、工会经费、福利费、公务用车运行维护费和其他商品和服务支出。</w:t>
      </w:r>
    </w:p>
    <w:p w14:paraId="3FF0147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401DBD9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0DFE328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30BDCC4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41A3FAF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7B512CB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2025年度财政拨款“三公”经费支出11.23万元，比上年减少0.22万元，下降1.92%，主要原因是：严格</w:t>
      </w:r>
      <w:r>
        <w:rPr>
          <w:rFonts w:hint="eastAsia" w:ascii="仿宋_GB2312" w:eastAsia="仿宋_GB2312"/>
          <w:b w:val="0"/>
          <w:sz w:val="32"/>
          <w:szCs w:val="32"/>
          <w:lang w:val="en-US" w:eastAsia="zh-CN"/>
        </w:rPr>
        <w:t>落实</w:t>
      </w:r>
      <w:r>
        <w:rPr>
          <w:rFonts w:ascii="仿宋_GB2312" w:eastAsia="仿宋_GB2312"/>
          <w:b w:val="0"/>
          <w:sz w:val="32"/>
          <w:szCs w:val="32"/>
        </w:rPr>
        <w:t>中央八项规定及</w:t>
      </w:r>
      <w:r>
        <w:rPr>
          <w:rFonts w:hint="eastAsia" w:ascii="仿宋_GB2312" w:eastAsia="仿宋_GB2312"/>
          <w:b w:val="0"/>
          <w:sz w:val="32"/>
          <w:szCs w:val="32"/>
          <w:lang w:val="en-US" w:eastAsia="zh-CN"/>
        </w:rPr>
        <w:t>其实施</w:t>
      </w:r>
      <w:r>
        <w:rPr>
          <w:rFonts w:ascii="仿宋_GB2312" w:eastAsia="仿宋_GB2312"/>
          <w:b w:val="0"/>
          <w:sz w:val="32"/>
          <w:szCs w:val="32"/>
        </w:rPr>
        <w:t>细则，做到“三公”经费只减不增，无预算不支出。其中：因公出国（境）费用支出0.00万元,占0.00%，与上年相比无变化，主要原因是：</w:t>
      </w:r>
      <w:r>
        <w:rPr>
          <w:rFonts w:hint="eastAsia" w:ascii="仿宋_GB2312" w:eastAsia="仿宋_GB2312"/>
          <w:b w:val="0"/>
          <w:sz w:val="32"/>
          <w:szCs w:val="32"/>
        </w:rPr>
        <w:t>本年度未发生因公出国（境）相关支出</w:t>
      </w:r>
      <w:r>
        <w:rPr>
          <w:rFonts w:ascii="仿宋_GB2312" w:eastAsia="仿宋_GB2312"/>
          <w:b w:val="0"/>
          <w:sz w:val="32"/>
          <w:szCs w:val="32"/>
        </w:rPr>
        <w:t>；公务用车购置及运行维护费支出11.23万元，占100.00%，比上年减少0.22万元，下降1.92%，主要原因是：严格执行公务用车管理制度，合理控制公务用车运行维护费用；公务接待费支出0.00万元，占0.00%，与上年相比无变化，主要原因是：</w:t>
      </w:r>
      <w:r>
        <w:rPr>
          <w:rFonts w:hint="eastAsia" w:ascii="仿宋_GB2312" w:eastAsia="仿宋_GB2312"/>
          <w:b w:val="0"/>
          <w:sz w:val="32"/>
          <w:szCs w:val="32"/>
          <w:lang w:val="en-US" w:eastAsia="zh-CN"/>
        </w:rPr>
        <w:t>未发生</w:t>
      </w:r>
      <w:r>
        <w:rPr>
          <w:rFonts w:ascii="仿宋_GB2312" w:eastAsia="仿宋_GB2312"/>
          <w:b w:val="0"/>
          <w:sz w:val="32"/>
          <w:szCs w:val="32"/>
        </w:rPr>
        <w:t>公务接待</w:t>
      </w:r>
      <w:r>
        <w:rPr>
          <w:rFonts w:hint="eastAsia" w:ascii="仿宋_GB2312" w:eastAsia="仿宋_GB2312"/>
          <w:b w:val="0"/>
          <w:sz w:val="32"/>
          <w:szCs w:val="32"/>
          <w:lang w:val="en-US" w:eastAsia="zh-CN"/>
        </w:rPr>
        <w:t>相关支出</w:t>
      </w:r>
      <w:r>
        <w:rPr>
          <w:rFonts w:ascii="仿宋_GB2312" w:eastAsia="仿宋_GB2312"/>
          <w:b w:val="0"/>
          <w:sz w:val="32"/>
          <w:szCs w:val="32"/>
        </w:rPr>
        <w:t>。</w:t>
      </w:r>
    </w:p>
    <w:p w14:paraId="290E01F2">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10DA9F5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rPr>
        <w:t>：本年度未发生因公出国（境）相关支出。</w:t>
      </w:r>
      <w:r>
        <w:rPr>
          <w:rFonts w:ascii="仿宋_GB2312" w:eastAsia="仿宋_GB2312"/>
          <w:b w:val="0"/>
          <w:sz w:val="32"/>
          <w:szCs w:val="32"/>
        </w:rPr>
        <w:t>单位全年安排的因公出国（境）团组0个，因公出国（境）0人次。</w:t>
      </w:r>
    </w:p>
    <w:p w14:paraId="1FBA650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11.23万元，其中：公务用车购置费0.00万元，公务用车运行维护费11.23万元。公务用车运行维护费开支内容包括车辆保险、停车过路费、车辆加油、车辆审验、车辆维修保养等费用。公务用车购置数0辆，公务用车保有量5辆。国有资产占用情况中固定资产车辆5辆，与公务用车保有量差异原因是：与公务用车保有量一致。</w:t>
      </w:r>
    </w:p>
    <w:p w14:paraId="329F58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本年度未发生</w:t>
      </w:r>
      <w:r>
        <w:rPr>
          <w:rFonts w:ascii="仿宋_GB2312" w:eastAsia="仿宋_GB2312"/>
          <w:b w:val="0"/>
          <w:sz w:val="32"/>
          <w:szCs w:val="32"/>
        </w:rPr>
        <w:t>公务接待</w:t>
      </w:r>
      <w:r>
        <w:rPr>
          <w:rFonts w:hint="eastAsia" w:ascii="仿宋_GB2312" w:eastAsia="仿宋_GB2312"/>
          <w:b w:val="0"/>
          <w:sz w:val="32"/>
          <w:szCs w:val="32"/>
          <w:lang w:val="en-US" w:eastAsia="zh-CN"/>
        </w:rPr>
        <w:t>费</w:t>
      </w:r>
      <w:bookmarkStart w:id="0" w:name="_GoBack"/>
      <w:bookmarkEnd w:id="0"/>
      <w:r>
        <w:rPr>
          <w:rFonts w:ascii="仿宋_GB2312" w:eastAsia="仿宋_GB2312"/>
          <w:b w:val="0"/>
          <w:sz w:val="32"/>
          <w:szCs w:val="32"/>
        </w:rPr>
        <w:t>。单位全年安排的国内公务接待0批次，0人次。</w:t>
      </w:r>
    </w:p>
    <w:p w14:paraId="6C3691E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与全年预算相比，财政拨款“三公”经费支出全年预算数11.23万元，决算数11.23万元，预决算差异率0.00%，主要原因是：严格</w:t>
      </w:r>
      <w:r>
        <w:rPr>
          <w:rFonts w:hint="eastAsia" w:ascii="仿宋_GB2312" w:eastAsia="仿宋_GB2312"/>
          <w:b w:val="0"/>
          <w:sz w:val="32"/>
          <w:szCs w:val="32"/>
          <w:lang w:val="en-US" w:eastAsia="zh-CN"/>
        </w:rPr>
        <w:t>落实</w:t>
      </w:r>
      <w:r>
        <w:rPr>
          <w:rFonts w:ascii="仿宋_GB2312" w:eastAsia="仿宋_GB2312"/>
          <w:b w:val="0"/>
          <w:sz w:val="32"/>
          <w:szCs w:val="32"/>
        </w:rPr>
        <w:t>中央八项规定及</w:t>
      </w:r>
      <w:r>
        <w:rPr>
          <w:rFonts w:hint="eastAsia" w:ascii="仿宋_GB2312" w:eastAsia="仿宋_GB2312"/>
          <w:b w:val="0"/>
          <w:sz w:val="32"/>
          <w:szCs w:val="32"/>
          <w:lang w:val="en-US" w:eastAsia="zh-CN"/>
        </w:rPr>
        <w:t>其实施</w:t>
      </w:r>
      <w:r>
        <w:rPr>
          <w:rFonts w:ascii="仿宋_GB2312" w:eastAsia="仿宋_GB2312"/>
          <w:b w:val="0"/>
          <w:sz w:val="32"/>
          <w:szCs w:val="32"/>
        </w:rPr>
        <w:t>细则，做到“三公”经费只减不增，无预算不支出。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11.23万元，决算数11.23万元，预决算差异率0.00%，主要原因是：严格执行公务用车管理制度，合理控制公务用车运行维护费用；公务接待费全年预算数0.00万元，决算数0.00万元，预决算差异率0.00%，主要原因是：我单位无公务接待费。</w:t>
      </w:r>
    </w:p>
    <w:p w14:paraId="00DF65E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4C3AB9F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6072C4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2025年度和田地区无线电管理中心（事业单位）公用经费支出22.15万元，比上年减少3.73万元，下降14.41%，主要原因是：在职人员减少1人，公用经费相应减少。</w:t>
      </w:r>
    </w:p>
    <w:p w14:paraId="1BDC686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436A1DD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2025年度政府采购支出总额104.13万元，其中：政府采购货物支出8.36万元、政府采购工程支出2.69万元、政府采购服务支出93.08万元。</w:t>
      </w:r>
    </w:p>
    <w:p w14:paraId="02096F3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授予中小企业合同金额104.13万元，占政府采购支出总额的100.00%，其中：授予小微企业合同金额26.45万元，占政府采购支出总额的25.40%。</w:t>
      </w:r>
    </w:p>
    <w:p w14:paraId="1C1E370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72AE440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1,956.06平方米，价值485.78万元。车辆5辆，价值251.66万元，其中：副部（省）级及以上领导用车0辆、主要负责人用车0辆、机要通信用车0辆、应急保障用车0辆、执法执勤用车0辆、特种专业技术用车4辆、离退休干部服务用车0辆、其他用车1辆，其他用车主要是：一般公务用车;单价100万元（含）以上设备（不含车辆）11台（套）。</w:t>
      </w:r>
    </w:p>
    <w:p w14:paraId="5FDCD01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5CA7A85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根据预算绩效管理要求，本单位2025年度预算绩效评价项目2个，全年预算数7.64万元，全年执行数6.26万元。预算绩效管理取得的成效：一是严格执行自治区工业和信息化厅制定</w:t>
      </w:r>
      <w:r>
        <w:rPr>
          <w:rFonts w:hint="eastAsia" w:ascii="仿宋_GB2312" w:eastAsia="仿宋_GB2312"/>
          <w:b w:val="0"/>
          <w:sz w:val="32"/>
          <w:szCs w:val="32"/>
          <w:lang w:val="en-US" w:eastAsia="zh-CN"/>
        </w:rPr>
        <w:t>的</w:t>
      </w:r>
      <w:r>
        <w:rPr>
          <w:rFonts w:ascii="仿宋_GB2312" w:eastAsia="仿宋_GB2312"/>
          <w:b w:val="0"/>
          <w:sz w:val="32"/>
          <w:szCs w:val="32"/>
        </w:rPr>
        <w:t>预算绩效管理办法，日常对项目资金加快预算执行，确保绩效监控和绩效评价执行率，规范预算执行活动，确保预算执行的及时性、准确性和规范性，发挥资金的最大效用，取得了良好的绩效成果；二是各项工作实施及资金使用情况均在绩效目标设定时限完成，在项目经费的使用上，在保证各项任务顺利完成的同时，严格落实厉行节约的原则；三是做好项目保障工作，确保项目质量和效益，助力经济高质量发展，维护社会稳定和长治久安。发现的问题及原因：组织开展项目绩效评价工作时,因项目采购、合同执行周期长，预算执行率偏低，致使项目在绩效监控节点时，影响单位整体绩效评价总体分值。下一步改进措施：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具体附项目支出绩效自评表。</w:t>
      </w:r>
    </w:p>
    <w:p w14:paraId="194F3085">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0D5D152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09063D1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73A13BE7">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10B2F158">
      <w:pPr>
        <w:widowControl/>
      </w:pPr>
      <w:r>
        <w:rPr>
          <w:b w:val="0"/>
          <w:sz w:val="0"/>
          <w:szCs w:val="0"/>
        </w:rPr>
        <w:br w:type="page"/>
      </w:r>
    </w:p>
    <w:p w14:paraId="6FA0464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5D588FA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3392ABA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732E1D2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119CA1D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4369D49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2171144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4F19B8D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1ED2D88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6FEEC09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2135943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6B61E61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6504262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66B6796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1710593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4371BE04">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30FA12E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5FFD0D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6C3BBBD2">
      <w:pPr>
        <w:widowControl/>
      </w:pPr>
      <w:r>
        <w:rPr>
          <w:b w:val="0"/>
          <w:sz w:val="0"/>
          <w:szCs w:val="0"/>
        </w:rPr>
        <w:br w:type="page"/>
      </w:r>
    </w:p>
    <w:p w14:paraId="19F42722">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54F48E7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34B1A6D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7F9ABB4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4FC8537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6379F80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71794EA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77E5A30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288DA70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42C7CE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1E2F7187"/>
    <w:rsid w:val="243279D1"/>
    <w:rsid w:val="33B201E6"/>
    <w:rsid w:val="36285684"/>
    <w:rsid w:val="42132798"/>
    <w:rsid w:val="4FCE7CFE"/>
    <w:rsid w:val="526F57C8"/>
    <w:rsid w:val="544E765F"/>
    <w:rsid w:val="554271C4"/>
    <w:rsid w:val="605B55DE"/>
    <w:rsid w:val="64410F8F"/>
    <w:rsid w:val="6D6D7419"/>
    <w:rsid w:val="6D842C2A"/>
    <w:rsid w:val="72CC4119"/>
    <w:rsid w:val="739E7864"/>
    <w:rsid w:val="7463506E"/>
    <w:rsid w:val="75E55C1E"/>
    <w:rsid w:val="7B1228E5"/>
    <w:rsid w:val="7E0947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6287</Words>
  <Characters>6972</Characters>
  <TotalTime>4</TotalTime>
  <ScaleCrop>false</ScaleCrop>
  <LinksUpToDate>false</LinksUpToDate>
  <CharactersWithSpaces>6979</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2026-08-30T03:46:00Z</dcterms:created>
  <dc:creator>1</dc:creator>
  <cp:lastModifiedBy>Slivia</cp:lastModifiedBy>
  <dcterms:modified xsi:type="dcterms:W3CDTF">2026-08-31T03:32:09Z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eyJoZGlkIjoiZGM4Y2ExNDA0MjdkYTk1NTY2NzM4YTExNWYxN2IxZmMiLCJ1c2VySWQiOiIzMjM2NTI0MzUifQ==</vt:lpwstr>
  </property>
  <property fmtid="{D5CDD505-2E9C-101B-9397-08002B2CF9AE}" pid="3" name="KSOProductBuildVer">
    <vt:lpwstr>2052-12.1.0.28043</vt:lpwstr>
  </property>
  <property fmtid="{D5CDD505-2E9C-101B-9397-08002B2CF9AE}" pid="4" name="ICV">
    <vt:lpwstr>CA5A999490504304AFF406ACAD22E892_12</vt:lpwstr>
  </property>
</Properties>
</file>