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哈密市无线电管理中心</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根据自治区工业和信息化厅授权，协调处理辖区内无线电管理相关事宜。</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哈密市无线电管理中心无下属预算单位。</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2025年度收入总计310.57万元，其中：本年收入合计309.29万元，使用非财政拨款结余（含专用结余）0.00万元，年初结转和结余1.29万元。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2025年度支出总计310.57万元，其中：本年支出合计306.66万元，结余分配0.00万元，年末结转和结余3.92万元。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收入支出总体与上年相比，增加49.34万元，增长18.89%，主要原因是：</w:t>
      </w:r>
      <w:r>
        <w:rPr>
          <w:rFonts w:hint="eastAsia" w:ascii="仿宋_GB2312" w:eastAsia="仿宋_GB2312"/>
          <w:b w:val="0"/>
          <w:sz w:val="32"/>
          <w:szCs w:val="32"/>
          <w:lang w:eastAsia="zh-CN"/>
        </w:rPr>
        <w:t>一是</w:t>
      </w:r>
      <w:r>
        <w:rPr>
          <w:rFonts w:ascii="仿宋_GB2312" w:eastAsia="仿宋_GB2312"/>
          <w:b w:val="0"/>
          <w:sz w:val="32"/>
          <w:szCs w:val="32"/>
        </w:rPr>
        <w:t>在职人员薪资调整、新招录1人、调入1人，工资及各项社保缴费支出增加22.68万元；</w:t>
      </w:r>
      <w:r>
        <w:rPr>
          <w:rFonts w:hint="eastAsia" w:ascii="仿宋_GB2312" w:eastAsia="仿宋_GB2312"/>
          <w:b w:val="0"/>
          <w:sz w:val="32"/>
          <w:szCs w:val="32"/>
          <w:lang w:eastAsia="zh-CN"/>
        </w:rPr>
        <w:t>二是</w:t>
      </w:r>
      <w:r>
        <w:rPr>
          <w:rFonts w:ascii="仿宋_GB2312" w:eastAsia="仿宋_GB2312"/>
          <w:b w:val="0"/>
          <w:sz w:val="32"/>
          <w:szCs w:val="32"/>
        </w:rPr>
        <w:t>2025年职业年金记实缴费支出增加7.42万元；</w:t>
      </w:r>
      <w:r>
        <w:rPr>
          <w:rFonts w:hint="eastAsia" w:ascii="仿宋_GB2312" w:eastAsia="仿宋_GB2312"/>
          <w:b w:val="0"/>
          <w:sz w:val="32"/>
          <w:szCs w:val="32"/>
          <w:lang w:eastAsia="zh-CN"/>
        </w:rPr>
        <w:t>三是</w:t>
      </w:r>
      <w:r>
        <w:rPr>
          <w:rFonts w:ascii="仿宋_GB2312" w:eastAsia="仿宋_GB2312"/>
          <w:b w:val="0"/>
          <w:sz w:val="32"/>
          <w:szCs w:val="32"/>
        </w:rPr>
        <w:t>人员增加公用经费支出增加1.25万元；</w:t>
      </w:r>
      <w:r>
        <w:rPr>
          <w:rFonts w:hint="eastAsia" w:ascii="仿宋_GB2312" w:eastAsia="仿宋_GB2312"/>
          <w:b w:val="0"/>
          <w:sz w:val="32"/>
          <w:szCs w:val="32"/>
          <w:lang w:eastAsia="zh-CN"/>
        </w:rPr>
        <w:t>四是</w:t>
      </w:r>
      <w:r>
        <w:rPr>
          <w:rFonts w:ascii="仿宋_GB2312" w:eastAsia="仿宋_GB2312"/>
          <w:b w:val="0"/>
          <w:sz w:val="32"/>
          <w:szCs w:val="32"/>
        </w:rPr>
        <w:t>中央无线电管理经费增加11.61万元；</w:t>
      </w:r>
      <w:r>
        <w:rPr>
          <w:rFonts w:hint="eastAsia" w:ascii="仿宋_GB2312" w:eastAsia="仿宋_GB2312"/>
          <w:b w:val="0"/>
          <w:sz w:val="32"/>
          <w:szCs w:val="32"/>
          <w:lang w:eastAsia="zh-CN"/>
        </w:rPr>
        <w:t>五是</w:t>
      </w:r>
      <w:r>
        <w:rPr>
          <w:rFonts w:ascii="仿宋_GB2312" w:eastAsia="仿宋_GB2312"/>
          <w:b w:val="0"/>
          <w:sz w:val="32"/>
          <w:szCs w:val="32"/>
        </w:rPr>
        <w:t>非财政拨款资金支出增加3.76万元；</w:t>
      </w:r>
      <w:r>
        <w:rPr>
          <w:rFonts w:hint="eastAsia" w:ascii="仿宋_GB2312" w:eastAsia="仿宋_GB2312"/>
          <w:b w:val="0"/>
          <w:sz w:val="32"/>
          <w:szCs w:val="32"/>
          <w:lang w:eastAsia="zh-CN"/>
        </w:rPr>
        <w:t>六是</w:t>
      </w:r>
      <w:r>
        <w:rPr>
          <w:rFonts w:ascii="仿宋_GB2312" w:eastAsia="仿宋_GB2312"/>
          <w:b w:val="0"/>
          <w:sz w:val="32"/>
          <w:szCs w:val="32"/>
        </w:rPr>
        <w:t>年末结余增加2.62万元。</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本年收入309.29万元，其中：财政拨款收入288.86万元,占93.39%；上级补助收入0.00万元,占0.00%；事业收入0.00万元，占0.00%；经营收入0.00万元,占0.00%；附属单位上缴收入0.00万元，占0.00%；其他收入20.43万元，占6.61%。</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本年支出306.66万元，其中：基本支出216.20万元，占70.50%；项目支出90.46万元，占29.50%；上缴上级支出0.00万元，占0.00%；经营支出0.00万元，占0.00%；对附属单位补助支出0.00万元，占0.00%。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2025年度财政拨款收入总计288.86万元，其中：年初财政拨款结转和结余0.00万元，本年财政拨款收入288.86万元。财政拨款支出总计288.86万元，其中：年末财政拨款结转和结余0.00万元，本年财政拨款支出288.86万元。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财政拨款收入支出总体与上年相比，增加42.96万元，增长17.47%，主要原因是：</w:t>
      </w:r>
      <w:r>
        <w:rPr>
          <w:rFonts w:hint="eastAsia" w:ascii="仿宋_GB2312" w:eastAsia="仿宋_GB2312"/>
          <w:b w:val="0"/>
          <w:sz w:val="32"/>
          <w:szCs w:val="32"/>
          <w:lang w:eastAsia="zh-CN"/>
        </w:rPr>
        <w:t>一是</w:t>
      </w:r>
      <w:r>
        <w:rPr>
          <w:rFonts w:ascii="仿宋_GB2312" w:eastAsia="仿宋_GB2312"/>
          <w:b w:val="0"/>
          <w:sz w:val="32"/>
          <w:szCs w:val="32"/>
        </w:rPr>
        <w:t>在职人员薪资调整、新招录1人、调入1人，工资及各项社保缴费支出增加22.68万元；</w:t>
      </w:r>
      <w:r>
        <w:rPr>
          <w:rFonts w:hint="eastAsia" w:ascii="仿宋_GB2312" w:eastAsia="仿宋_GB2312"/>
          <w:b w:val="0"/>
          <w:sz w:val="32"/>
          <w:szCs w:val="32"/>
          <w:lang w:eastAsia="zh-CN"/>
        </w:rPr>
        <w:t>二是</w:t>
      </w:r>
      <w:r>
        <w:rPr>
          <w:rFonts w:ascii="仿宋_GB2312" w:eastAsia="仿宋_GB2312"/>
          <w:b w:val="0"/>
          <w:sz w:val="32"/>
          <w:szCs w:val="32"/>
        </w:rPr>
        <w:t>2025年职业年金记实缴费支出增加7.42万元；</w:t>
      </w:r>
      <w:r>
        <w:rPr>
          <w:rFonts w:hint="eastAsia" w:ascii="仿宋_GB2312" w:eastAsia="仿宋_GB2312"/>
          <w:b w:val="0"/>
          <w:sz w:val="32"/>
          <w:szCs w:val="32"/>
          <w:lang w:eastAsia="zh-CN"/>
        </w:rPr>
        <w:t>三是</w:t>
      </w:r>
      <w:r>
        <w:rPr>
          <w:rFonts w:ascii="仿宋_GB2312" w:eastAsia="仿宋_GB2312"/>
          <w:b w:val="0"/>
          <w:sz w:val="32"/>
          <w:szCs w:val="32"/>
        </w:rPr>
        <w:t>人员增加公用经费支出增加1.25万元；</w:t>
      </w:r>
      <w:r>
        <w:rPr>
          <w:rFonts w:hint="eastAsia" w:ascii="仿宋_GB2312" w:eastAsia="仿宋_GB2312"/>
          <w:b w:val="0"/>
          <w:sz w:val="32"/>
          <w:szCs w:val="32"/>
          <w:lang w:eastAsia="zh-CN"/>
        </w:rPr>
        <w:t>四是</w:t>
      </w:r>
      <w:r>
        <w:rPr>
          <w:rFonts w:ascii="仿宋_GB2312" w:eastAsia="仿宋_GB2312"/>
          <w:b w:val="0"/>
          <w:sz w:val="32"/>
          <w:szCs w:val="32"/>
        </w:rPr>
        <w:t>中央无线电管理经费增加11.61万元。与年初预算相比，年初预算数263.45万元，决算数288.86万元，预决算差异率9.65%，主要原因是：</w:t>
      </w:r>
      <w:r>
        <w:rPr>
          <w:rFonts w:hint="eastAsia" w:ascii="仿宋_GB2312" w:eastAsia="仿宋_GB2312"/>
          <w:b w:val="0"/>
          <w:sz w:val="32"/>
          <w:szCs w:val="32"/>
          <w:lang w:val="en-US" w:eastAsia="zh-CN"/>
        </w:rPr>
        <w:t>年中</w:t>
      </w:r>
      <w:r>
        <w:rPr>
          <w:rFonts w:ascii="仿宋_GB2312" w:eastAsia="仿宋_GB2312"/>
          <w:b w:val="0"/>
          <w:sz w:val="32"/>
          <w:szCs w:val="32"/>
        </w:rPr>
        <w:t>在职人员薪资调整、新招录1人、调入1人</w:t>
      </w:r>
      <w:r>
        <w:rPr>
          <w:rFonts w:hint="eastAsia" w:ascii="仿宋_GB2312" w:eastAsia="仿宋_GB2312"/>
          <w:b w:val="0"/>
          <w:sz w:val="32"/>
          <w:szCs w:val="32"/>
          <w:lang w:eastAsia="zh-CN"/>
        </w:rPr>
        <w:t>，</w:t>
      </w:r>
      <w:r>
        <w:rPr>
          <w:rFonts w:ascii="仿宋_GB2312" w:eastAsia="仿宋_GB2312"/>
          <w:b w:val="0"/>
          <w:sz w:val="32"/>
          <w:szCs w:val="32"/>
        </w:rPr>
        <w:t>工资</w:t>
      </w:r>
      <w:r>
        <w:rPr>
          <w:rFonts w:hint="eastAsia" w:ascii="仿宋_GB2312" w:eastAsia="仿宋_GB2312"/>
          <w:b w:val="0"/>
          <w:sz w:val="32"/>
          <w:szCs w:val="32"/>
          <w:lang w:eastAsia="zh-CN"/>
        </w:rPr>
        <w:t>、</w:t>
      </w:r>
      <w:r>
        <w:rPr>
          <w:rFonts w:ascii="仿宋_GB2312" w:eastAsia="仿宋_GB2312"/>
          <w:b w:val="0"/>
          <w:sz w:val="32"/>
          <w:szCs w:val="32"/>
        </w:rPr>
        <w:t>各项社保缴费</w:t>
      </w:r>
      <w:r>
        <w:rPr>
          <w:rFonts w:hint="eastAsia" w:ascii="仿宋_GB2312" w:eastAsia="仿宋_GB2312"/>
          <w:b w:val="0"/>
          <w:sz w:val="32"/>
          <w:szCs w:val="32"/>
          <w:lang w:eastAsia="zh-CN"/>
        </w:rPr>
        <w:t>、</w:t>
      </w:r>
      <w:r>
        <w:rPr>
          <w:rFonts w:ascii="仿宋_GB2312" w:eastAsia="仿宋_GB2312"/>
          <w:b w:val="0"/>
          <w:sz w:val="32"/>
          <w:szCs w:val="32"/>
        </w:rPr>
        <w:t>职业年金记实缴费</w:t>
      </w:r>
      <w:r>
        <w:rPr>
          <w:rFonts w:hint="eastAsia" w:ascii="仿宋_GB2312" w:eastAsia="仿宋_GB2312"/>
          <w:b w:val="0"/>
          <w:sz w:val="32"/>
          <w:szCs w:val="32"/>
          <w:lang w:eastAsia="zh-CN"/>
        </w:rPr>
        <w:t>、</w:t>
      </w:r>
      <w:r>
        <w:rPr>
          <w:rFonts w:ascii="仿宋_GB2312" w:eastAsia="仿宋_GB2312"/>
          <w:b w:val="0"/>
          <w:sz w:val="32"/>
          <w:szCs w:val="32"/>
        </w:rPr>
        <w:t>中央无线电管理经费</w:t>
      </w:r>
      <w:r>
        <w:rPr>
          <w:rFonts w:hint="eastAsia" w:ascii="仿宋_GB2312" w:eastAsia="仿宋_GB2312"/>
          <w:b w:val="0"/>
          <w:sz w:val="32"/>
          <w:szCs w:val="32"/>
          <w:lang w:val="en-US" w:eastAsia="zh-CN"/>
        </w:rPr>
        <w:t>等追加25.41万元</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工资、运转、基本民生等重点支出，体现在有关支出科目中。</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支出功能分类，资源勘探工业信息等支出（类）工业和信息产业（款）无线电及信息通信监管（项）的支出占本年财政拨款支出总额的比重最高，2025年度决算数为233.45万元，占比80.82%，主要用于保工资、保运转、保障无线电监测站点、监测设备、监测车辆等技术设施的运行维护，开展无线电信号监测、干扰排查处置、重大活动无线电安全保障、无线电行政执法、频率宣传等无线电监管专项工作，保障空中电波秩序，履行无线电管理主责主业。</w:t>
      </w:r>
    </w:p>
    <w:p>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2025年度一般公共预算财政拨款支出288.86万元，占本年支出合计的94.20%。与上年相比，增加42.96万元，增长17.47%，主要原因是：</w:t>
      </w:r>
      <w:r>
        <w:rPr>
          <w:rFonts w:hint="eastAsia" w:ascii="仿宋_GB2312" w:eastAsia="仿宋_GB2312"/>
          <w:b w:val="0"/>
          <w:sz w:val="32"/>
          <w:szCs w:val="32"/>
          <w:lang w:eastAsia="zh-CN"/>
        </w:rPr>
        <w:t>一是</w:t>
      </w:r>
      <w:r>
        <w:rPr>
          <w:rFonts w:ascii="仿宋_GB2312" w:eastAsia="仿宋_GB2312"/>
          <w:b w:val="0"/>
          <w:sz w:val="32"/>
          <w:szCs w:val="32"/>
        </w:rPr>
        <w:t>在职人员薪资调整、新招录1人、调入1人，工资及各项社保缴费支出增加22.68万元；</w:t>
      </w:r>
      <w:r>
        <w:rPr>
          <w:rFonts w:hint="eastAsia" w:ascii="仿宋_GB2312" w:eastAsia="仿宋_GB2312"/>
          <w:b w:val="0"/>
          <w:sz w:val="32"/>
          <w:szCs w:val="32"/>
          <w:lang w:eastAsia="zh-CN"/>
        </w:rPr>
        <w:t>二是</w:t>
      </w:r>
      <w:r>
        <w:rPr>
          <w:rFonts w:ascii="仿宋_GB2312" w:eastAsia="仿宋_GB2312"/>
          <w:b w:val="0"/>
          <w:sz w:val="32"/>
          <w:szCs w:val="32"/>
        </w:rPr>
        <w:t>2025年职业年金记实缴费支出增加7.42万元；</w:t>
      </w:r>
      <w:r>
        <w:rPr>
          <w:rFonts w:hint="eastAsia" w:ascii="仿宋_GB2312" w:eastAsia="仿宋_GB2312"/>
          <w:b w:val="0"/>
          <w:sz w:val="32"/>
          <w:szCs w:val="32"/>
          <w:lang w:eastAsia="zh-CN"/>
        </w:rPr>
        <w:t>三是</w:t>
      </w:r>
      <w:r>
        <w:rPr>
          <w:rFonts w:ascii="仿宋_GB2312" w:eastAsia="仿宋_GB2312"/>
          <w:b w:val="0"/>
          <w:sz w:val="32"/>
          <w:szCs w:val="32"/>
        </w:rPr>
        <w:t>人员增加公用经费支出增加1.25万元；</w:t>
      </w:r>
      <w:r>
        <w:rPr>
          <w:rFonts w:hint="eastAsia" w:ascii="仿宋_GB2312" w:eastAsia="仿宋_GB2312"/>
          <w:b w:val="0"/>
          <w:sz w:val="32"/>
          <w:szCs w:val="32"/>
          <w:lang w:eastAsia="zh-CN"/>
        </w:rPr>
        <w:t>四是</w:t>
      </w:r>
      <w:r>
        <w:rPr>
          <w:rFonts w:ascii="仿宋_GB2312" w:eastAsia="仿宋_GB2312"/>
          <w:b w:val="0"/>
          <w:sz w:val="32"/>
          <w:szCs w:val="32"/>
        </w:rPr>
        <w:t>中央无线电管理经费增加11.61万元。与年初预算相比，年初预算数263.45万元，决算数288.86万元，预决算差异率9.65%，主要原因是：</w:t>
      </w:r>
      <w:r>
        <w:rPr>
          <w:rFonts w:hint="eastAsia" w:ascii="仿宋_GB2312" w:eastAsia="仿宋_GB2312"/>
          <w:b w:val="0"/>
          <w:sz w:val="32"/>
          <w:szCs w:val="32"/>
          <w:lang w:val="en-US" w:eastAsia="zh-CN"/>
        </w:rPr>
        <w:t>年中</w:t>
      </w:r>
      <w:r>
        <w:rPr>
          <w:rFonts w:ascii="仿宋_GB2312" w:eastAsia="仿宋_GB2312"/>
          <w:b w:val="0"/>
          <w:sz w:val="32"/>
          <w:szCs w:val="32"/>
        </w:rPr>
        <w:t>在职人员薪资调整、新招录1人、调入1人</w:t>
      </w:r>
      <w:r>
        <w:rPr>
          <w:rFonts w:hint="eastAsia" w:ascii="仿宋_GB2312" w:eastAsia="仿宋_GB2312"/>
          <w:b w:val="0"/>
          <w:sz w:val="32"/>
          <w:szCs w:val="32"/>
          <w:lang w:eastAsia="zh-CN"/>
        </w:rPr>
        <w:t>，</w:t>
      </w:r>
      <w:r>
        <w:rPr>
          <w:rFonts w:ascii="仿宋_GB2312" w:eastAsia="仿宋_GB2312"/>
          <w:b w:val="0"/>
          <w:sz w:val="32"/>
          <w:szCs w:val="32"/>
        </w:rPr>
        <w:t>工资</w:t>
      </w:r>
      <w:r>
        <w:rPr>
          <w:rFonts w:hint="eastAsia" w:ascii="仿宋_GB2312" w:eastAsia="仿宋_GB2312"/>
          <w:b w:val="0"/>
          <w:sz w:val="32"/>
          <w:szCs w:val="32"/>
          <w:lang w:eastAsia="zh-CN"/>
        </w:rPr>
        <w:t>、</w:t>
      </w:r>
      <w:r>
        <w:rPr>
          <w:rFonts w:ascii="仿宋_GB2312" w:eastAsia="仿宋_GB2312"/>
          <w:b w:val="0"/>
          <w:sz w:val="32"/>
          <w:szCs w:val="32"/>
        </w:rPr>
        <w:t>各项社保缴费</w:t>
      </w:r>
      <w:r>
        <w:rPr>
          <w:rFonts w:hint="eastAsia" w:ascii="仿宋_GB2312" w:eastAsia="仿宋_GB2312"/>
          <w:b w:val="0"/>
          <w:sz w:val="32"/>
          <w:szCs w:val="32"/>
          <w:lang w:eastAsia="zh-CN"/>
        </w:rPr>
        <w:t>、</w:t>
      </w:r>
      <w:r>
        <w:rPr>
          <w:rFonts w:ascii="仿宋_GB2312" w:eastAsia="仿宋_GB2312"/>
          <w:b w:val="0"/>
          <w:sz w:val="32"/>
          <w:szCs w:val="32"/>
        </w:rPr>
        <w:t>职业年金记实缴费</w:t>
      </w:r>
      <w:r>
        <w:rPr>
          <w:rFonts w:hint="eastAsia" w:ascii="仿宋_GB2312" w:eastAsia="仿宋_GB2312"/>
          <w:b w:val="0"/>
          <w:sz w:val="32"/>
          <w:szCs w:val="32"/>
          <w:lang w:eastAsia="zh-CN"/>
        </w:rPr>
        <w:t>、</w:t>
      </w:r>
      <w:r>
        <w:rPr>
          <w:rFonts w:ascii="仿宋_GB2312" w:eastAsia="仿宋_GB2312"/>
          <w:b w:val="0"/>
          <w:sz w:val="32"/>
          <w:szCs w:val="32"/>
        </w:rPr>
        <w:t>中央无线电管理经费</w:t>
      </w:r>
      <w:r>
        <w:rPr>
          <w:rFonts w:hint="eastAsia" w:ascii="仿宋_GB2312" w:eastAsia="仿宋_GB2312"/>
          <w:b w:val="0"/>
          <w:sz w:val="32"/>
          <w:szCs w:val="32"/>
          <w:lang w:val="en-US" w:eastAsia="zh-CN"/>
        </w:rPr>
        <w:t>等追加25.41万元</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1.社会保障和就业支出（类）28.84万元，占9.98%。</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2.卫生健康支出（类）11.54万元，占4.00%。</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3.资源勘探工业信息等支出（类）233.45万元，占80.82%。</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4.住房保障支出（类）15.03万元，占5.20%。</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社会保障和就业支出（类）行政事业单位养老支出（款）机关事业单位基本养老保险缴费支出（项）：支出决算数为19.01万元，比上年决算增加1.63万元，增长9.38%，主要原因是：在职人员薪资调整、新招录1人、调入1人，工资福利支出增加，机关事业单位基本养老保险缴费支出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2、社会保障和就业支出（类）行政事业单位养老支出（款）机关事业单位职业年金缴费支出（项）：支出决算数为9.84万元，比上年决算增加7.42万元，增长306.61%，主要原因是：</w:t>
      </w:r>
      <w:r>
        <w:rPr>
          <w:rFonts w:hint="eastAsia" w:ascii="仿宋_GB2312" w:eastAsia="仿宋_GB2312"/>
          <w:b w:val="0"/>
          <w:sz w:val="32"/>
          <w:szCs w:val="32"/>
        </w:rPr>
        <w:t>根据《新疆维吾尔自治区职业年金单位缴费实账管理实施方案》（新人社发〔2025〕18号），自2025年起全额拨款单位职业年金缴费由记账积累改为实账缴费，职业年金纳入部门预算足额保障，支出相应增加</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卫生健康支出（类）行政事业单位医疗（款）事业单位医疗（项）：支出决算数为7.95万元，比上年决算增加0.73万元，增长10.11%，主要原因是：在职人员薪资调整、新招录1人、调入1人，工资福利支出增加，事业单位医疗支出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卫生健康支出（类）行政事业单位医疗（款）公务员医疗补助（项）：支出决算数为3.59万元，比上年决算增加0.33万元，增长10.12%，主要原因是：在职人员薪资调整、新招录1人、调入1人，工资福利支出增加，公务员医疗补助支出增加。</w:t>
      </w:r>
    </w:p>
    <w:p>
      <w:pPr>
        <w:widowControl/>
        <w:spacing w:before="0" w:beforeLines="0" w:beforeAutospacing="0" w:after="0" w:afterLines="0" w:afterAutospacing="0" w:line="240" w:lineRule="auto"/>
        <w:ind w:firstLine="640" w:firstLineChars="200"/>
        <w:rPr>
          <w:rFonts w:ascii="仿宋_GB2312" w:eastAsia="仿宋_GB2312"/>
          <w:b w:val="0"/>
          <w:sz w:val="32"/>
          <w:szCs w:val="32"/>
        </w:rPr>
      </w:pPr>
      <w:r>
        <w:rPr>
          <w:rFonts w:ascii="仿宋_GB2312" w:eastAsia="仿宋_GB2312"/>
          <w:b w:val="0"/>
          <w:sz w:val="32"/>
          <w:szCs w:val="32"/>
        </w:rPr>
        <w:t>5、资源勘探工业信息等支出（类）工业和信息产业（款）无线电及信息通信监管（项）：支出决算数为233.45万元，比上年决算增加30.52万元，增长15.04%，主要原因是：</w:t>
      </w:r>
      <w:r>
        <w:rPr>
          <w:rFonts w:hint="eastAsia" w:ascii="仿宋_GB2312" w:eastAsia="仿宋_GB2312"/>
          <w:b w:val="0"/>
          <w:sz w:val="32"/>
          <w:szCs w:val="32"/>
          <w:lang w:eastAsia="zh-CN"/>
        </w:rPr>
        <w:t>一是人员增加，公用经费增加；二是</w:t>
      </w:r>
      <w:r>
        <w:rPr>
          <w:rFonts w:hint="eastAsia" w:ascii="仿宋_GB2312" w:eastAsia="仿宋_GB2312"/>
          <w:b w:val="0"/>
          <w:sz w:val="32"/>
          <w:szCs w:val="32"/>
        </w:rPr>
        <w:t>中央无线电管理经费项目预算增加</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6、住房保障支出（类）住房改革支出（款）住房公积金（项）：支出决算数为15.03万元，比上年决算增加2.34万元，增长18.44%，主要原因是：在职人员薪资调整、新招录1人、调入1人，住房公积金支出增加。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基本支出216.20万元，其中：人员经费191.16万元，包括：基本工资、津贴补贴、奖金、绩效工资、机关事业单位基本养老保险缴费、职业年金缴费、职工基本医疗保险缴费、公务员医疗补助缴费、其他社会保障缴费、住房公积金和其他工资福利支出。</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公用经费25.04万元，包括：办公费、水费、邮电费、取暖费、物业管理费、差旅费、工会经费、福利费、公务用车运行维护费和其他商品和服务支出。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三公”经费支出8.18万元，比上年增加0.37万元，增长4.74%，主要原因是：因机构改革相关工作调整，公务用车外勤任务增加，公务用车运行维护费相应增长。其中：因公出国（境）费用支出0.00万元,占0.00%，与上年相比无变化，主要原因是：我单位无因公出国（境）费</w:t>
      </w:r>
      <w:r>
        <w:rPr>
          <w:rFonts w:hint="eastAsia" w:ascii="仿宋_GB2312" w:eastAsia="仿宋_GB2312"/>
          <w:b w:val="0"/>
          <w:sz w:val="32"/>
          <w:szCs w:val="32"/>
          <w:lang w:eastAsia="zh-CN"/>
        </w:rPr>
        <w:t>用</w:t>
      </w:r>
      <w:r>
        <w:rPr>
          <w:rFonts w:ascii="仿宋_GB2312" w:eastAsia="仿宋_GB2312"/>
          <w:b w:val="0"/>
          <w:sz w:val="32"/>
          <w:szCs w:val="32"/>
        </w:rPr>
        <w:t>；公务用车购置及运行维护费支出8.18万元，占100.00%，比上年增加0.37万元，增长4.74%，主要原因是：因机构改革相关工作调整，公务用车外勤任务增加，公务用车运行维护费相应增长；公务接待费支出0.00万元，占0.00%，与上年相比无变化，主要原因是：我单位无公务接待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因公出国（境）费用0.00万元，开支内容包括</w:t>
      </w:r>
      <w:r>
        <w:rPr>
          <w:rFonts w:hint="eastAsia" w:ascii="仿宋_GB2312" w:eastAsia="仿宋_GB2312"/>
          <w:b w:val="0"/>
          <w:sz w:val="32"/>
          <w:szCs w:val="32"/>
          <w:lang w:eastAsia="zh-CN"/>
        </w:rPr>
        <w:t>：</w:t>
      </w:r>
      <w:r>
        <w:rPr>
          <w:rFonts w:hint="eastAsia" w:ascii="仿宋_GB2312" w:eastAsia="仿宋_GB2312"/>
          <w:b w:val="0"/>
          <w:sz w:val="32"/>
          <w:szCs w:val="32"/>
        </w:rPr>
        <w:t>本年度未发生因公出国（境）相关支出</w:t>
      </w:r>
      <w:r>
        <w:rPr>
          <w:rFonts w:ascii="仿宋_GB2312" w:eastAsia="仿宋_GB2312"/>
          <w:b w:val="0"/>
          <w:sz w:val="32"/>
          <w:szCs w:val="32"/>
        </w:rPr>
        <w:t>。单位全年安排的因公出国（境）团组0个，因公出国（境）0人次。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公务用车购置及运行维护费8.18万元，其中：公务用车购置费0.00万元，公务用车运行维护费8.18万元。公务用车运行维护费开支内容包括</w:t>
      </w:r>
      <w:r>
        <w:rPr>
          <w:rFonts w:hint="eastAsia" w:ascii="仿宋_GB2312" w:eastAsia="仿宋_GB2312"/>
          <w:b w:val="0"/>
          <w:sz w:val="32"/>
          <w:szCs w:val="32"/>
          <w:lang w:eastAsia="zh-CN"/>
        </w:rPr>
        <w:t>：</w:t>
      </w:r>
      <w:r>
        <w:rPr>
          <w:rFonts w:ascii="仿宋_GB2312" w:eastAsia="仿宋_GB2312"/>
          <w:b w:val="0"/>
          <w:sz w:val="32"/>
          <w:szCs w:val="32"/>
        </w:rPr>
        <w:t>燃油费、车辆保险费、车辆运行维护费、车辆年审费、过路过桥费。公务用车购置数0辆，公务用车保有量4辆。国有资产占用情况中固定资产车辆4辆，与公务用车保有量差异原因是：无差异。</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b w:val="0"/>
          <w:sz w:val="32"/>
          <w:szCs w:val="32"/>
          <w:lang w:eastAsia="zh-CN"/>
        </w:rPr>
        <w:t>：</w:t>
      </w:r>
      <w:r>
        <w:rPr>
          <w:rFonts w:hint="eastAsia" w:ascii="仿宋_GB2312" w:eastAsia="仿宋_GB2312"/>
          <w:b w:val="0"/>
          <w:sz w:val="32"/>
          <w:szCs w:val="32"/>
        </w:rPr>
        <w:t>本年度未发生</w:t>
      </w:r>
      <w:r>
        <w:rPr>
          <w:rFonts w:ascii="仿宋_GB2312" w:eastAsia="仿宋_GB2312"/>
          <w:b w:val="0"/>
          <w:sz w:val="32"/>
          <w:szCs w:val="32"/>
        </w:rPr>
        <w:t>公务接待费</w:t>
      </w:r>
      <w:bookmarkStart w:id="0" w:name="_GoBack"/>
      <w:bookmarkEnd w:id="0"/>
      <w:r>
        <w:rPr>
          <w:rFonts w:hint="eastAsia" w:ascii="仿宋_GB2312" w:eastAsia="仿宋_GB2312"/>
          <w:b w:val="0"/>
          <w:sz w:val="32"/>
          <w:szCs w:val="32"/>
        </w:rPr>
        <w:t>相关支出</w:t>
      </w:r>
      <w:r>
        <w:rPr>
          <w:rFonts w:ascii="仿宋_GB2312" w:eastAsia="仿宋_GB2312"/>
          <w:b w:val="0"/>
          <w:sz w:val="32"/>
          <w:szCs w:val="32"/>
        </w:rPr>
        <w:t>。单位全年安排的国内公务接待0批次，0人次。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与全年预算相比，财政拨款“三公”经费支出全年预算数8.18万元，决算数8.18万元，预决算差异率0.00%，主要原因是：</w:t>
      </w:r>
      <w:r>
        <w:rPr>
          <w:rFonts w:hint="eastAsia" w:ascii="仿宋_GB2312" w:eastAsia="仿宋_GB2312"/>
          <w:b w:val="0"/>
          <w:color w:val="auto"/>
          <w:sz w:val="32"/>
          <w:szCs w:val="32"/>
        </w:rPr>
        <w:t>严格</w:t>
      </w:r>
      <w:r>
        <w:rPr>
          <w:rFonts w:hint="eastAsia" w:ascii="仿宋_GB2312" w:eastAsia="仿宋_GB2312"/>
          <w:b w:val="0"/>
          <w:color w:val="auto"/>
          <w:sz w:val="32"/>
          <w:szCs w:val="32"/>
          <w:lang w:eastAsia="zh-CN"/>
        </w:rPr>
        <w:t>落实过紧日子要求，</w:t>
      </w:r>
      <w:r>
        <w:rPr>
          <w:rFonts w:hint="eastAsia" w:ascii="仿宋_GB2312" w:eastAsia="仿宋_GB2312"/>
          <w:b w:val="0"/>
          <w:color w:val="auto"/>
          <w:sz w:val="32"/>
          <w:szCs w:val="32"/>
        </w:rPr>
        <w:t>厉行节约，</w:t>
      </w:r>
      <w:r>
        <w:rPr>
          <w:rFonts w:hint="eastAsia" w:ascii="仿宋_GB2312" w:eastAsia="仿宋_GB2312"/>
          <w:b w:val="0"/>
          <w:color w:val="auto"/>
          <w:sz w:val="32"/>
          <w:szCs w:val="32"/>
          <w:lang w:val="en-US" w:eastAsia="zh-CN"/>
        </w:rPr>
        <w:t>无预算不支出</w:t>
      </w:r>
      <w:r>
        <w:rPr>
          <w:rFonts w:ascii="仿宋_GB2312" w:eastAsia="仿宋_GB2312"/>
          <w:b w:val="0"/>
          <w:sz w:val="32"/>
          <w:szCs w:val="32"/>
        </w:rPr>
        <w:t>。其中：因公出国（境）费用全年预算数0.00万元，决算数0.00万元，预决算差异率0.00%，主要原因是：我单位无因公出国（境）费</w:t>
      </w:r>
      <w:r>
        <w:rPr>
          <w:rFonts w:hint="eastAsia" w:ascii="仿宋_GB2312" w:eastAsia="仿宋_GB2312"/>
          <w:b w:val="0"/>
          <w:sz w:val="32"/>
          <w:szCs w:val="32"/>
          <w:lang w:eastAsia="zh-CN"/>
        </w:rPr>
        <w:t>用</w:t>
      </w:r>
      <w:r>
        <w:rPr>
          <w:rFonts w:ascii="仿宋_GB2312" w:eastAsia="仿宋_GB2312"/>
          <w:b w:val="0"/>
          <w:sz w:val="32"/>
          <w:szCs w:val="32"/>
        </w:rPr>
        <w:t>；公务用车购置费全年预算数0.00万元，决算数0.00万元，预决算差异率0.00%，主要原因是：我单位无公务用车购置费；公务用车运行维护费全年预算数8.18万元，决算数8.18万元，预决算差异率0.00%，主要原因是：严格执行公务用车管理制度，</w:t>
      </w:r>
      <w:r>
        <w:rPr>
          <w:rFonts w:hint="eastAsia" w:ascii="仿宋_GB2312" w:eastAsia="仿宋_GB2312"/>
          <w:b w:val="0"/>
          <w:sz w:val="32"/>
          <w:szCs w:val="32"/>
          <w:lang w:eastAsia="zh-CN"/>
        </w:rPr>
        <w:t>严格</w:t>
      </w:r>
      <w:r>
        <w:rPr>
          <w:rFonts w:ascii="仿宋_GB2312" w:eastAsia="仿宋_GB2312"/>
          <w:b w:val="0"/>
          <w:sz w:val="32"/>
          <w:szCs w:val="32"/>
        </w:rPr>
        <w:t>控制公务用车运行费用；公务接待费全年预算数0.00万元，决算数0.00万元，预决算差异率0.00%，主要原因是：我单位无公务接待费。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2025年度哈密市无线电管理中心（事业单位）公用经费支出25.04万元，比上年增加1.25万元，增长5.25%，主要原因是：2025年人员增加2人，公用经费支出增加。</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2025年度政府采购支出总额67.18万元，其中：政府采购货物支出3.72万元、政府采购工程支出16.80万元、政府采购服务支出46.66万元。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授予中小企业合同金额56.34万元，占政府采购支出总额的83.86%，其中：授予小微企业合同金额49.90万元，占政府采购支出总额的74.28%。</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2025年12月31日，房屋4,983.05平方米，价值1,479.24万元。车辆4辆，价值216.00万元，其中：副部（省）级及以上领导用车0辆、主要负责人用车0辆、机要通信用车0辆、应急保障用车0辆、执法执勤用车1辆、特种专业技术用车3辆、离退休干部服务用车0辆、其他用车0辆，其他用车主要是：哈密市无线电管理中心无其他用车情况;单价100万元（含）以上设备（不含车辆）2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2025年度预算绩效评价项目1个，全年预算数19.00万元，全年执行数17.80万元。预算绩效管理取得的成效：项目资金有利促进了哈密市辖区内重大活动无线电安全保障、航空及铁路、水上无线电频率保护、无线电干扰查处、无线电频率协调、考试保障、无线电专业技术人员培训、无线电预备役等无线电管理工作的开展，为服务新疆社会大局稳定和经济社会发展大局做出贡献。发现的问题及原因：组织开展项目绩效评价工作时,因项目采购、合同执行周期长，预算执行率偏低，致使项目在绩效监控节点时，影响单位整体绩效评价总体分值。下一步改进措施：一是完善各项内控制度，建立上下协调、科室联动、层层抓落实的工作责任制，将绩效管理责任分解落实到具体科室、明确到具体责任人，确保每一笔资金花得安全、用得高效；二是加强对专项资金预算绩效监控力度，加强对专项资金预算执行力度的考核，确保项目执行按期完成；三是建立健全绩效管理与预算管理有机结合的工作机制，落实绩效评价结果成为预算编制的重要参考因素。具体附项目支出绩效自评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本单位无其他需说明的事项。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pPr>
        <w:widowControl/>
        <w:spacing w:before="0" w:beforeLines="0" w:beforeAutospacing="0" w:after="0" w:afterLines="0" w:afterAutospacing="0" w:line="240" w:lineRule="auto"/>
        <w:ind w:firstLine="642"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AFF" w:usb1="C0007841"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auto"/>
    <w:pitch w:val="default"/>
    <w:sig w:usb0="00000000" w:usb1="00000000"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false"/>
  <w:bordersDoNotSurroundFooter w:val="false"/>
  <w:documentProtection w:enforcement="0"/>
  <w:displayHorizontalDrawingGridEvery w:val="1"/>
  <w:displayVerticalDrawingGridEvery w:val="1"/>
  <w:noPunctuationKerning w:val="true"/>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2"/>
    <w:compatSetting w:name="overrideTableStyleFontSizeAndJustification" w:uri="http://schemas.microsoft.com/office/word" w:val="1"/>
  </w:compat>
  <w:rsids>
    <w:rsidRoot w:val="00000000"/>
    <w:rsid w:val="15FE67A8"/>
    <w:rsid w:val="1E322C30"/>
    <w:rsid w:val="1F503858"/>
    <w:rsid w:val="27A04C51"/>
    <w:rsid w:val="27FC18CC"/>
    <w:rsid w:val="381F716E"/>
    <w:rsid w:val="412F731A"/>
    <w:rsid w:val="4BCE0582"/>
    <w:rsid w:val="630817F5"/>
    <w:rsid w:val="7EFF63DA"/>
    <w:rsid w:val="FECCCE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qFormat="1"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annotation text"/>
    <w:basedOn w:val="1"/>
    <w:semiHidden/>
    <w:unhideWhenUsed/>
    <w:qFormat/>
    <w:uiPriority w:val="99"/>
    <w:pPr>
      <w:jc w:val="left"/>
    </w:p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rPr>
  </w:style>
  <w:style w:type="character" w:customStyle="1" w:styleId="17">
    <w:name w:val="Header Char"/>
    <w:basedOn w:val="14"/>
    <w:link w:val="9"/>
    <w:qFormat/>
    <w:uiPriority w:val="99"/>
  </w:style>
  <w:style w:type="character" w:customStyle="1" w:styleId="18">
    <w:name w:val="Heading 1 Char"/>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9">
    <w:name w:val="Heading 2 Char"/>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0">
    <w:name w:val="Heading 3 Char"/>
    <w:basedOn w:val="14"/>
    <w:link w:val="4"/>
    <w:qFormat/>
    <w:uiPriority w:val="9"/>
    <w:rPr>
      <w:rFonts w:asciiTheme="majorHAnsi" w:hAnsiTheme="majorHAnsi" w:eastAsiaTheme="majorEastAsia" w:cstheme="majorBidi"/>
      <w:b/>
      <w:bCs/>
      <w:color w:val="4F81BD" w:themeColor="accent1"/>
    </w:rPr>
  </w:style>
  <w:style w:type="character" w:customStyle="1" w:styleId="21">
    <w:name w:val="Heading 4 Char"/>
    <w:basedOn w:val="14"/>
    <w:link w:val="5"/>
    <w:qFormat/>
    <w:uiPriority w:val="9"/>
    <w:rPr>
      <w:rFonts w:asciiTheme="majorHAnsi" w:hAnsiTheme="majorHAnsi" w:eastAsiaTheme="majorEastAsia" w:cstheme="majorBidi"/>
      <w:b/>
      <w:bCs/>
      <w:i/>
      <w:iCs/>
      <w:color w:val="4F81BD" w:themeColor="accent1"/>
    </w:rPr>
  </w:style>
  <w:style w:type="character" w:customStyle="1" w:styleId="22">
    <w:name w:val="Subtitle Char"/>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3">
    <w:name w:val="Title Char"/>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14</Pages>
  <Words>5924</Words>
  <Characters>6616</Characters>
  <TotalTime>0</TotalTime>
  <ScaleCrop>false</ScaleCrop>
  <LinksUpToDate>false</LinksUpToDate>
  <CharactersWithSpaces>6623</CharactersWithSpaces>
  <Application>WPS Office_11.8.2.10337_F1E327BC-269C-435d-A152-05C5408002CA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2026-08-28T10:01:00Z</dcterms:created>
  <dc:creator>56258</dc:creator>
  <cp:lastModifiedBy>user</cp:lastModifiedBy>
  <dcterms:modified xsi:type="dcterms:W3CDTF">2026-08-30T14:52:59Z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eyJoZGlkIjoiNGVlYjlkNTkyM2Q2NWQ0ZTNmMThhMzFkNWQ0YmUwNWUiLCJ1c2VySWQiOiI1ODI2MjI2MjgifQ==</vt:lpwstr>
  </property>
  <property fmtid="{D5CDD505-2E9C-101B-9397-08002B2CF9AE}" pid="3" name="KSOProductBuildVer">
    <vt:lpwstr>2052-11.8.2.10337</vt:lpwstr>
  </property>
  <property fmtid="{D5CDD505-2E9C-101B-9397-08002B2CF9AE}" pid="4" name="ICV">
    <vt:lpwstr>E19E1AA5333C400A91175D2DE2F87E1C_12</vt:lpwstr>
  </property>
</Properties>
</file>