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吐鲁番市无线电管理中心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根据自治区工业和信息化厅授权，协调处理辖区内无线电管理相关事宜。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吐鲁番市无线电管理中心无下属预算单位。</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2025年度收入总计261.47万元，其中：本年收入合计228.34万元，使用非财政拨款结余（含专用结余）0.00万元，年初结转和结余33.13万元。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2025年度支出总计261.47万元，其中：本年支出合计219.40万元，结余分配0.00万元，年末结转和结余42.07万元。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48.86万元，增长22.98%，主要原因是：一是一般公共预算财政拨款基本支出人员经费较上年增加14.05万元。人员较上年有变化，新增3人；二是一般公共预算财政拨款基本支出公用经费增加2.61万元，安排日常业务办公支出增加；三是一般公共预算财政拨款项目支出较上年增加9.57万元，中央无线电管理经费增加；四是非财政拨款项目较上年增加13.70万元，本年房屋租赁租金收入因承租方较上年增加一家单位，租金收入增加</w:t>
      </w:r>
      <w:r>
        <w:rPr>
          <w:rFonts w:hint="eastAsia" w:ascii="仿宋_GB2312" w:eastAsia="仿宋_GB2312"/>
          <w:b w:val="0"/>
          <w:sz w:val="32"/>
          <w:szCs w:val="32"/>
          <w:lang w:eastAsia="zh-CN"/>
        </w:rPr>
        <w:t>；</w:t>
      </w:r>
      <w:r>
        <w:rPr>
          <w:rFonts w:ascii="仿宋_GB2312" w:eastAsia="仿宋_GB2312"/>
          <w:b w:val="0"/>
          <w:sz w:val="32"/>
          <w:szCs w:val="32"/>
        </w:rPr>
        <w:t>五是年末结转结余较上年增加8.93万元，其它收入增加。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本年收入228.34万元，其中：财政拨款收入205.34万元,占89.93%；上级补助收入0.00万元,占0.00%；事业收入0.00万元，占0.00%；经营收入0.00万元,占0.00%；附属单位上缴收入0.00万元，占0.00%；其他收入23.00万元，占10.07%。</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本年支出219.40万元，其中：基本支出141.60万元，占64.54%；项目支出77.80万元，占35.46%；上缴上级支出0.00万元，占0.00%；经营支出0.00万元，占0.00%；对附属单位补助支出0.00万元，占0.00%。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2025年度财政拨款收入总计222.73万元，其中：年初财政拨款结转和结余17.39万元，本年财政拨款收入205.34万元。财政拨款支出总计222.73万元，其中：年末财政拨款结转和结余17.39万元，本年财政拨款支出205.34万元。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财政拨款收入支出总体与上年相比，增加26.22万元，增长13.34%，主要原因是：一是一般公共预算财政拨款收入支出总体较上年增</w:t>
      </w:r>
      <w:r>
        <w:rPr>
          <w:rFonts w:hint="eastAsia" w:ascii="仿宋_GB2312" w:eastAsia="仿宋_GB2312"/>
          <w:b w:val="0"/>
          <w:sz w:val="32"/>
          <w:szCs w:val="32"/>
          <w:lang w:eastAsia="zh-CN"/>
        </w:rPr>
        <w:t>长</w:t>
      </w:r>
      <w:r>
        <w:rPr>
          <w:rFonts w:ascii="仿宋_GB2312" w:eastAsia="仿宋_GB2312"/>
          <w:b w:val="0"/>
          <w:sz w:val="32"/>
          <w:szCs w:val="32"/>
        </w:rPr>
        <w:t>。人员较上年有变化，新增3人，基本支出人员经费增加14.05万元。二是一般公共预算财政拨款基本支出公用经费增加2.61万元，安排日常业务办公支出增加；三是一般公共预算财政拨款项目支出较上年增加9.56万元，中央无线电管理经费增加。与年初预算相比，年初预算数181.67万元，决算数222.73万元，预决算差异率22.60%，主要原因是：根据自治区财政厅下达文件追加预算，一是追加一般公共预算财政拨款基本预算人员类项目29.64万元。二是追加一般公共预算财政拨款项目预算11.42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社会保障和就业支出、卫生健康支出、住房保障支出、资源勘探工业信息等重点支出，体现在有关支出科目中。</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工业和信息产业（款）无线电及信息通信监管（项）的支出占本年财政拨款支出总额的比重最高，2025年度决算数为167.91万元，占比81.77%，主要用于人员经费75.89万元、公用经费28.28万元。项目支出63.74万元。</w:t>
      </w:r>
    </w:p>
    <w:p>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2025年度一般公共预算财政拨款支出205.34万元，占本年支出合计的93.59%。与上年相比，增加26.22万元，增长14.64%，主要原因是：一是一般公共预算财政拨款收入支出总体较上年增</w:t>
      </w:r>
      <w:r>
        <w:rPr>
          <w:rFonts w:hint="eastAsia" w:ascii="仿宋_GB2312" w:eastAsia="仿宋_GB2312"/>
          <w:b w:val="0"/>
          <w:sz w:val="32"/>
          <w:szCs w:val="32"/>
          <w:lang w:eastAsia="zh-CN"/>
        </w:rPr>
        <w:t>长</w:t>
      </w:r>
      <w:r>
        <w:rPr>
          <w:rFonts w:ascii="仿宋_GB2312" w:eastAsia="仿宋_GB2312"/>
          <w:b w:val="0"/>
          <w:sz w:val="32"/>
          <w:szCs w:val="32"/>
        </w:rPr>
        <w:t>。人员较上年有变化，新增3人，基本支出人员经费较上年增加14.05万元。二是一般公共预算财政拨款基本支出公用经费较上年增加2.61万元，安排日常业务办公支出增加；三是一般公共预算财政拨款项目支出较上年增加9.56万元，中央无线电管理经费增加。与年初预算相比，年初预算数181.67万元，决算数205.34万元，预决算差异率13.03%，主要原因是：根据自治区财政厅下达文件追加预算，一是追加一般公共预算财政拨款基本预算人员类项目29.64万元。二是追加一般公共预算财政拨款项目预算11.42万元。</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1.社会保障和就业支出（类）23.51万元，占11.45%。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2.卫生健康支出（类）5.82万元，占2.83%。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3.资源勘探工业信息等支出（类）167.91万元，占81.77%。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4.住房保障支出（类）8.10万元，占3.94%。</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1、社会保障和就业支出（类）行政事业单位养老支出（款）事业单位离退休（项）：支出决算数为7.58万元，比上年决算增加1.12万元，增长17.34%，主要原因是：退休人员养老待遇提高。</w:t>
      </w:r>
    </w:p>
    <w:p>
      <w:pPr>
        <w:widowControl/>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2、社会保障和就业支出（类）行政事业单位养老支出（款）机关事业单位基本养老保险缴费支出（项）：支出决算数为10.53万元，比上年决算增加1.12万元，增长11.90%，主要原因是：人员较上年有变化，新增3人，人员养老保险缴费增加</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3、社会保障和就业支出（类）行政事业单位养老支出（款）机关事业单位职业年金缴费支出（项）：支出决算数为5.40万元，比上年决算增加5.40万元，增长100.00%，主要原因是：</w:t>
      </w:r>
      <w:r>
        <w:rPr>
          <w:rFonts w:hint="eastAsia" w:ascii="仿宋_GB2312" w:eastAsia="仿宋_GB2312"/>
          <w:b w:val="0"/>
          <w:sz w:val="32"/>
          <w:szCs w:val="32"/>
        </w:rPr>
        <w:t>根据《新疆维吾尔自治区职业年金单位缴费实账管理实施方案》（新人社发〔2025〕18号），自2025年起全额拨款单位职业年金缴费由记账积累改为实账缴费，职业年金纳入部门预算足额保障，支出相应增加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4、卫生健康支出（类）行政事业单位医疗（款）事业单位医疗（项）：支出决算数为4.51万元，比上年决算增加0.19万元，增长4.40%，主要原因是：人员较上年有变化，新增3人，人员基本医疗保险缴费支出增</w:t>
      </w:r>
      <w:r>
        <w:rPr>
          <w:rFonts w:hint="eastAsia" w:ascii="仿宋_GB2312" w:eastAsia="仿宋_GB2312"/>
          <w:b w:val="0"/>
          <w:sz w:val="32"/>
          <w:szCs w:val="32"/>
          <w:lang w:eastAsia="zh-CN"/>
        </w:rPr>
        <w:t>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5、卫生健康支出（类）行政事业单位医疗（款）公务员医疗补助（项）：支出决算数为1.32万元，比上年决算增加0.03万元，增长2.33%，主要原因是：人员较上年有变化，新增3人，公务员医疗补助经费增加。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工业和信息产业（款）无线电及信息通信监管（项）：支出决算数为167.91万元，比上年决算增加17.95万元，增长11.97%，主要原因是：一是人员较上年有变化，新增3人，基本支出人员经费较上年增加5.78万元</w:t>
      </w:r>
      <w:r>
        <w:rPr>
          <w:rFonts w:hint="eastAsia" w:ascii="仿宋_GB2312" w:eastAsia="仿宋_GB2312"/>
          <w:b w:val="0"/>
          <w:sz w:val="32"/>
          <w:szCs w:val="32"/>
          <w:lang w:eastAsia="zh-CN"/>
        </w:rPr>
        <w:t>；</w:t>
      </w:r>
      <w:r>
        <w:rPr>
          <w:rFonts w:ascii="仿宋_GB2312" w:eastAsia="仿宋_GB2312"/>
          <w:b w:val="0"/>
          <w:sz w:val="32"/>
          <w:szCs w:val="32"/>
        </w:rPr>
        <w:t>二是一般公共预算财政拨款基本支出公用经费较上年增加2.61万元，安排日常业务办公支出增加；三是一般公共预算财政拨款项目支出较上年增加9.56万元，中央无线电管理经费增加。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7、住房保障支出（类）住房改革支出（款）住房公积金（项）：支出决算数为8.10万元，比上年决算增加0.42万元，增长5.47%，主要原因是：人员较上年有变化，新增3人，人员住房公积金经费增加。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141.60万元，其中：人员经费113.32万元，包括：基本工资、津贴补贴、奖金、绩效工资、机关事业单位基本养老保险缴费、职业年金缴费、职工基本医疗保险缴费、公务员医疗补助缴费、其他社会保障缴费、住房公积金、退休费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公用经费28.28万元，包括：办公费、水费、邮电费、取暖费、差旅费、工会经费、福利费、公务用车运行维护费和其他商品和服务支出。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9.68万元，比上年减少0.03万元，下降0.31%，主要原因是：本单位严格落实厉行节约反对浪费相关规定，持续强化“三公”经费预算刚性约束，从严管控公务用车运行维护开支，在保障履职需要前提下进一步压减支出，实现“三公”经费小幅下降。其中：因公出国（境）费用支出0.00万元,占0.00%，与上年相比无变化，主要原因是：我单位无因公出国（境）费用支出；公务用车购置及运行维护费支出9.68万元，占100.00%，比上年减少0.03万元，下降0.31%，主要原因是：单位严格执行公务用车管理相关制度，强化公务用车日常运维管控，合理统筹调度车辆，优化车辆出行安排，从严把控车辆燃油、维修保养等运行成本，在保障日常公务履职正常开展的基础上，进一步节约运行开支，实现经费小幅压减；公务接待费支出0.00万元，占0.00%，与上年相比无变化，主要原因是：我单位无公务接待费开支。</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lang w:eastAsia="zh-CN"/>
        </w:rPr>
        <w:t>：</w:t>
      </w:r>
      <w:r>
        <w:rPr>
          <w:rFonts w:hint="eastAsia" w:ascii="仿宋_GB2312" w:eastAsia="仿宋_GB2312"/>
          <w:b w:val="0"/>
          <w:sz w:val="32"/>
          <w:szCs w:val="32"/>
        </w:rPr>
        <w:t>本年度未发生因公出国（境）相关支出</w:t>
      </w:r>
      <w:r>
        <w:rPr>
          <w:rFonts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公务用车购置及运行维护费9.68万元，其中：公务用车购置费0.00万元，公务用车运行维护费9.68万元。公务用车运行维护费开支内容包括</w:t>
      </w:r>
      <w:r>
        <w:rPr>
          <w:rFonts w:hint="eastAsia" w:ascii="仿宋_GB2312" w:eastAsia="仿宋_GB2312"/>
          <w:b w:val="0"/>
          <w:sz w:val="32"/>
          <w:szCs w:val="32"/>
          <w:lang w:eastAsia="zh-CN"/>
        </w:rPr>
        <w:t>：</w:t>
      </w:r>
      <w:r>
        <w:rPr>
          <w:rFonts w:ascii="仿宋_GB2312" w:eastAsia="仿宋_GB2312"/>
          <w:b w:val="0"/>
          <w:sz w:val="32"/>
          <w:szCs w:val="32"/>
        </w:rPr>
        <w:t>车辆燃油费、车辆保险费、车辆维修费、车辆过路及停车费。公务用车购置数0辆，公务用车保有量5辆。国有资产占用情况中固定资产车辆5辆，与公务用车保有量差异原因是：无差异。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w:t>
      </w:r>
      <w:r>
        <w:rPr>
          <w:rFonts w:hint="eastAsia" w:ascii="仿宋_GB2312" w:eastAsia="仿宋_GB2312"/>
          <w:b w:val="0"/>
          <w:sz w:val="32"/>
          <w:szCs w:val="32"/>
        </w:rPr>
        <w:t>本年度未发生</w:t>
      </w:r>
      <w:r>
        <w:rPr>
          <w:rFonts w:ascii="仿宋_GB2312" w:eastAsia="仿宋_GB2312"/>
          <w:b w:val="0"/>
          <w:sz w:val="32"/>
          <w:szCs w:val="32"/>
        </w:rPr>
        <w:t>公务接待费</w:t>
      </w:r>
      <w:r>
        <w:rPr>
          <w:rFonts w:hint="eastAsia" w:ascii="仿宋_GB2312" w:eastAsia="仿宋_GB2312"/>
          <w:b w:val="0"/>
          <w:sz w:val="32"/>
          <w:szCs w:val="32"/>
          <w:lang w:eastAsia="zh-CN"/>
        </w:rPr>
        <w:t>相关支出</w:t>
      </w:r>
      <w:bookmarkStart w:id="0" w:name="_GoBack"/>
      <w:bookmarkEnd w:id="0"/>
      <w:r>
        <w:rPr>
          <w:rFonts w:ascii="仿宋_GB2312" w:eastAsia="仿宋_GB2312"/>
          <w:b w:val="0"/>
          <w:sz w:val="32"/>
          <w:szCs w:val="32"/>
        </w:rPr>
        <w:t>。单位全年安排的国内公务接待0批次，0人次。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与全年预算相比，财政拨款“三公”经费支出全年预算数9.68万元，决算数9.68万元，预决算差异率0.00%，主要原因是：严格执行中央八项规定及</w:t>
      </w:r>
      <w:r>
        <w:rPr>
          <w:rFonts w:hint="eastAsia" w:ascii="仿宋_GB2312" w:eastAsia="仿宋_GB2312"/>
          <w:b w:val="0"/>
          <w:sz w:val="32"/>
          <w:szCs w:val="32"/>
          <w:lang w:eastAsia="zh-CN"/>
        </w:rPr>
        <w:t>其</w:t>
      </w:r>
      <w:r>
        <w:rPr>
          <w:rFonts w:ascii="仿宋_GB2312" w:eastAsia="仿宋_GB2312"/>
          <w:b w:val="0"/>
          <w:sz w:val="32"/>
          <w:szCs w:val="32"/>
        </w:rPr>
        <w:t>实施细则，做到“三公”经费”只减不增，无预算不支出。其中：因公出国（境）费用全年预算数0.00万元，决算数0.00万元，预决算差异率0.00%，主要原因是：我单位无因公出国（境）费用支出需求；公务用车购置费全年预算数0.00万元，决算数0.00万元，预决算差异率0.00%，主要原因是：我单位无公务用车购置支出需求；公务用车运行维护费全年预算数9.68万元，决算数9.68万元，预决算差异率0.00%，主要原因是：单位严格执行公务用车管理相关制度，强化公务用车日常运维管控，合理统筹调度车辆，优化车辆出行安排，从严把控车辆燃油、维修保养等运行成本，在保障日常公务履职正常开展的基础上，进一步节约运行开支，实现经费小幅压减；公务接待费全年预算数0.00万元，决算数0.00万元，预决算差异率0.00%，主要原因是：我单位无公务接待费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吐鲁番市无线电管理中心（事业单位）公用经费支出28.28万元，比上年增加2.61万元，增长10.17%，主要原因是：一般公共预算财政拨款基本支出公用经费增加2.61万元，安排保障单位正常运转、完成日常工作任务支出增加。</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2025年度政府采购支出总额20.96万元，其中：政府采购货物支出6.32万元、政府采购工程支出0.00万元、政府采购服务支出14.64万元。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授予中小企业合同金额15.97万元，占政府采购支出总额的76.19%，其中：授予小微企业合同金额15.97万元，占政府采购支出总额的76.19%。</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6,221.06平方米，价值1,456.33万元。车辆5辆，价值220.69万元，其中：副部（省）级及以上领导用车0辆、主要负责人用车0辆、机要通信用车0辆、应急保障用车0辆、执法执勤用车0辆、特种专业技术用车4辆、离退休干部服务用车0辆、其他用车1辆，其他用车主要是：一般公务用车;单价100万元（含）以上设备（不含车辆）4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根据预算绩效管理要求，本单位2025年度预算绩效评价项目1个，全年预算数14.90万元，全年执行数14.10万元。预算绩效管理取得的成效：一是严格执行自治区工信厅制</w:t>
      </w:r>
      <w:r>
        <w:rPr>
          <w:rFonts w:hint="eastAsia" w:ascii="仿宋_GB2312" w:eastAsia="仿宋_GB2312"/>
          <w:b w:val="0"/>
          <w:sz w:val="32"/>
          <w:szCs w:val="32"/>
          <w:lang w:eastAsia="zh-CN"/>
        </w:rPr>
        <w:t>定</w:t>
      </w:r>
      <w:r>
        <w:rPr>
          <w:rFonts w:ascii="仿宋_GB2312" w:eastAsia="仿宋_GB2312"/>
          <w:b w:val="0"/>
          <w:sz w:val="32"/>
          <w:szCs w:val="32"/>
        </w:rPr>
        <w:t>的预算绩效管理办法，对项目资金加快预算执行，确保绩效监控和绩效评价执行率，规范预算执行活动，确保预算执行的准确性、规范性。二是各项工作实施实现预期绩效目标，公共服务履职效能、项目实施质量，资金统筹使用效率稳步提升。预算绩效管理常态化、规范化水平进一步提高，有效保障了单位年度各项重点工作、常规业务顺利开展。发现的问题及原因：一是绩效目标设定精细化程度不足。组织开展项目绩效评价工作时，因项目采购、合同执行周期长，预算执行率偏低，致使项目在绩效监控节点时，影响单位整体绩效评价总体分值；二是相关绩效管理方面专业知识的系统性学习有待加强。各项指标的设置要进一步优化、完善，主要在细化、量化上改进。下一步改进措施：一是完善各项内控制度，建立上下协调、科室联动、层层抓落实的工作责任制，将绩效管理责任分解落实到具体科室、明确到具体责任人，确保资金支出安全、高效</w:t>
      </w:r>
      <w:r>
        <w:rPr>
          <w:rFonts w:hint="eastAsia" w:ascii="仿宋_GB2312" w:eastAsia="仿宋_GB2312"/>
          <w:b w:val="0"/>
          <w:sz w:val="32"/>
          <w:szCs w:val="32"/>
          <w:lang w:eastAsia="zh-CN"/>
        </w:rPr>
        <w:t>利用</w:t>
      </w:r>
      <w:r>
        <w:rPr>
          <w:rFonts w:ascii="仿宋_GB2312" w:eastAsia="仿宋_GB2312"/>
          <w:b w:val="0"/>
          <w:sz w:val="32"/>
          <w:szCs w:val="32"/>
        </w:rPr>
        <w:t>；二是加强对专项资金预算绩效监控力度，加强对专项资金预算执行力度的考核，确保项目执行按期完成；三是建立健全绩效管理与预算管理有机结合的工作机制，落实绩效评价结果成为预算编制的重要参考因素。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0000000000000000000"/>
    <w:charset w:val="00"/>
    <w:family w:val="auto"/>
    <w:pitch w:val="default"/>
    <w:sig w:usb0="00000000" w:usb1="00000000" w:usb2="00000000" w:usb3="00000000" w:csb0="00000000" w:csb1="00000000"/>
  </w:font>
  <w:font w:name="Cambria">
    <w:altName w:val="Noto Sans Syriac Eastern"/>
    <w:panose1 w:val="02040503050406030204"/>
    <w:charset w:val="00"/>
    <w:family w:val="auto"/>
    <w:pitch w:val="default"/>
    <w:sig w:usb0="00000000" w:usb1="00000000"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55CA8"/>
    <w:rsid w:val="041D6583"/>
    <w:rsid w:val="04651CD8"/>
    <w:rsid w:val="04C9495C"/>
    <w:rsid w:val="04E01ECF"/>
    <w:rsid w:val="050E411D"/>
    <w:rsid w:val="05157BA2"/>
    <w:rsid w:val="05203544"/>
    <w:rsid w:val="074F1202"/>
    <w:rsid w:val="084B781B"/>
    <w:rsid w:val="08A6123D"/>
    <w:rsid w:val="08E7715F"/>
    <w:rsid w:val="094B3B92"/>
    <w:rsid w:val="0A283ED3"/>
    <w:rsid w:val="0AB67731"/>
    <w:rsid w:val="0BC47C2C"/>
    <w:rsid w:val="0CC06645"/>
    <w:rsid w:val="0CEC2F96"/>
    <w:rsid w:val="0D3A1F53"/>
    <w:rsid w:val="0D9C2C0E"/>
    <w:rsid w:val="0E06277D"/>
    <w:rsid w:val="0E5139F9"/>
    <w:rsid w:val="104430E9"/>
    <w:rsid w:val="109E4EEF"/>
    <w:rsid w:val="10CA7A92"/>
    <w:rsid w:val="119A56B6"/>
    <w:rsid w:val="13631AD8"/>
    <w:rsid w:val="13EB3FA7"/>
    <w:rsid w:val="15287C56"/>
    <w:rsid w:val="15F66C34"/>
    <w:rsid w:val="162E2871"/>
    <w:rsid w:val="1768590F"/>
    <w:rsid w:val="17DF02C7"/>
    <w:rsid w:val="17E21B65"/>
    <w:rsid w:val="18300B23"/>
    <w:rsid w:val="18BA663E"/>
    <w:rsid w:val="19AF3CC9"/>
    <w:rsid w:val="1A9D7FC6"/>
    <w:rsid w:val="1B3721C8"/>
    <w:rsid w:val="1BD01CD5"/>
    <w:rsid w:val="1BE0460E"/>
    <w:rsid w:val="1C2879A9"/>
    <w:rsid w:val="1CA90EA4"/>
    <w:rsid w:val="1CE617B0"/>
    <w:rsid w:val="1FF468DA"/>
    <w:rsid w:val="211663DC"/>
    <w:rsid w:val="23144B9D"/>
    <w:rsid w:val="235D1C04"/>
    <w:rsid w:val="25EF207B"/>
    <w:rsid w:val="26C37006"/>
    <w:rsid w:val="272F6449"/>
    <w:rsid w:val="2839228F"/>
    <w:rsid w:val="2A1C0F07"/>
    <w:rsid w:val="2A263B34"/>
    <w:rsid w:val="2A701253"/>
    <w:rsid w:val="2AB90504"/>
    <w:rsid w:val="2BA54F2C"/>
    <w:rsid w:val="2BA74800"/>
    <w:rsid w:val="2BE315B0"/>
    <w:rsid w:val="2D485B6F"/>
    <w:rsid w:val="2F3960B7"/>
    <w:rsid w:val="2F90552B"/>
    <w:rsid w:val="2FCC2A87"/>
    <w:rsid w:val="303074BA"/>
    <w:rsid w:val="31692558"/>
    <w:rsid w:val="324E00CB"/>
    <w:rsid w:val="326E7E26"/>
    <w:rsid w:val="33745910"/>
    <w:rsid w:val="33BB353F"/>
    <w:rsid w:val="345C0152"/>
    <w:rsid w:val="34C71A6F"/>
    <w:rsid w:val="35B5220F"/>
    <w:rsid w:val="36E0506A"/>
    <w:rsid w:val="37AF33BA"/>
    <w:rsid w:val="3C597D99"/>
    <w:rsid w:val="40D45C40"/>
    <w:rsid w:val="414C7ECC"/>
    <w:rsid w:val="417E204F"/>
    <w:rsid w:val="41D37CA5"/>
    <w:rsid w:val="42D068DB"/>
    <w:rsid w:val="43456981"/>
    <w:rsid w:val="434D7F2B"/>
    <w:rsid w:val="43FD36FF"/>
    <w:rsid w:val="44915BF6"/>
    <w:rsid w:val="455E3D2A"/>
    <w:rsid w:val="496164DE"/>
    <w:rsid w:val="4B2E0642"/>
    <w:rsid w:val="4BD765E4"/>
    <w:rsid w:val="4C8449BE"/>
    <w:rsid w:val="4E814A20"/>
    <w:rsid w:val="4F245FE4"/>
    <w:rsid w:val="50324731"/>
    <w:rsid w:val="50C8299F"/>
    <w:rsid w:val="515B3813"/>
    <w:rsid w:val="51A258E6"/>
    <w:rsid w:val="52E837CD"/>
    <w:rsid w:val="536C61AC"/>
    <w:rsid w:val="54B41BB8"/>
    <w:rsid w:val="563805C7"/>
    <w:rsid w:val="56C87B9D"/>
    <w:rsid w:val="57A71560"/>
    <w:rsid w:val="58AF5582"/>
    <w:rsid w:val="59080725"/>
    <w:rsid w:val="5C9D73D6"/>
    <w:rsid w:val="5D467A6D"/>
    <w:rsid w:val="5E345B18"/>
    <w:rsid w:val="5ED54C05"/>
    <w:rsid w:val="5F9E5DBA"/>
    <w:rsid w:val="5FEB2206"/>
    <w:rsid w:val="5FFFC052"/>
    <w:rsid w:val="616B35FF"/>
    <w:rsid w:val="620B6B90"/>
    <w:rsid w:val="62864468"/>
    <w:rsid w:val="62C21944"/>
    <w:rsid w:val="633345F0"/>
    <w:rsid w:val="640D6BEF"/>
    <w:rsid w:val="643E149E"/>
    <w:rsid w:val="64610CE9"/>
    <w:rsid w:val="657A4758"/>
    <w:rsid w:val="65C6799D"/>
    <w:rsid w:val="65D42AD7"/>
    <w:rsid w:val="667747F4"/>
    <w:rsid w:val="6679056C"/>
    <w:rsid w:val="67283D40"/>
    <w:rsid w:val="6736645D"/>
    <w:rsid w:val="67380427"/>
    <w:rsid w:val="67746F85"/>
    <w:rsid w:val="682A65AB"/>
    <w:rsid w:val="68664B20"/>
    <w:rsid w:val="692769A5"/>
    <w:rsid w:val="6A4315BC"/>
    <w:rsid w:val="6B1271E1"/>
    <w:rsid w:val="6B2A452A"/>
    <w:rsid w:val="6C3D028D"/>
    <w:rsid w:val="6D400035"/>
    <w:rsid w:val="6E2C05BA"/>
    <w:rsid w:val="6EA12D56"/>
    <w:rsid w:val="6EF03395"/>
    <w:rsid w:val="6FA0300D"/>
    <w:rsid w:val="6FA80114"/>
    <w:rsid w:val="732857F3"/>
    <w:rsid w:val="73E334C8"/>
    <w:rsid w:val="768216BE"/>
    <w:rsid w:val="76A258BD"/>
    <w:rsid w:val="772B58B2"/>
    <w:rsid w:val="77EA5DFB"/>
    <w:rsid w:val="78B6564F"/>
    <w:rsid w:val="79C36276"/>
    <w:rsid w:val="7AA716F4"/>
    <w:rsid w:val="7CCEB33F"/>
    <w:rsid w:val="7CD24002"/>
    <w:rsid w:val="B1FEB763"/>
    <w:rsid w:val="BF0F05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6567</Words>
  <Characters>7254</Characters>
  <TotalTime>0</TotalTime>
  <ScaleCrop>false</ScaleCrop>
  <LinksUpToDate>false</LinksUpToDate>
  <CharactersWithSpaces>7261</CharactersWithSpaces>
  <Application>WPS Office_11.8.2.10337_F1E327BC-269C-435d-A152-05C5408002CA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2026-08-30T06:56:00Z</dcterms:created>
  <dc:creator>Administrator</dc:creator>
  <cp:lastModifiedBy>user</cp:lastModifiedBy>
  <dcterms:modified xsi:type="dcterms:W3CDTF">2026-08-30T14:53:47Z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eyJoZGlkIjoiZjM0OTkwZDBiYWNhZDc5YmVjOWYyMjE4ODRmMDRlMDQiLCJ1c2VySWQiOiI1MDY5NjIwNjMifQ==</vt:lpwstr>
  </property>
  <property fmtid="{D5CDD505-2E9C-101B-9397-08002B2CF9AE}" pid="3" name="KSOProductBuildVer">
    <vt:lpwstr>2052-11.8.2.10337</vt:lpwstr>
  </property>
  <property fmtid="{D5CDD505-2E9C-101B-9397-08002B2CF9AE}" pid="4" name="ICV">
    <vt:lpwstr>852DB182E764447183E7206F9F3E4CE0_12</vt:lpwstr>
  </property>
</Properties>
</file>