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9938C2">
      <w:pPr>
        <w:widowControl/>
        <w:spacing w:before="0" w:beforeLines="0" w:beforeAutospacing="0" w:after="0" w:afterLines="0" w:afterAutospacing="0" w:line="240" w:lineRule="auto"/>
        <w:jc w:val="left"/>
        <w:rPr>
          <w:rFonts w:ascii="宋体" w:eastAsia="宋体"/>
          <w:sz w:val="32"/>
          <w:szCs w:val="32"/>
        </w:rPr>
      </w:pPr>
      <w:bookmarkStart w:id="0" w:name="_GoBack"/>
      <w:bookmarkEnd w:id="0"/>
    </w:p>
    <w:p w14:paraId="151AF405">
      <w:pPr>
        <w:widowControl/>
        <w:spacing w:before="0" w:beforeLines="0" w:beforeAutospacing="0" w:after="0" w:afterLines="0" w:afterAutospacing="0" w:line="240" w:lineRule="auto"/>
        <w:jc w:val="left"/>
        <w:rPr>
          <w:rFonts w:ascii="宋体" w:eastAsia="宋体"/>
          <w:sz w:val="44"/>
          <w:szCs w:val="44"/>
        </w:rPr>
      </w:pPr>
    </w:p>
    <w:p w14:paraId="5E0B043B">
      <w:pPr>
        <w:widowControl/>
        <w:spacing w:before="0" w:beforeLines="0" w:beforeAutospacing="0" w:after="0" w:afterLines="0" w:afterAutospacing="0" w:line="240" w:lineRule="auto"/>
        <w:jc w:val="left"/>
        <w:rPr>
          <w:rFonts w:ascii="宋体" w:eastAsia="宋体"/>
          <w:sz w:val="44"/>
          <w:szCs w:val="44"/>
        </w:rPr>
      </w:pPr>
    </w:p>
    <w:p w14:paraId="6FE5D7DE">
      <w:pPr>
        <w:widowControl/>
        <w:spacing w:before="0" w:beforeLines="0" w:beforeAutospacing="0" w:after="0" w:afterLines="0" w:afterAutospacing="0" w:line="240" w:lineRule="auto"/>
        <w:jc w:val="left"/>
        <w:rPr>
          <w:rFonts w:ascii="宋体" w:eastAsia="宋体"/>
          <w:sz w:val="44"/>
          <w:szCs w:val="44"/>
        </w:rPr>
      </w:pPr>
    </w:p>
    <w:p w14:paraId="57F6B428">
      <w:pPr>
        <w:widowControl/>
        <w:spacing w:before="0" w:beforeLines="0" w:beforeAutospacing="0" w:after="0" w:afterLines="0" w:afterAutospacing="0" w:line="240" w:lineRule="auto"/>
        <w:jc w:val="center"/>
        <w:outlineLvl w:val="0"/>
        <w:rPr>
          <w:rFonts w:ascii="宋体" w:eastAsia="黑体"/>
          <w:sz w:val="44"/>
          <w:szCs w:val="44"/>
        </w:rPr>
      </w:pPr>
      <w:r>
        <w:rPr>
          <w:rFonts w:ascii="宋体" w:eastAsia="黑体"/>
          <w:b w:val="0"/>
          <w:sz w:val="44"/>
          <w:szCs w:val="44"/>
        </w:rPr>
        <w:t>博尔塔拉蒙古自治州无线电管理中心</w:t>
      </w:r>
    </w:p>
    <w:p w14:paraId="4C545AD1">
      <w:pPr>
        <w:widowControl/>
        <w:spacing w:before="0" w:beforeLines="0" w:beforeAutospacing="0" w:after="0" w:afterLines="0" w:afterAutospacing="0" w:line="240" w:lineRule="auto"/>
        <w:jc w:val="center"/>
        <w:outlineLvl w:val="0"/>
        <w:rPr>
          <w:rFonts w:ascii="黑体" w:eastAsia="黑体"/>
          <w:sz w:val="44"/>
          <w:szCs w:val="44"/>
        </w:rPr>
      </w:pPr>
      <w:r>
        <w:rPr>
          <w:rFonts w:ascii="黑体" w:eastAsia="黑体"/>
          <w:b w:val="0"/>
          <w:sz w:val="44"/>
          <w:szCs w:val="44"/>
        </w:rPr>
        <w:t>2025年度部门决算公开说明</w:t>
      </w:r>
    </w:p>
    <w:p w14:paraId="261ADF9E">
      <w:pPr>
        <w:widowControl/>
      </w:pPr>
      <w:r>
        <w:rPr>
          <w:b w:val="0"/>
          <w:sz w:val="0"/>
          <w:szCs w:val="0"/>
        </w:rPr>
        <w:br w:type="page"/>
      </w:r>
    </w:p>
    <w:p w14:paraId="0D99BC49">
      <w:pPr>
        <w:widowControl/>
        <w:spacing w:before="0" w:beforeLines="0" w:beforeAutospacing="0" w:after="0" w:afterLines="0" w:afterAutospacing="0" w:line="240" w:lineRule="auto"/>
        <w:jc w:val="center"/>
        <w:rPr>
          <w:rFonts w:ascii="黑体" w:eastAsia="黑体"/>
          <w:sz w:val="32"/>
          <w:szCs w:val="32"/>
        </w:rPr>
      </w:pPr>
      <w:r>
        <w:rPr>
          <w:rFonts w:ascii="黑体" w:eastAsia="黑体"/>
          <w:b/>
          <w:sz w:val="32"/>
          <w:szCs w:val="32"/>
        </w:rPr>
        <w:t>目 录</w:t>
      </w:r>
    </w:p>
    <w:p w14:paraId="6319A7EB">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第一部分单位概况</w:t>
      </w:r>
    </w:p>
    <w:p w14:paraId="7D6437CD">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一、主要职能</w:t>
      </w:r>
    </w:p>
    <w:p w14:paraId="7C694347">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二、机构设置</w:t>
      </w:r>
    </w:p>
    <w:p w14:paraId="550639C3">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第二部分 部门决算情况说明</w:t>
      </w:r>
    </w:p>
    <w:p w14:paraId="11F9DB71">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一、收入支出决算总体情况说明</w:t>
      </w:r>
    </w:p>
    <w:p w14:paraId="2595F886">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二、收入决算情况说明</w:t>
      </w:r>
    </w:p>
    <w:p w14:paraId="2C1FCE31">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三、支出决算情况说明</w:t>
      </w:r>
    </w:p>
    <w:p w14:paraId="5B3CA69B">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四、财政拨款收入支出决算总体情况说明</w:t>
      </w:r>
    </w:p>
    <w:p w14:paraId="680D7250">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五、一般公共预算财政拨款支出决算情况说明</w:t>
      </w:r>
    </w:p>
    <w:p w14:paraId="2E91AB2A">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（一）一般公共预算财政拨款支出决算总体情况</w:t>
      </w:r>
    </w:p>
    <w:p w14:paraId="72F2E606">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（二）一般公共预算财政拨款支出决算结构情况</w:t>
      </w:r>
    </w:p>
    <w:p w14:paraId="4E9F91B3">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（三）一般公共预算财政拨款支出决算具体情况</w:t>
      </w:r>
    </w:p>
    <w:p w14:paraId="4C37DCEF">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六、一般公共预算财政拨款基本支出决算情况说明</w:t>
      </w:r>
    </w:p>
    <w:p w14:paraId="34037EF5">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七、政府性基金预算财政拨款收入支出决算情况说明</w:t>
      </w:r>
    </w:p>
    <w:p w14:paraId="2520AA38">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八、国有资本经营预算财政拨款收入支出决算情况说明</w:t>
      </w:r>
    </w:p>
    <w:p w14:paraId="6CB277FA">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九、财政拨款“三公”经费支出决算情况说明</w:t>
      </w:r>
    </w:p>
    <w:p w14:paraId="33CE46AE">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十、其他重要事项的情况说明</w:t>
      </w:r>
    </w:p>
    <w:p w14:paraId="0C928FA1">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（一）机关运行经费及公用经费支出情况</w:t>
      </w:r>
    </w:p>
    <w:p w14:paraId="3457C72D">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（二）政府采购情况</w:t>
      </w:r>
    </w:p>
    <w:p w14:paraId="732CE2A1">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（三）国有资产占用情况说明</w:t>
      </w:r>
    </w:p>
    <w:p w14:paraId="66DB0730">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十一、预算绩效的情况说明</w:t>
      </w:r>
    </w:p>
    <w:p w14:paraId="66027804">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十二、其他需说明的事项</w:t>
      </w:r>
    </w:p>
    <w:p w14:paraId="5FCFBEC5">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第三部分 专业名词解释</w:t>
      </w:r>
    </w:p>
    <w:p w14:paraId="6BD9B207">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第四部分 部门决算报表（见附表）</w:t>
      </w:r>
    </w:p>
    <w:p w14:paraId="3719585E">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一、《收入支出决算总表》</w:t>
      </w:r>
    </w:p>
    <w:p w14:paraId="0D13E461">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二、《收入决算表》</w:t>
      </w:r>
    </w:p>
    <w:p w14:paraId="1E72A92F">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三、《支出决算表》</w:t>
      </w:r>
    </w:p>
    <w:p w14:paraId="13D6387C">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四、《财政拨款收入支出决算总表》</w:t>
      </w:r>
    </w:p>
    <w:p w14:paraId="270F0FC2">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五、《一般公共预算财政拨款支出决算表》</w:t>
      </w:r>
    </w:p>
    <w:p w14:paraId="7C30104C">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六、《一般公共预算财政拨款基本支出决算表》</w:t>
      </w:r>
    </w:p>
    <w:p w14:paraId="737E277D">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七、《政府性基金预算财政拨款收入支出决算表》</w:t>
      </w:r>
    </w:p>
    <w:p w14:paraId="4FB15945">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八、《国有资本经营预算财政拨款收入支出决算表》</w:t>
      </w:r>
    </w:p>
    <w:p w14:paraId="5E153F16">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九、《财政拨款“三公”经费支出决算表》</w:t>
      </w:r>
    </w:p>
    <w:p w14:paraId="0269EF95">
      <w:pPr>
        <w:widowControl/>
      </w:pPr>
      <w:r>
        <w:rPr>
          <w:b w:val="0"/>
          <w:sz w:val="0"/>
          <w:szCs w:val="0"/>
        </w:rPr>
        <w:br w:type="page"/>
      </w:r>
    </w:p>
    <w:p w14:paraId="4DAAEC60">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第一部分单位概况</w:t>
      </w:r>
    </w:p>
    <w:p w14:paraId="17EE4772">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一、主要职能</w:t>
      </w:r>
    </w:p>
    <w:p w14:paraId="68BB9C89">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根据自治区工业和信息化厅授权，协调处理辖区内无线电管理相关事宜。</w:t>
      </w:r>
    </w:p>
    <w:p w14:paraId="1886932D">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二、机构设置</w:t>
      </w:r>
    </w:p>
    <w:p w14:paraId="13C5264F">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博尔塔拉蒙古自治州无线电管理中心无下属预算单位。</w:t>
      </w:r>
    </w:p>
    <w:p w14:paraId="39B1C2BF">
      <w:pPr>
        <w:widowControl/>
      </w:pPr>
      <w:r>
        <w:rPr>
          <w:b w:val="0"/>
          <w:sz w:val="0"/>
          <w:szCs w:val="0"/>
        </w:rPr>
        <w:br w:type="page"/>
      </w:r>
    </w:p>
    <w:p w14:paraId="5D0A4B48">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第二部分 部门决算情况说明</w:t>
      </w:r>
    </w:p>
    <w:p w14:paraId="7BCD3302">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一、收入支出决算总体情况说明</w:t>
      </w:r>
    </w:p>
    <w:p w14:paraId="0450C470">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2025年度收入总计222.94万元，其中：本年收入合计222.94万元，使用非财政拨款结余（含专用结余）0.00万元，年初结转和结余0.00万元。</w:t>
      </w:r>
    </w:p>
    <w:p w14:paraId="0764FFD8">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2025年度支出总计222.94万元，其中：本年支出合计222.73万元，结余分配0.00万元，年末结转和结余0.21万元。</w:t>
      </w:r>
    </w:p>
    <w:p w14:paraId="6ABD8802">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收入支出总体与上年相比，增加26.35万元，增长13.40%，主要原因是：一是一般公共预算财政拨款基本支出增加23.34万元，主要是在职人员较上年增加2人，导致人员经费支出增加22.49万元，公用经费增加0.85万元；二是一般公共预算财政拨款项目支出增加2.90万元，为中央无线电管理经费增加；三是非财政拨款支出较上年减少0.10万元，主要是监测中心业务楼维修维护项目减少；四是年末结转和结余较上年增加0.21万元，主要是本年监测中心业务楼维修维护项目结余资金。</w:t>
      </w:r>
    </w:p>
    <w:p w14:paraId="63C3F31A">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二、收入决算情况说明</w:t>
      </w:r>
    </w:p>
    <w:p w14:paraId="4D33815C">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本年收入222.94万元，其中：财政拨款收入217.80万元,占97.69%；上级补助收入0.00万元,占0.00%；事业收入0.00万元，占0.00%；经营收入0.00万元,占0.00%；附属单位上缴收入0.00万元，占0.00%；其他收入5.15万元，占2.31%。</w:t>
      </w:r>
    </w:p>
    <w:p w14:paraId="7E844373">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三、支出决算情况说明</w:t>
      </w:r>
    </w:p>
    <w:p w14:paraId="22D50FEB">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本年支出222.73万元，其中：基本支出171.55万元，占77.02%；项目支出51.18万元，占22.98%；上缴上级支出0.00万元，占0.00%；经营支出0.00万元，占0.00%；对附属单位补助支出0.00万元，占0.00%。</w:t>
      </w:r>
    </w:p>
    <w:p w14:paraId="4B16E97A">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四、财政拨款收入支出决算总体情况说明</w:t>
      </w:r>
    </w:p>
    <w:p w14:paraId="725CD0FA">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2025年度财政拨款收入总计217.80万元，其中：年初财政拨款结转和结余0.00万元，本年财政拨款收入217.80万元。财政拨款支出总计217.80万元，其中：年末财政拨款结转和结余0.00万元，本年财政拨款支出217.80万元。</w:t>
      </w:r>
    </w:p>
    <w:p w14:paraId="17448F68">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财政拨款收入支出总体与上年相比，增加26.25万元，增长13.70%，主要原因是：一是一般公共预算财政拨款基本支出增加23.34万元，主要是在职人员较上年增加2人，导致人员经费支出增加22.49万元，公用经费增加0.85万元；二是一般公共预算财政拨款项目支出增加2.91万元，为中央无线电管理经费增加。与年初预算相比，年初预算数195.78万元，决算数217.80万元，预决算差异率11.25%，主要原因是：在年度执行中，根据自治区财政厅下达文件追加及调减预算，一是追加一般公共预算财政拨款基本预算人员类项目51.77万元；二是</w:t>
      </w:r>
      <w:r>
        <w:rPr>
          <w:rFonts w:hint="eastAsia" w:ascii="仿宋_GB2312" w:eastAsia="仿宋_GB2312"/>
          <w:b w:val="0"/>
          <w:sz w:val="32"/>
          <w:szCs w:val="32"/>
          <w:lang w:eastAsia="zh-CN"/>
        </w:rPr>
        <w:t>严格落实过紧日子要求</w:t>
      </w:r>
      <w:r>
        <w:rPr>
          <w:rFonts w:ascii="仿宋_GB2312" w:eastAsia="仿宋_GB2312"/>
          <w:b w:val="0"/>
          <w:sz w:val="32"/>
          <w:szCs w:val="32"/>
        </w:rPr>
        <w:t>，主动压减一般性支出，调减年初一般公共预算财政拨款基本预算公用经费6.09万元；三是调减年初一般公共预算财政拨款项目预算中央无线电管理经费23.66万元。由于以上事项，与年初预算数存在差异。</w:t>
      </w:r>
    </w:p>
    <w:p w14:paraId="68BEE93E">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五、一般公共预算财政拨款支出决算情况说明</w:t>
      </w:r>
    </w:p>
    <w:p w14:paraId="3E17C5CC">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按照党中央、国务院关于党政机关习惯过紧日子的有关要求，厉行节约办一切事业，严控一般性支出。同时坚持有保有压，优化支出结构，提高资金使用效率，合理保障基本民生、机构运转、履职业务等重点支出，体现在有关支出科目中。</w:t>
      </w:r>
    </w:p>
    <w:p w14:paraId="70BA1ADA">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按照支出功能分类，资源勘探工业信息等支出（类）工业和信息产业（款）无线电及信息通信监管（项）的支出占本年财政拨款支出总额的比重最高，2025年度决算数为162.70万元，占比74.70%，主要用于无线电监测监管业务、监测设备运维、单位日常运行保障。</w:t>
      </w:r>
    </w:p>
    <w:p w14:paraId="2F881C29">
      <w:pPr>
        <w:widowControl/>
        <w:spacing w:before="0" w:beforeLines="0" w:beforeAutospacing="0" w:after="0" w:afterLines="0" w:afterAutospacing="0" w:line="240" w:lineRule="auto"/>
        <w:ind w:firstLine="640" w:firstLineChars="200"/>
        <w:jc w:val="both"/>
        <w:outlineLvl w:val="2"/>
        <w:rPr>
          <w:rFonts w:ascii="黑体" w:eastAsia="黑体"/>
          <w:sz w:val="32"/>
          <w:szCs w:val="32"/>
        </w:rPr>
      </w:pPr>
      <w:r>
        <w:rPr>
          <w:rFonts w:ascii="黑体" w:eastAsia="黑体"/>
          <w:b w:val="0"/>
          <w:sz w:val="32"/>
          <w:szCs w:val="32"/>
        </w:rPr>
        <w:t>（一）一般公共预算财政拨款支出决算总体情况</w:t>
      </w:r>
    </w:p>
    <w:p w14:paraId="37DFF263">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一般公共预算财政拨款支出217.80万元，占本年支出合计的97.79%。与上年相比，增加26.25万元，增长13.70%，主要原因是：一是一般公共预算财政拨款基本支出增加23.34万元，主要是在职人员较上年增加2人，导致人员经费支出增加22.49万元，公用经费增加0.85万元；二是一般公共预算财政拨款项目支出增加2.91万元，为中央无线电管理经费增加。与年初预算相比，年初预算数195.78万元，决算数217.80万元，预决算差异率11.25%，主要原因是：在年度执行中，根据自治区财政厅下达文件追加及调减预算，一是追加一般公共预算财政拨款基本预算人员类项目51.77万元；二是</w:t>
      </w:r>
      <w:r>
        <w:rPr>
          <w:rFonts w:hint="eastAsia" w:ascii="仿宋_GB2312" w:eastAsia="仿宋_GB2312"/>
          <w:b w:val="0"/>
          <w:sz w:val="32"/>
          <w:szCs w:val="32"/>
          <w:lang w:eastAsia="zh-CN"/>
        </w:rPr>
        <w:t>严格落实过紧日子要求</w:t>
      </w:r>
      <w:r>
        <w:rPr>
          <w:rFonts w:ascii="仿宋_GB2312" w:eastAsia="仿宋_GB2312"/>
          <w:b w:val="0"/>
          <w:sz w:val="32"/>
          <w:szCs w:val="32"/>
        </w:rPr>
        <w:t>，主动压减一般性支出，调减年初一般公共预算财政拨款基本预算公用经费6.09万元；三是调减年初一般公共预算财政拨款项目预算中央无线电管理经费23.66万元。由于以上事项，与年初预算数存在差异。</w:t>
      </w:r>
    </w:p>
    <w:p w14:paraId="383C3CC6">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（二）一般公共预算财政拨款支出决算结构情况</w:t>
      </w:r>
    </w:p>
    <w:p w14:paraId="7B882BAA">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1.社会保障和就业支出（类）33.29万元，占15.28%。</w:t>
      </w:r>
    </w:p>
    <w:p w14:paraId="07F0772A">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2.卫生健康支出（类）11.09万元，占5.09%。</w:t>
      </w:r>
    </w:p>
    <w:p w14:paraId="1672A4CF">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3.资源勘探工业信息等支出（类）162.70万元，占74.70%。</w:t>
      </w:r>
    </w:p>
    <w:p w14:paraId="2197ABAA">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4.住房保障支出（类）10.72万元，占4.92%。</w:t>
      </w:r>
    </w:p>
    <w:p w14:paraId="2B932C33">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（三）一般公共预算财政拨款支出决算具体情况</w:t>
      </w:r>
    </w:p>
    <w:p w14:paraId="1110F96C">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1、社会保障和就业支出（类）行政事业单位养老支出（款）机关事业单位基本养老保险缴费支出（项）：支出决算数为14.34万元，比上年决算增加1.17万元，增长8.88%，主要原因是：基本养老保险缴费基数上调。</w:t>
      </w:r>
    </w:p>
    <w:p w14:paraId="4632D9FB">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2、社会保障和就业支出（类）行政事业单位养老支出（款）机关事业单位职业年金缴费支出（项）：支出决算数为18.95万元，比上年决算增加18.95万元，增长100.00%，主要原因是：本年追加1名调入人员职业年金。</w:t>
      </w:r>
    </w:p>
    <w:p w14:paraId="21C3DE1A">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3、卫生健康支出（类）行政事业单位医疗（款）事业单位医疗（项）：支出决算数为8.40万元，比上年决算减少0.53万元，下降5.94%，主要原因是：当地基本医疗保险缴费比例下调。</w:t>
      </w:r>
    </w:p>
    <w:p w14:paraId="153AEBFB">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4、卫生健康支出（类）行政事业单位医疗（款）公务员医疗补助（项）：支出决算数为2.69万元，比上年决算增加0.22万元，增长8.91%，主要原因是：公务员医疗补助缴费基数上调。</w:t>
      </w:r>
    </w:p>
    <w:p w14:paraId="5ABD7AF9">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5、资源勘探工业信息等支出（类）工业和信息产业（款）无线电及信息通信监管（项）：支出决算数为162.70万元，比上年决算增加5.61万元，增长3.57%，主要原因是：本年无线电管理经费预算安排增加。</w:t>
      </w:r>
    </w:p>
    <w:p w14:paraId="39AFB7BE">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6、住房保障支出（类）住房改革支出（款）住房公积金（项）：支出决算数为10.72万元，比上年决算增加0.84万元，增长8.50%，主要原因是：住房公积金缴费基数上调。</w:t>
      </w:r>
    </w:p>
    <w:p w14:paraId="27BFE389">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六、一般公共预算财政拨款基本支出决算情况说明</w:t>
      </w:r>
    </w:p>
    <w:p w14:paraId="364162D2">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一般公共预算财政拨款基本支出171.55万元，其中：人员经费148.98万元，包括：基本工资、津贴补贴、奖金、绩效工资、机关事业单位基本养老保险缴费、职业年金缴费、职工基本医疗保险缴费、公务员医疗补助缴费、其他社会保障缴费和住房公积金。</w:t>
      </w:r>
    </w:p>
    <w:p w14:paraId="3174DFFE">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公用经费22.57万元，包括：办公费、邮电费、取暖费、差旅费、工会经费、福利费、公务用车运行维护费和其他商品和服务支出。</w:t>
      </w:r>
    </w:p>
    <w:p w14:paraId="7429CFA9">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七、政府性基金预算财政拨款收入支出决算情况说明</w:t>
      </w:r>
    </w:p>
    <w:p w14:paraId="438C87B7">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本单位本年度无政府性基金预算财政拨款收入、支出及结转和结余，政府性基金预算财政拨款收入支出决算表为空表。</w:t>
      </w:r>
    </w:p>
    <w:p w14:paraId="34253928">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八、国有资本经营预算财政拨款收入支出决算情况说明</w:t>
      </w:r>
    </w:p>
    <w:p w14:paraId="39EF793B">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本单位本年度无国有资本经营预算财政拨款收入、支出及结转和结余，国有资本经营预算财政拨款收入支出决算表为空表。</w:t>
      </w:r>
    </w:p>
    <w:p w14:paraId="287D6F0C">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九、财政拨款“三公”经费支出决算情况说明</w:t>
      </w:r>
    </w:p>
    <w:p w14:paraId="1E2062BF">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2025年度财政拨款“三公”经费支出11.50万元，比上年减少0.50万元，下降4.17%，主要原因是：严格执行</w:t>
      </w:r>
      <w:r>
        <w:rPr>
          <w:rFonts w:hint="eastAsia" w:ascii="仿宋_GB2312" w:eastAsia="仿宋_GB2312"/>
          <w:b w:val="0"/>
          <w:sz w:val="32"/>
          <w:szCs w:val="32"/>
          <w:lang w:eastAsia="zh-CN"/>
        </w:rPr>
        <w:t>中央八项规定及其实施细则</w:t>
      </w:r>
      <w:r>
        <w:rPr>
          <w:rFonts w:ascii="仿宋_GB2312" w:eastAsia="仿宋_GB2312"/>
          <w:b w:val="0"/>
          <w:sz w:val="32"/>
          <w:szCs w:val="32"/>
        </w:rPr>
        <w:t>，做到“三公”经费只减不增，无预算不支出。其中：因公出国（境）费用支出0.00万元,占0.00%，与上年相比无变化，主要原因是：我单位无因公出国（境）费；公务用车购置及运行维护费支出11.50万元，占100.00%，比上年减少0.50万元，下降4.17%，主要原因是：严格执行</w:t>
      </w:r>
      <w:r>
        <w:rPr>
          <w:rFonts w:hint="eastAsia" w:ascii="仿宋_GB2312" w:eastAsia="仿宋_GB2312"/>
          <w:b w:val="0"/>
          <w:sz w:val="32"/>
          <w:szCs w:val="32"/>
          <w:lang w:eastAsia="zh-CN"/>
        </w:rPr>
        <w:t>中央八项规定及其实施细则</w:t>
      </w:r>
      <w:r>
        <w:rPr>
          <w:rFonts w:ascii="仿宋_GB2312" w:eastAsia="仿宋_GB2312"/>
          <w:b w:val="0"/>
          <w:sz w:val="32"/>
          <w:szCs w:val="32"/>
        </w:rPr>
        <w:t>，做到“三公”经费只减不增，无预算不支出；公务接待费支出0.00万元，占0.00%，与上年相比无变化，主要原因是：我单位无公务接待费。</w:t>
      </w:r>
    </w:p>
    <w:p w14:paraId="0D2C274C">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具体情况如下：</w:t>
      </w:r>
    </w:p>
    <w:p w14:paraId="120E84DF">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因公出国（境）费用0.00万元，开支内容包括我单位无因公出国（境）费。单位全年安排的因公出国（境）团组0个，因公出国（境）0人次。</w:t>
      </w:r>
    </w:p>
    <w:p w14:paraId="631AED59">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用车购置及运行维护费11.50万元，其中：公务用车购置费0.00万元，公务用车运行维护费11.50万元。公务用车运行维护费开支内容包括车辆保险、停车过路费、车辆加油、车辆维修等费用。公务用车购置数0辆，公务用车保有量4辆。国有资产占用情况中固定资产车辆4辆，与公务用车保有量差异原因是：与公务用车保有量无差异。</w:t>
      </w:r>
    </w:p>
    <w:p w14:paraId="2D1ACB72">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公务接待费0.00万元，开支内容包括我单位无公务接待费预算和事项。单位全年安排的国内公务接待0批次，0人次。</w:t>
      </w:r>
    </w:p>
    <w:p w14:paraId="7C3049AC">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与全年预算相比，财政拨款“三公”经费支出全年预算数11.50万元，决算数11.50万元，预决算差异率0.00%，主要原因是：严格执行</w:t>
      </w:r>
      <w:r>
        <w:rPr>
          <w:rFonts w:hint="eastAsia" w:ascii="仿宋_GB2312" w:eastAsia="仿宋_GB2312"/>
          <w:b w:val="0"/>
          <w:sz w:val="32"/>
          <w:szCs w:val="32"/>
          <w:lang w:eastAsia="zh-CN"/>
        </w:rPr>
        <w:t>中央八项规定及其实施细则</w:t>
      </w:r>
      <w:r>
        <w:rPr>
          <w:rFonts w:ascii="仿宋_GB2312" w:eastAsia="仿宋_GB2312"/>
          <w:b w:val="0"/>
          <w:sz w:val="32"/>
          <w:szCs w:val="32"/>
        </w:rPr>
        <w:t>，做到“三公”经费只减不增，无预算不支出。其中：因公出国（境）费用全年预算数0.00万元，决算数0.00万元，预决算差异率0.00%，主要原因是：我单位无因公出国（境）费预算和事项；公务用车购置费全年预算数0.00万元，决算数0.00万元，预决算差异率0.00%，主要原因是：我单位无公务用车购置费预算和事项；公务用车运行维护费全年预算数11.50万元，决算数11.50万元，预决算差异率0.00%，主要原因是：严格执行</w:t>
      </w:r>
      <w:r>
        <w:rPr>
          <w:rFonts w:hint="eastAsia" w:ascii="仿宋_GB2312" w:eastAsia="仿宋_GB2312"/>
          <w:b w:val="0"/>
          <w:sz w:val="32"/>
          <w:szCs w:val="32"/>
          <w:lang w:eastAsia="zh-CN"/>
        </w:rPr>
        <w:t>中央八项规定及其实施细则</w:t>
      </w:r>
      <w:r>
        <w:rPr>
          <w:rFonts w:ascii="仿宋_GB2312" w:eastAsia="仿宋_GB2312"/>
          <w:b w:val="0"/>
          <w:sz w:val="32"/>
          <w:szCs w:val="32"/>
        </w:rPr>
        <w:t>，做到“三公”经费只减不增，无预算不支出；公务接待费全年预算数0.00万元，决算数0.00万元，预决算差异率0.00%，主要原因是：我单位无公务接待费预算和事项。</w:t>
      </w:r>
    </w:p>
    <w:p w14:paraId="163475AF">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十、其他重要事项的情况说明</w:t>
      </w:r>
    </w:p>
    <w:p w14:paraId="67267046">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（一）机关运行经费及公用经费支出情况</w:t>
      </w:r>
    </w:p>
    <w:p w14:paraId="6C92A440">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2025年度博尔塔拉蒙古自治州无线电管理中心（事业单位）公用经费支出22.57万元，比上年增加0.85万元，增长3.91%，主要原因是：本年在职人员较上年增加2人，导致公用经费支出增加0.85万元。</w:t>
      </w:r>
    </w:p>
    <w:p w14:paraId="261D44AF">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（二）政府采购情况</w:t>
      </w:r>
    </w:p>
    <w:p w14:paraId="1DB12F56">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2025年度政府采购支出总额55.52万元，其中：政府采购货物支出0.67万元、政府采购工程支出24.02万元、政府采购服务支出30.83万元。</w:t>
      </w:r>
    </w:p>
    <w:p w14:paraId="60B7A059">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授予中小企业合同金额52.78万元，占政府采购支出总额的95.06%，其中：授予小微企业合同金额35.78万元，占政府采购支出总额的64.45%。</w:t>
      </w:r>
    </w:p>
    <w:p w14:paraId="41597D51">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（三）国有资产占用情况说明</w:t>
      </w:r>
    </w:p>
    <w:p w14:paraId="457A4AA0">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截至2025年12月31日，房屋2,961.07平方米，价值831.32万元。车辆4辆，价值177.55万元，其中：副部（省）级及以上领导用车0辆、主要负责人用车0辆、机要通信用车0辆、应急保障用车0辆、执法执勤用车1辆、特种专业技术用车3辆、离退休干部服务用车0辆、其他用车0辆，其他用车主要是：我单位无其他用车;单价100万元（含）以上设备（不含车辆）5台（套）。</w:t>
      </w:r>
    </w:p>
    <w:p w14:paraId="70458564">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十一、预算绩效的情况说明</w:t>
      </w:r>
    </w:p>
    <w:p w14:paraId="52FE4260">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根据预算绩效管理要求，本单位2025年度预算绩效评价项目1个，全年预算数5.20万元，全年执行数5.20万元。预算绩效管理取得的成效：一是领导高度重视，自立项起成立项目工作领导小组并且负总责，安排专人具体办理，对预算绩效进行全过程管理；二是科学制定方案。为使绩效评价工作平稳有序进行，在正式评价开展前拟定了详细的工作方案，方案内容包括评价内容、评价方法、评价依据、时间安排、工作步骤、工作要求等方面；三是严格执行《</w:t>
      </w:r>
      <w:r>
        <w:rPr>
          <w:rFonts w:hint="eastAsia" w:ascii="仿宋_GB2312" w:eastAsia="仿宋_GB2312"/>
          <w:b w:val="0"/>
          <w:sz w:val="32"/>
          <w:szCs w:val="32"/>
          <w:lang w:val="en-US" w:eastAsia="zh-CN"/>
        </w:rPr>
        <w:t>自治区工业和信息化厅</w:t>
      </w:r>
      <w:r>
        <w:rPr>
          <w:rFonts w:ascii="仿宋_GB2312" w:eastAsia="仿宋_GB2312"/>
          <w:b w:val="0"/>
          <w:sz w:val="32"/>
          <w:szCs w:val="32"/>
        </w:rPr>
        <w:t>全面预算绩效管理办法》，在项目实施初期，制定详细的季度资金使用计划，并将其与项目进度节点进行紧密关联。在执行过程中，定期开展预算执行情况分析会，及时发现并解决资金执行率偏低的问题，取得了良好的绩效成果；四是项目经办人员工作积极、认真负责，抓好项目实施的绩效评价。发现的问题及原因：根据本次绩效评价情况，发现预算绩效申报存在部分绩效目标设置模糊、量化不足的情况，部分目标过高或过低，缺乏可行性。原因为对项目核心任务和需求的调研不够深入，目标设定多依赖经验或上级要求，缺乏数据支撑；绩效目标编制能力不足，相关人员对“可量化、可实现”的原则理解不到位。下一步改进措施：一是完善上下协调、科室联动的调研机制，在设定绩效目标前，全面梳理项目核心任务，历史执行数据、实际需求等，避免仅凭经验或主观判断设定目标；二是开展针对性培训，围绕“如果结合实际设定目标”“数据测算方法”等内容，对科室负责人、项目经办人进行轮训，通过案例分析强化实操能力；三是建立绩效目标编制“经验库”，收集本单位、本系统内优秀案例和常见问题，供项目经办人参考，减少重复犯错。通过以上措施，可以从流程、标准、能力多维度规范绩效目标设定，确保项目执行按期完成。具体附整体支出绩效自评表、项目支出绩效自评表及项目支出绩效评价报告。</w:t>
      </w:r>
    </w:p>
    <w:p w14:paraId="4F263064">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十二、其他需说明的事项</w:t>
      </w:r>
    </w:p>
    <w:p w14:paraId="7773895A">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本单位无其他需说明的事项。</w:t>
      </w:r>
    </w:p>
    <w:p w14:paraId="0BA09A35">
      <w:pPr>
        <w:widowControl/>
        <w:spacing w:before="0" w:beforeLines="0" w:beforeAutospacing="0" w:after="0" w:afterLines="0" w:afterAutospacing="0" w:line="240" w:lineRule="auto"/>
        <w:ind w:firstLine="640" w:firstLineChars="200"/>
        <w:jc w:val="left"/>
        <w:rPr>
          <w:rFonts w:ascii="仿宋_GB2312" w:eastAsia="仿宋_GB2312"/>
          <w:sz w:val="32"/>
          <w:szCs w:val="32"/>
        </w:rPr>
      </w:pPr>
    </w:p>
    <w:p w14:paraId="4A2BB8FE">
      <w:pPr>
        <w:widowControl/>
      </w:pPr>
      <w:r>
        <w:rPr>
          <w:b w:val="0"/>
          <w:sz w:val="0"/>
          <w:szCs w:val="0"/>
        </w:rPr>
        <w:br w:type="page"/>
      </w:r>
    </w:p>
    <w:p w14:paraId="0AC35CEF">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第三部分 专业名词解释</w:t>
      </w:r>
    </w:p>
    <w:p w14:paraId="5B98A94A">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指单位本年度从同级财政部门取得的财政拨款，包括一般公共预算财政拨款、政府性基金预算财政拨款和国有资本经营预算财政拨款。</w:t>
      </w:r>
    </w:p>
    <w:p w14:paraId="505CFED9">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14:paraId="6ED23657">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指事业单位开展专业业务活动及其辅助活动取得的收入。</w:t>
      </w:r>
    </w:p>
    <w:p w14:paraId="3BF25E50">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14:paraId="2C7D47F6">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指事业单位附属独立核算单位按照有关规定上缴的收入。</w:t>
      </w:r>
    </w:p>
    <w:p w14:paraId="4DBC3CD4">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指单位取得的除上述“财政拨款收入”“上级补助收入”“事业收入”“经营收入”“附属单位上缴收入”以外的各项收入。</w:t>
      </w:r>
    </w:p>
    <w:p w14:paraId="58230418">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指单位上年结转本年使用的基本支出结转、项目支出结转和结余、经营结余。</w:t>
      </w:r>
    </w:p>
    <w:p w14:paraId="12A0DA0A">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八、使用非财政拨款结余（含专用结余）：</w:t>
      </w:r>
      <w:r>
        <w:rPr>
          <w:rFonts w:ascii="仿宋_GB2312" w:eastAsia="仿宋_GB2312"/>
          <w:b w:val="0"/>
          <w:sz w:val="32"/>
          <w:szCs w:val="32"/>
        </w:rPr>
        <w:t>指单位按照预算管理要求使用非财政拨款结余弥补收支差额的金额，以及使用专用结余安排支出的金额。</w:t>
      </w:r>
    </w:p>
    <w:p w14:paraId="43639725">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九、结余分配</w:t>
      </w:r>
      <w:r>
        <w:rPr>
          <w:rFonts w:ascii="仿宋_GB2312" w:eastAsia="仿宋_GB2312"/>
          <w:b w:val="0"/>
          <w:sz w:val="32"/>
          <w:szCs w:val="32"/>
        </w:rPr>
        <w:t>：指单位缴纳企业所得税以及从非财政拨款结余或经营结余中提取各类结余的情况。</w:t>
      </w:r>
    </w:p>
    <w:p w14:paraId="3B9C0252">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十、年末结转和结余</w:t>
      </w:r>
      <w:r>
        <w:rPr>
          <w:rFonts w:ascii="仿宋_GB2312" w:eastAsia="仿宋_GB2312"/>
          <w:b w:val="0"/>
          <w:sz w:val="32"/>
          <w:szCs w:val="32"/>
        </w:rPr>
        <w:t>：指单位结转下年的基本支出结转、项目支出结转和结余、经营结余。</w:t>
      </w:r>
    </w:p>
    <w:p w14:paraId="1BDC1BF0">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十一、基本支出</w:t>
      </w:r>
      <w:r>
        <w:rPr>
          <w:rFonts w:ascii="仿宋_GB2312" w:eastAsia="仿宋_GB2312"/>
          <w:b w:val="0"/>
          <w:sz w:val="32"/>
          <w:szCs w:val="32"/>
        </w:rPr>
        <w:t>：指单位为保障机构正常运转、完成日常工作任务而发生的各项支出。</w:t>
      </w:r>
    </w:p>
    <w:p w14:paraId="4C53302A">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十二、项目支出：</w:t>
      </w:r>
      <w:r>
        <w:rPr>
          <w:rFonts w:ascii="仿宋_GB2312" w:eastAsia="仿宋_GB2312"/>
          <w:b w:val="0"/>
          <w:sz w:val="32"/>
          <w:szCs w:val="32"/>
        </w:rPr>
        <w:t>指单位为完成特定的行政工作任务或事业发展目标，在基本支出之外发生的各项支出。</w:t>
      </w:r>
    </w:p>
    <w:p w14:paraId="203AAD12">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十三、上缴上级支出：</w:t>
      </w:r>
      <w:r>
        <w:rPr>
          <w:rFonts w:ascii="仿宋_GB2312" w:eastAsia="仿宋_GB2312"/>
          <w:b w:val="0"/>
          <w:sz w:val="32"/>
          <w:szCs w:val="32"/>
        </w:rPr>
        <w:t>指事业单位按照财政部门和主管部门的规定上缴上级单位的支出。</w:t>
      </w:r>
    </w:p>
    <w:p w14:paraId="1065991E">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十四、经营支出：</w:t>
      </w:r>
      <w:r>
        <w:rPr>
          <w:rFonts w:ascii="仿宋_GB2312" w:eastAsia="仿宋_GB2312"/>
          <w:b w:val="0"/>
          <w:sz w:val="32"/>
          <w:szCs w:val="32"/>
        </w:rPr>
        <w:t>指事业单位在专业活动及辅助活动之外开展非独立核算经营活动发生的支出。</w:t>
      </w:r>
    </w:p>
    <w:p w14:paraId="7AA30951">
      <w:pPr>
        <w:widowControl/>
        <w:spacing w:before="0" w:beforeLines="0" w:beforeAutospacing="0" w:after="0" w:afterLines="0" w:afterAutospacing="0" w:line="240" w:lineRule="auto"/>
        <w:ind w:firstLine="643" w:firstLineChars="200"/>
        <w:jc w:val="left"/>
        <w:rPr>
          <w:rFonts w:ascii="宋体" w:eastAsia="仿宋_GB2312"/>
          <w:sz w:val="32"/>
          <w:szCs w:val="32"/>
        </w:rPr>
      </w:pPr>
      <w:r>
        <w:rPr>
          <w:rFonts w:ascii="宋体" w:eastAsia="仿宋_GB2312"/>
          <w:b/>
          <w:sz w:val="32"/>
          <w:szCs w:val="32"/>
        </w:rPr>
        <w:t>十五、对附属单位补助支出：</w:t>
      </w:r>
      <w:r>
        <w:rPr>
          <w:rFonts w:ascii="宋体" w:eastAsia="仿宋_GB2312"/>
          <w:b w:val="0"/>
          <w:sz w:val="32"/>
          <w:szCs w:val="32"/>
        </w:rPr>
        <w:t>指事业单位用财政补助收入之外的收入对附属单位补助发生的支出。</w:t>
      </w:r>
    </w:p>
    <w:p w14:paraId="210658AF">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十六、“三公”经费：</w:t>
      </w:r>
      <w:r>
        <w:rPr>
          <w:rFonts w:ascii="仿宋_GB2312" w:eastAsia="仿宋_GB2312"/>
          <w:b w:val="0"/>
          <w:sz w:val="32"/>
          <w:szCs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437AAA0B">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十七、机关运行经费：</w:t>
      </w:r>
      <w:r>
        <w:rPr>
          <w:rFonts w:ascii="仿宋_GB2312" w:eastAsia="仿宋_GB2312"/>
          <w:b w:val="0"/>
          <w:sz w:val="32"/>
          <w:szCs w:val="32"/>
        </w:rPr>
        <w:t>指行政单位和参照公务员法管理的事业单位财政拨款基本支出中的公用经费支出。</w:t>
      </w:r>
    </w:p>
    <w:p w14:paraId="71D15E3E">
      <w:pPr>
        <w:widowControl/>
      </w:pPr>
      <w:r>
        <w:rPr>
          <w:b w:val="0"/>
          <w:sz w:val="0"/>
          <w:szCs w:val="0"/>
        </w:rPr>
        <w:br w:type="page"/>
      </w:r>
    </w:p>
    <w:p w14:paraId="52ED6BBC">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第四部分 部门决算报表（见附表）</w:t>
      </w:r>
    </w:p>
    <w:p w14:paraId="16747AE6">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一、《收入支出决算总表》</w:t>
      </w:r>
    </w:p>
    <w:p w14:paraId="2E88312D">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二、《收入决算表》</w:t>
      </w:r>
    </w:p>
    <w:p w14:paraId="292C4B71">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三、《支出决算表》</w:t>
      </w:r>
    </w:p>
    <w:p w14:paraId="03556FA7">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四、《财政拨款收入支出决算总表》</w:t>
      </w:r>
    </w:p>
    <w:p w14:paraId="7DCE0E2F">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五、《一般公共预算财政拨款支出决算表》</w:t>
      </w:r>
    </w:p>
    <w:p w14:paraId="24404612">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六、《一般公共预算财政拨款基本支出决算表》</w:t>
      </w:r>
    </w:p>
    <w:p w14:paraId="4BA9651A">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七、《政府性基金预算财政拨款收入支出决算表》</w:t>
      </w:r>
    </w:p>
    <w:p w14:paraId="15F199A3">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14:paraId="06854ECB">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九、《财政拨款“三公”经费支出决算表》</w:t>
      </w: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compat>
    <w:useFELayout/>
    <w:splitPgBreakAndParaMark/>
    <w:compatSetting w:name="compatibilityMode" w:uri="http://schemas.microsoft.com/office/word" w:val="12"/>
  </w:compat>
  <w:rsids>
    <w:rsidRoot w:val="00000000"/>
    <w:rsid w:val="431B072B"/>
    <w:rsid w:val="7FE635F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14</Pages>
  <TotalTime>1</TotalTime>
  <ScaleCrop>false</ScaleCrop>
  <LinksUpToDate>false</LinksUpToDate>
  <Application>WPS Office_12.1.2.23582_F1E327BC-269C-435d-A152-05C5408002CA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2026-08-31T20:43:00Z</dcterms:created>
  <dc:creator>Administrator</dc:creator>
  <cp:lastModifiedBy>user</cp:lastModifiedBy>
  <dcterms:modified xsi:type="dcterms:W3CDTF">2026-09-02T11:32:38Z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2052-12.1.2.23582</vt:lpwstr>
  </property>
  <property fmtid="{D5CDD505-2E9C-101B-9397-08002B2CF9AE}" pid="3" name="ICV">
    <vt:lpwstr>642E0C5B2C689493D698976A34948F40_42</vt:lpwstr>
  </property>
</Properties>
</file>