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C245F">
      <w:pPr>
        <w:widowControl/>
        <w:spacing w:before="0" w:beforeLines="0" w:beforeAutospacing="0" w:after="0" w:afterLines="0" w:afterAutospacing="0" w:line="240" w:lineRule="auto"/>
        <w:jc w:val="left"/>
        <w:rPr>
          <w:rFonts w:ascii="宋体" w:eastAsia="宋体"/>
          <w:sz w:val="32"/>
          <w:szCs w:val="32"/>
        </w:rPr>
      </w:pPr>
      <w:bookmarkStart w:id="0" w:name="_GoBack"/>
      <w:bookmarkEnd w:id="0"/>
    </w:p>
    <w:p w14:paraId="5D7EA3D4">
      <w:pPr>
        <w:widowControl/>
        <w:spacing w:before="0" w:beforeLines="0" w:beforeAutospacing="0" w:after="0" w:afterLines="0" w:afterAutospacing="0" w:line="240" w:lineRule="auto"/>
        <w:jc w:val="left"/>
        <w:rPr>
          <w:rFonts w:ascii="宋体" w:eastAsia="宋体"/>
          <w:sz w:val="44"/>
          <w:szCs w:val="44"/>
        </w:rPr>
      </w:pPr>
    </w:p>
    <w:p w14:paraId="47C8C218">
      <w:pPr>
        <w:widowControl/>
        <w:spacing w:before="0" w:beforeLines="0" w:beforeAutospacing="0" w:after="0" w:afterLines="0" w:afterAutospacing="0" w:line="240" w:lineRule="auto"/>
        <w:jc w:val="left"/>
        <w:rPr>
          <w:rFonts w:ascii="宋体" w:eastAsia="宋体"/>
          <w:sz w:val="44"/>
          <w:szCs w:val="44"/>
        </w:rPr>
      </w:pPr>
    </w:p>
    <w:p w14:paraId="45714A79">
      <w:pPr>
        <w:widowControl/>
        <w:spacing w:before="0" w:beforeLines="0" w:beforeAutospacing="0" w:after="0" w:afterLines="0" w:afterAutospacing="0" w:line="240" w:lineRule="auto"/>
        <w:jc w:val="left"/>
        <w:rPr>
          <w:rFonts w:ascii="宋体" w:eastAsia="宋体"/>
          <w:sz w:val="44"/>
          <w:szCs w:val="44"/>
        </w:rPr>
      </w:pPr>
    </w:p>
    <w:p w14:paraId="745D9320">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克孜勒苏柯尔克孜自治州无线电管理中心</w:t>
      </w:r>
    </w:p>
    <w:p w14:paraId="78FEAF22">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1DE6A648">
      <w:pPr>
        <w:widowControl/>
      </w:pPr>
      <w:r>
        <w:rPr>
          <w:b w:val="0"/>
          <w:sz w:val="0"/>
          <w:szCs w:val="0"/>
        </w:rPr>
        <w:br w:type="page"/>
      </w:r>
    </w:p>
    <w:p w14:paraId="5D890613">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 录</w:t>
      </w:r>
    </w:p>
    <w:p w14:paraId="0D723E9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4FBC2E5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4983E28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4670B91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 部门决算情况说明</w:t>
      </w:r>
    </w:p>
    <w:p w14:paraId="021FC78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630C926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3BC40D7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313E3C9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2AC0869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371D2EE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53D4309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073A778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0D17030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5DE9A6C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2156E36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47764E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6DE28B1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2CB1DAA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5F09288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63EDAD8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394540A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30FC62C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7A5943E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 专业名词解释</w:t>
      </w:r>
    </w:p>
    <w:p w14:paraId="0DF66AF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 部门决算报表（见附表）</w:t>
      </w:r>
    </w:p>
    <w:p w14:paraId="3518B63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1F13C68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6C4F46D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47F2865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2BCFFD7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28F5F1D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4DF2754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52DE595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4C1A605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415C3622">
      <w:pPr>
        <w:widowControl/>
      </w:pPr>
      <w:r>
        <w:rPr>
          <w:b w:val="0"/>
          <w:sz w:val="0"/>
          <w:szCs w:val="0"/>
        </w:rPr>
        <w:br w:type="page"/>
      </w:r>
    </w:p>
    <w:p w14:paraId="209F1ED0">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1789DE6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0D53BD4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根据自治区工业和信息化厅授权，协调处理辖区内无线电管理相关事宜。</w:t>
      </w:r>
    </w:p>
    <w:p w14:paraId="41A26D2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36CF99F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克孜勒苏柯尔克孜自治州无线电管理中心无下属预算单位。</w:t>
      </w:r>
    </w:p>
    <w:p w14:paraId="1852CA8F">
      <w:pPr>
        <w:widowControl/>
      </w:pPr>
      <w:r>
        <w:rPr>
          <w:b w:val="0"/>
          <w:sz w:val="0"/>
          <w:szCs w:val="0"/>
        </w:rPr>
        <w:br w:type="page"/>
      </w:r>
    </w:p>
    <w:p w14:paraId="584DA927">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 部门决算情况说明</w:t>
      </w:r>
    </w:p>
    <w:p w14:paraId="00709CA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4F81B3D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2025年度收入总计198.42万元，其中：本年收入合计197.97万元，使用非财政拨款结余（含专用结余）0.00万元，年初结转和结余0.44万元。</w:t>
      </w:r>
    </w:p>
    <w:p w14:paraId="2480B42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2025年度支出总计198.42万元，其中：本年支出合计197.97万元，结余分配0.00万元，年末结转和结余0.45万元。</w:t>
      </w:r>
    </w:p>
    <w:p w14:paraId="5BB722D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48.26万元，增长32.14%，主要原因是：一是一般公共预算财政拨款收入增加68.25万元，其中：1.基本支出增加41.25万元，主要为人员增加、调整社保基数及人员正常晋升，人员经费增加38.10万元</w:t>
      </w:r>
      <w:r>
        <w:rPr>
          <w:rFonts w:hint="eastAsia" w:ascii="仿宋_GB2312" w:eastAsia="仿宋_GB2312"/>
          <w:b w:val="0"/>
          <w:sz w:val="32"/>
          <w:szCs w:val="32"/>
          <w:lang w:eastAsia="zh-CN"/>
        </w:rPr>
        <w:t>，</w:t>
      </w:r>
      <w:r>
        <w:rPr>
          <w:rFonts w:ascii="仿宋_GB2312" w:eastAsia="仿宋_GB2312"/>
          <w:b w:val="0"/>
          <w:sz w:val="32"/>
          <w:szCs w:val="32"/>
        </w:rPr>
        <w:t>公用经费增加3.15万元；2.项目支出增加27.00万元，主要为2025年增加无线电管理经费；二是年末结转结余增加0.01万元，主要为银行利息增加0.01万元;三是使用非财政拨款结余减少20.00万元，主要为20</w:t>
      </w:r>
      <w:r>
        <w:rPr>
          <w:rFonts w:hint="default" w:ascii="仿宋_GB2312" w:eastAsia="仿宋_GB2312"/>
          <w:b w:val="0"/>
          <w:sz w:val="32"/>
          <w:szCs w:val="32"/>
          <w:lang w:val="en"/>
        </w:rPr>
        <w:t>2</w:t>
      </w:r>
      <w:r>
        <w:rPr>
          <w:rFonts w:ascii="仿宋_GB2312" w:eastAsia="仿宋_GB2312"/>
          <w:b w:val="0"/>
          <w:sz w:val="32"/>
          <w:szCs w:val="32"/>
        </w:rPr>
        <w:t>5年未安排非财政资金项目。</w:t>
      </w:r>
    </w:p>
    <w:p w14:paraId="7B7941A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591795D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本年收入197.97万元，其中：财政拨款收入197.97万元,占100.00%；上级补助收入0.00万元,占0.00%；事业收入0.00万元，占0.00%；经营收入0.00万元,占0.00%；附属单位上缴收入0.00万元，占0.00%；其他收入0.01万元，占0.01%。</w:t>
      </w:r>
    </w:p>
    <w:p w14:paraId="4746E4C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1EFACF6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本年支出197.97万元，其中：基本支出146.61万元，占74.06%；项目支出51.36万元，占25.94%；上缴上级支出0.00万元，占0.00%；经营支出0.00万元，占0.00%；对附属单位补助支出0.00万元，占0.00%。</w:t>
      </w:r>
    </w:p>
    <w:p w14:paraId="41E9AC6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2BD8D86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2025年度财政拨款收入总计197.97万元，其中：年初财政拨款结转和结余0.00万元，本年财政拨款收入197.97万元。财政拨款支出总计197.97万元，其中：年末财政拨款结转和结余0.00万元，本年财政拨款支出197.97万元。</w:t>
      </w:r>
    </w:p>
    <w:p w14:paraId="0972C5A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68.25万元，增长52.61%，主要原因是：一般公共预算财政拨款收入增加68.25万元，其中：1.基本支出增加41.25万元，主要为人员增加、调整社保基数及人员正常晋升，人员经费增加38.10万元，公用经费增加3.15万元；2.项目支出增加27.00万元，主要为2025年增加无线电管理经费。与年初预算相比，年初预算数194.16万元，决算数197.97万元，预决算差异率1.96%，主要原因是：一是</w:t>
      </w:r>
      <w:r>
        <w:rPr>
          <w:rFonts w:hint="eastAsia" w:ascii="仿宋_GB2312" w:eastAsia="仿宋_GB2312"/>
          <w:b w:val="0"/>
          <w:sz w:val="32"/>
          <w:szCs w:val="32"/>
          <w:lang w:eastAsia="zh-CN"/>
        </w:rPr>
        <w:t>年中追加</w:t>
      </w:r>
      <w:r>
        <w:rPr>
          <w:rFonts w:ascii="仿宋_GB2312" w:eastAsia="仿宋_GB2312"/>
          <w:b w:val="0"/>
          <w:sz w:val="32"/>
          <w:szCs w:val="32"/>
        </w:rPr>
        <w:t>基本支出人员经费36.25万元；二是</w:t>
      </w:r>
      <w:r>
        <w:rPr>
          <w:rFonts w:hint="eastAsia" w:ascii="仿宋_GB2312" w:eastAsia="仿宋_GB2312"/>
          <w:b w:val="0"/>
          <w:sz w:val="32"/>
          <w:szCs w:val="32"/>
          <w:lang w:eastAsia="zh-CN"/>
        </w:rPr>
        <w:t>年中追加</w:t>
      </w:r>
      <w:r>
        <w:rPr>
          <w:rFonts w:ascii="仿宋_GB2312" w:eastAsia="仿宋_GB2312"/>
          <w:b w:val="0"/>
          <w:sz w:val="32"/>
          <w:szCs w:val="32"/>
        </w:rPr>
        <w:t>项目支出12.10万元；三是调减</w:t>
      </w:r>
      <w:r>
        <w:rPr>
          <w:rFonts w:hint="eastAsia" w:ascii="仿宋_GB2312" w:eastAsia="仿宋_GB2312"/>
          <w:b w:val="0"/>
          <w:sz w:val="32"/>
          <w:szCs w:val="32"/>
          <w:lang w:eastAsia="zh-CN"/>
        </w:rPr>
        <w:t>年初预算</w:t>
      </w:r>
      <w:r>
        <w:rPr>
          <w:rFonts w:ascii="仿宋_GB2312" w:eastAsia="仿宋_GB2312"/>
          <w:b w:val="0"/>
          <w:sz w:val="32"/>
          <w:szCs w:val="32"/>
        </w:rPr>
        <w:t>基本支出30.02万元，其中人员经费调减23.26万元，公用经费调减6.76万元；四是调减</w:t>
      </w:r>
      <w:r>
        <w:rPr>
          <w:rFonts w:hint="eastAsia" w:ascii="仿宋_GB2312" w:eastAsia="仿宋_GB2312"/>
          <w:b w:val="0"/>
          <w:sz w:val="32"/>
          <w:szCs w:val="32"/>
          <w:lang w:eastAsia="zh-CN"/>
        </w:rPr>
        <w:t>年初预算</w:t>
      </w:r>
      <w:r>
        <w:rPr>
          <w:rFonts w:ascii="仿宋_GB2312" w:eastAsia="仿宋_GB2312"/>
          <w:b w:val="0"/>
          <w:sz w:val="32"/>
          <w:szCs w:val="32"/>
        </w:rPr>
        <w:t>项目支出14.52万元。</w:t>
      </w:r>
    </w:p>
    <w:p w14:paraId="24A0514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2A83C1F6">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无线电干扰查处和考试保障业务、边境电磁环境测试、人员工资以及事业运转等重点支出，体现在有关支出科目中。</w:t>
      </w:r>
    </w:p>
    <w:p w14:paraId="0888843C">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按照支出功能分类，资源勘探工业信息等支出（类）工业和信息产业（款）无线电及信息通信监管（项）的支出占本年财政拨款支出总额的比重最高，2025年度决算数为154.17万元，占比77.88%，主要用于无线电</w:t>
      </w:r>
      <w:r>
        <w:rPr>
          <w:rFonts w:hint="eastAsia" w:ascii="仿宋_GB2312" w:eastAsia="仿宋_GB2312"/>
          <w:b w:val="0"/>
          <w:sz w:val="32"/>
          <w:szCs w:val="32"/>
          <w:lang w:eastAsia="zh-CN"/>
        </w:rPr>
        <w:t>专项监督</w:t>
      </w:r>
      <w:r>
        <w:rPr>
          <w:rFonts w:ascii="仿宋_GB2312" w:eastAsia="仿宋_GB2312"/>
          <w:b w:val="0"/>
          <w:sz w:val="32"/>
          <w:szCs w:val="32"/>
        </w:rPr>
        <w:t>、运行维护业务支出以及保障单位基本支出。</w:t>
      </w:r>
    </w:p>
    <w:p w14:paraId="2B4FAD92">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5975050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197.97万元，占本年支出合计的100.00%。与上年相比，增加68.25万元，增长52.61%，主要原因是：一般公共预算财政拨款收入增加68.25万元，其中：1.基本支出增加41.25万元，主要为人员增加、调整社保基数及人员正常晋升，人员经费增加38.10万元，公用经费增加3.15万元；2.项目支出增加27.00万元，主要为2025年增加无线电管理经费。与年初预算相比，年初预算数194.16万元，决算数197.97万元，预决算差异率1.96%，主要原因是：一是</w:t>
      </w:r>
      <w:r>
        <w:rPr>
          <w:rFonts w:hint="eastAsia" w:ascii="仿宋_GB2312" w:eastAsia="仿宋_GB2312"/>
          <w:b w:val="0"/>
          <w:sz w:val="32"/>
          <w:szCs w:val="32"/>
          <w:lang w:eastAsia="zh-CN"/>
        </w:rPr>
        <w:t>年中追加</w:t>
      </w:r>
      <w:r>
        <w:rPr>
          <w:rFonts w:ascii="仿宋_GB2312" w:eastAsia="仿宋_GB2312"/>
          <w:b w:val="0"/>
          <w:sz w:val="32"/>
          <w:szCs w:val="32"/>
        </w:rPr>
        <w:t>基本支出人员经费36.25万元；二是</w:t>
      </w:r>
      <w:r>
        <w:rPr>
          <w:rFonts w:hint="eastAsia" w:ascii="仿宋_GB2312" w:eastAsia="仿宋_GB2312"/>
          <w:b w:val="0"/>
          <w:sz w:val="32"/>
          <w:szCs w:val="32"/>
          <w:lang w:eastAsia="zh-CN"/>
        </w:rPr>
        <w:t>年中追加</w:t>
      </w:r>
      <w:r>
        <w:rPr>
          <w:rFonts w:ascii="仿宋_GB2312" w:eastAsia="仿宋_GB2312"/>
          <w:b w:val="0"/>
          <w:sz w:val="32"/>
          <w:szCs w:val="32"/>
        </w:rPr>
        <w:t>项目支出12.10万元；三是调减</w:t>
      </w:r>
      <w:r>
        <w:rPr>
          <w:rFonts w:hint="eastAsia" w:ascii="仿宋_GB2312" w:eastAsia="仿宋_GB2312"/>
          <w:b w:val="0"/>
          <w:sz w:val="32"/>
          <w:szCs w:val="32"/>
          <w:lang w:eastAsia="zh-CN"/>
        </w:rPr>
        <w:t>年初预算</w:t>
      </w:r>
      <w:r>
        <w:rPr>
          <w:rFonts w:ascii="仿宋_GB2312" w:eastAsia="仿宋_GB2312"/>
          <w:b w:val="0"/>
          <w:sz w:val="32"/>
          <w:szCs w:val="32"/>
        </w:rPr>
        <w:t>基本支出30.02万元，其中人员经费调减23.26万元，公用经费调减6.76万元；四是调减</w:t>
      </w:r>
      <w:r>
        <w:rPr>
          <w:rFonts w:hint="eastAsia" w:ascii="仿宋_GB2312" w:eastAsia="仿宋_GB2312"/>
          <w:b w:val="0"/>
          <w:sz w:val="32"/>
          <w:szCs w:val="32"/>
          <w:lang w:eastAsia="zh-CN"/>
        </w:rPr>
        <w:t>年初预算</w:t>
      </w:r>
      <w:r>
        <w:rPr>
          <w:rFonts w:ascii="仿宋_GB2312" w:eastAsia="仿宋_GB2312"/>
          <w:b w:val="0"/>
          <w:sz w:val="32"/>
          <w:szCs w:val="32"/>
        </w:rPr>
        <w:t>项目支出14.52万元。</w:t>
      </w:r>
    </w:p>
    <w:p w14:paraId="2361949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489F286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1.社会保障和就业支出（类）25.06万元，占12.66%。</w:t>
      </w:r>
    </w:p>
    <w:p w14:paraId="25FB72F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2.卫生健康支出（类）9.00万元，占4.55%。</w:t>
      </w:r>
    </w:p>
    <w:p w14:paraId="5DBB6C3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3.资源勘探工业信息等支出（类）154.17万元，占77.88%。</w:t>
      </w:r>
    </w:p>
    <w:p w14:paraId="2787615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4.住房保障支出（类）9.73万元，占4.91%。</w:t>
      </w:r>
    </w:p>
    <w:p w14:paraId="66845637">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456A007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1、社会保障和就业支出（类）行政事业单位养老支出（款）事业单位离退休（项）：支出决算数为6.22万元，比上年决算增加0.27万元，增长4.54%，主要原因是：退休人员养老待遇提高。</w:t>
      </w:r>
    </w:p>
    <w:p w14:paraId="18FF652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社会保障和就业支出（类）行政事业单位养老支出（款）机关事业单位基本养老保险缴费支出（项）：支出决算数为12.41万元，比上年决算增加3.36万元，增长37.13%，主要原因是：人员增加以及基本养老保险缴费基数上调。</w:t>
      </w:r>
    </w:p>
    <w:p w14:paraId="7DFD467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3、社会保障和就业支出（类）行政事业单位养老支出（款）机关事业单位职业年金缴费支出（项）：支出决算数为6.43万元，比上年决算增加6.43万元，增长100.00%，主要原因是：</w:t>
      </w:r>
      <w:r>
        <w:rPr>
          <w:rFonts w:hint="eastAsia" w:ascii="仿宋_GB2312" w:eastAsia="仿宋_GB2312"/>
          <w:b w:val="0"/>
          <w:sz w:val="32"/>
          <w:szCs w:val="32"/>
        </w:rPr>
        <w:t>根据《新疆维吾尔自治区职业年金单位缴费实账管理实施方案》（新人社发〔2025〕18号），自2025年起全额拨款单位职业年金缴费由记账积累改为实账缴费，职业年金纳入部门预算足额保障，支出相应增加。</w:t>
      </w:r>
    </w:p>
    <w:p w14:paraId="1588728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4、卫生健康支出（类）行政事业单位医疗（款）事业单位医疗（项）：支出决算数为6.68万元，比上年决算增加1.96万元，增长41.53%，主要原因是：人员增加以及基本医疗缴费基数上调。</w:t>
      </w:r>
    </w:p>
    <w:p w14:paraId="3FCF473F">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5、卫生健康支出（类）行政事业单位医疗（款）公务员医疗补助（项）：支出决算数为2.33万元，比上年决算增加0.51万元，增长28.02%，主要原因是：人员增加以及公务员医疗补助缴费基数上调。</w:t>
      </w:r>
    </w:p>
    <w:p w14:paraId="34A0DF3A">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资源勘探工业信息等支出（类）工业和信息产业（款）无线电及信息通信监管（项）：支出决算数为154.17万元，比上年决算增加52.87万元，增长52.19%，主要原因是：一是一般公共预算财政拨款基本支出较上年增加25.87万元，主要为人员增加及人员正常晋升，人员经费增加22.72万元、公用经费增加3.15万元；二是一般公共预算财政拨款项目支出较上年增加27.00万元，主要为2025年增加无线电管理经费。</w:t>
      </w:r>
    </w:p>
    <w:p w14:paraId="5D5AE96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7、住房保障支出（类）住房改革支出（款）住房公积金（项）：支出决算数为9.73万元，比上年决算增加2.85万元，增长41.42%，主要原因是：人员增加以及住房公积金缴费基数上调。</w:t>
      </w:r>
    </w:p>
    <w:p w14:paraId="6279128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11E4878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146.61万元，其中：人员经费133.97万元，包括：基本工资、津贴补贴、奖金、绩效工资、机关事业单位基本养老保险缴费、职业年金缴费、职工基本医疗保险缴费、公务员医疗补助缴费、其他社会保障缴费、住房公积金、退休费、生活补助和其他对个人和家庭的补助。</w:t>
      </w:r>
    </w:p>
    <w:p w14:paraId="67257A3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公用经费12.64万元，包括：办公费、水费、邮电费、取暖费、差旅费、工会经费、福利费、公务用车运行维护费和其他商品和服务支出。</w:t>
      </w:r>
    </w:p>
    <w:p w14:paraId="63CD44B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0D67C14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0844FC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127FAF5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70B2CE4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6FDBB5F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6.69万元，比上年减少0.05万元，下降0.74%，主要原因是：严格执行中央八项规定及其实施细则，严控“三公”经费支出。其中：因公出国（境）费用支出0.00万元,占0.00%，与上年相比无变化，主要原因是：我单位无因公出国（境）费；公务用车购置及运行维护费支出6.69万元，占100.00%，比上年减少0.05万元，下降0.74%，主要原因是：严格执行公务用车管理制度，合理控制公务用车运行费用；公务接待费支出0.00万元，占0.00%，与上年相比无变化，主要原因是：我单位无公务接待费。</w:t>
      </w:r>
    </w:p>
    <w:p w14:paraId="2EDBE4B6">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4143EF5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本年度未发生因公出国（境）相关支出</w:t>
      </w:r>
      <w:r>
        <w:rPr>
          <w:rFonts w:ascii="仿宋_GB2312" w:eastAsia="仿宋_GB2312"/>
          <w:b w:val="0"/>
          <w:sz w:val="32"/>
          <w:szCs w:val="32"/>
        </w:rPr>
        <w:t>。单位全年安排的因公出国（境）团组0个，因公出国（境）0人次。</w:t>
      </w:r>
    </w:p>
    <w:p w14:paraId="0908CD2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公务用车购置及运行维护费6.69万元，其中：公务用车购置费0.00万元，公务用车运行维护费6.69万元。公务用车运行维护费开支内容包括</w:t>
      </w:r>
      <w:r>
        <w:rPr>
          <w:rFonts w:hint="eastAsia" w:ascii="仿宋_GB2312" w:eastAsia="仿宋_GB2312"/>
          <w:b w:val="0"/>
          <w:sz w:val="32"/>
          <w:szCs w:val="32"/>
          <w:lang w:eastAsia="zh-CN"/>
        </w:rPr>
        <w:t>：</w:t>
      </w:r>
      <w:r>
        <w:rPr>
          <w:rFonts w:ascii="仿宋_GB2312" w:eastAsia="仿宋_GB2312"/>
          <w:b w:val="0"/>
          <w:sz w:val="32"/>
          <w:szCs w:val="32"/>
        </w:rPr>
        <w:t>车辆保险、车辆加油、车辆维修、停车及过路费。公务用车购置数0辆，公务用车保有量4辆。国有资产占用情况中固定资产车辆4辆，与公务用车保有量差异原因是：与公务用车保有量一致。</w:t>
      </w:r>
    </w:p>
    <w:p w14:paraId="74BFEF9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w:t>
      </w:r>
      <w:r>
        <w:rPr>
          <w:rFonts w:hint="eastAsia" w:ascii="仿宋_GB2312" w:eastAsia="仿宋_GB2312"/>
          <w:b w:val="0"/>
          <w:sz w:val="32"/>
          <w:szCs w:val="32"/>
        </w:rPr>
        <w:t>本年度未发生</w:t>
      </w:r>
      <w:r>
        <w:rPr>
          <w:rFonts w:ascii="仿宋_GB2312" w:eastAsia="仿宋_GB2312"/>
          <w:b w:val="0"/>
          <w:sz w:val="32"/>
          <w:szCs w:val="32"/>
        </w:rPr>
        <w:t>公务接待费</w:t>
      </w:r>
      <w:r>
        <w:rPr>
          <w:rFonts w:hint="eastAsia" w:ascii="仿宋_GB2312" w:eastAsia="仿宋_GB2312"/>
          <w:b w:val="0"/>
          <w:sz w:val="32"/>
          <w:szCs w:val="32"/>
          <w:lang w:eastAsia="zh-CN"/>
        </w:rPr>
        <w:t>相关支出</w:t>
      </w:r>
      <w:r>
        <w:rPr>
          <w:rFonts w:ascii="仿宋_GB2312" w:eastAsia="仿宋_GB2312"/>
          <w:b w:val="0"/>
          <w:sz w:val="32"/>
          <w:szCs w:val="32"/>
        </w:rPr>
        <w:t>。单位全年安排的国内公务接待0批次，0人次。</w:t>
      </w:r>
    </w:p>
    <w:p w14:paraId="120DC4C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与全年预算相比，财政拨款“三公”经费支出全年预算数6.69万元，决算数6.69万元，预决算差异率0.00%，主要原因是：严格执行中央八项规定及其实施细则，做到</w:t>
      </w:r>
      <w:r>
        <w:rPr>
          <w:rFonts w:hint="eastAsia" w:ascii="仿宋_GB2312" w:eastAsia="仿宋_GB2312"/>
          <w:b w:val="0"/>
          <w:sz w:val="32"/>
          <w:szCs w:val="32"/>
          <w:lang w:eastAsia="zh-CN"/>
        </w:rPr>
        <w:t>“三公”经费</w:t>
      </w:r>
      <w:r>
        <w:rPr>
          <w:rFonts w:ascii="仿宋_GB2312" w:eastAsia="仿宋_GB2312"/>
          <w:b w:val="0"/>
          <w:sz w:val="32"/>
          <w:szCs w:val="32"/>
        </w:rPr>
        <w:t>只减不增，无预算不支出。其中：因公出国（境）费用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6.69万元，决算数6.69万元，预决算差异率0.00%，主要原因是：严格执行公务用车管理制度，严格执行中央八项规定及其实施细则，做到“三公”经费只减不增，严控“三公”经费支出；公务接待费全年预算数0.00万元，决算数0.00万元，预决算差异率0.00%，主要原因是：我单位无公务接待费。</w:t>
      </w:r>
    </w:p>
    <w:p w14:paraId="3021631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1F6DB2B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1AC129F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2025年度克孜勒苏柯尔克孜自治州无线电管理中心（事业单位）公用经费支出12.64万元，比上年增加3.15万元，增长33.19%，主要原因是：2025年人员增加，合理安排日常必要经费支出，本年公用经费增加。</w:t>
      </w:r>
    </w:p>
    <w:p w14:paraId="4A2FAD6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3B3ADC5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2025年度政府采购支出总额48.62万元，其中：政府采购货物支出2.11万元、政府采购工程支出0.00万元、政府采购服务支出46.50万元。</w:t>
      </w:r>
    </w:p>
    <w:p w14:paraId="5346053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授予中小企业合同金额36.39万元，占政府采购支出总额的74.85%，其中：授予小微企业合同金额17.22万元，占政府采购支出总额的35.42%。</w:t>
      </w:r>
    </w:p>
    <w:p w14:paraId="683C83CF">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101111F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1,495.68平方米，价值350.98万元。车辆4辆，价值180.34万元，其中：副部（省）级及以上领导用车0辆、主要负责人用车0辆、机要通信用车0辆、应急保障用车0辆、执法执勤用车0辆、特种专业技术用车3辆、离退休干部服务用车0辆、其他用车1辆，其他用车主要是：业务用车;单价100万元（含）以上设备（不含车辆）5台（套）。</w:t>
      </w:r>
    </w:p>
    <w:p w14:paraId="25F78C1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5ECEF77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0个，全年预算数0.00万元，全年执行数0.00万元。预算绩效管理取得的成效：一是严格执行《工信厅全面预算绩效管理办法》，日常对项目资金加快预算执行，确保绩效监控和绩效评价执行率，规范各项预算执行活动,确保预算执行,发挥财政资金的最大效用,取得了良好的绩效成果；二是各项工作实施及资金使用情况均在绩效目标设定时限完成，在项目经费的使用上，在保证各项任务顺利完成的同时，严格落实厉行节约的原则。发现的问题及原因：预算绩效观念不强，工作质量待提高，部分预算单位对预算绩效管理工作重视程度还不足，工作缺乏主动性，对预算绩效管理工作的意义、框架、思路、操作规程认识不够深入 ，申报绩效目标不够明确，设计的评价指标体系不科学、不严谨。下一步改进措施：一是在今后的预算绩效申报时，应将全年工作任务细化分解为具体的工作目标，并尽量采取定量的方式制定清晰、可衡量的绩效指标，提高资金执行率；二是完善各项内控制度，建立上下协调，部门联动、层层落实的工作责任制，将绩效管理责任分解落实到具体科室、明确到具体责任人，确保每一笔资金花的安全、用的高效；三是加强对专项资金预算执行力度的考核，确保项目执行按期完成。具体附整体支出绩效自评表、项目支出绩效自评表及项目支出绩效评价报告。具体附项目支出绩效自评表。</w:t>
      </w:r>
    </w:p>
    <w:p w14:paraId="1D1789A0">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34FA221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498EC0E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2E8613EC">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20A0DD92">
      <w:pPr>
        <w:widowControl/>
      </w:pPr>
      <w:r>
        <w:rPr>
          <w:b w:val="0"/>
          <w:sz w:val="0"/>
          <w:szCs w:val="0"/>
        </w:rPr>
        <w:br w:type="page"/>
      </w:r>
    </w:p>
    <w:p w14:paraId="4954D510">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 专业名词解释</w:t>
      </w:r>
    </w:p>
    <w:p w14:paraId="1E1501B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1AA0006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1464DC6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6FD39ED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5E48B1E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5CFA246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11EFE56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4B468F8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7332AB5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200BAD0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04065E3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26621BB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1DCF413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5334901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5DBE07ED">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4A36B0B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53C9F42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7D719352">
      <w:pPr>
        <w:widowControl/>
      </w:pPr>
      <w:r>
        <w:rPr>
          <w:b w:val="0"/>
          <w:sz w:val="0"/>
          <w:szCs w:val="0"/>
        </w:rPr>
        <w:br w:type="page"/>
      </w:r>
    </w:p>
    <w:p w14:paraId="7120761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 部门决算报表（见附表）</w:t>
      </w:r>
    </w:p>
    <w:p w14:paraId="5A14BB0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4C9E100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1947F0C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5C8157FD">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59BBE06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F035F0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7B88B86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498A2DF">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06841D2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4B5DAEB4"/>
    <w:rsid w:val="565A6F95"/>
    <w:rsid w:val="67DD87DF"/>
    <w:rsid w:val="FFB999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TotalTime>3</TotalTime>
  <ScaleCrop>false</ScaleCrop>
  <LinksUpToDate>false</LinksUpToDate>
  <Application>WPS Office_12.1.2.23582_F1E327BC-269C-435d-A152-05C5408002CA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2026-08-31T14:10:00Z</dcterms:created>
  <dc:creator>user</dc:creator>
  <cp:lastModifiedBy>user</cp:lastModifiedBy>
  <dcterms:modified xsi:type="dcterms:W3CDTF">2026-09-02T11:38:58Z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73E10BEC41BE568B529A976AAC67CD14_42</vt:lpwstr>
  </property>
</Properties>
</file>