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2A81FC">
      <w:pPr>
        <w:widowControl/>
        <w:spacing w:before="0" w:beforeLines="0" w:beforeAutospacing="0" w:after="0" w:afterLines="0" w:afterAutospacing="0" w:line="240" w:lineRule="auto"/>
        <w:jc w:val="left"/>
        <w:rPr>
          <w:rFonts w:ascii="宋体" w:eastAsia="宋体"/>
          <w:sz w:val="32"/>
          <w:szCs w:val="32"/>
        </w:rPr>
      </w:pPr>
    </w:p>
    <w:p w14:paraId="02DD0C3E">
      <w:pPr>
        <w:widowControl/>
        <w:spacing w:before="0" w:beforeLines="0" w:beforeAutospacing="0" w:after="0" w:afterLines="0" w:afterAutospacing="0" w:line="240" w:lineRule="auto"/>
        <w:jc w:val="left"/>
        <w:rPr>
          <w:rFonts w:ascii="宋体" w:eastAsia="宋体"/>
          <w:sz w:val="44"/>
          <w:szCs w:val="44"/>
        </w:rPr>
      </w:pPr>
    </w:p>
    <w:p w14:paraId="27E8B691">
      <w:pPr>
        <w:widowControl/>
        <w:spacing w:before="0" w:beforeLines="0" w:beforeAutospacing="0" w:after="0" w:afterLines="0" w:afterAutospacing="0" w:line="240" w:lineRule="auto"/>
        <w:jc w:val="left"/>
        <w:rPr>
          <w:rFonts w:ascii="宋体" w:eastAsia="宋体"/>
          <w:sz w:val="44"/>
          <w:szCs w:val="44"/>
        </w:rPr>
      </w:pPr>
    </w:p>
    <w:p w14:paraId="6446A9E6">
      <w:pPr>
        <w:widowControl/>
        <w:spacing w:before="0" w:beforeLines="0" w:beforeAutospacing="0" w:after="0" w:afterLines="0" w:afterAutospacing="0" w:line="240" w:lineRule="auto"/>
        <w:jc w:val="left"/>
        <w:rPr>
          <w:rFonts w:ascii="宋体" w:eastAsia="宋体"/>
          <w:sz w:val="44"/>
          <w:szCs w:val="44"/>
        </w:rPr>
      </w:pPr>
    </w:p>
    <w:p w14:paraId="75B0B868">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新疆维吾尔自治区无线电监测中心</w:t>
      </w:r>
    </w:p>
    <w:p w14:paraId="23A62F64">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14:paraId="5CAA4264">
      <w:pPr>
        <w:widowControl/>
      </w:pPr>
      <w:r>
        <w:rPr>
          <w:b w:val="0"/>
          <w:sz w:val="0"/>
          <w:szCs w:val="0"/>
        </w:rPr>
        <w:br w:type="page"/>
      </w:r>
    </w:p>
    <w:p w14:paraId="68FB8518">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14:paraId="5D569EB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14:paraId="5B14D48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14:paraId="2D7BCF3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14:paraId="716E475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14:paraId="52FD0E8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14:paraId="70ABAF6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14:paraId="58A0C8E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14:paraId="23D81E7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14:paraId="351375D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14:paraId="598C700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14:paraId="11E38A0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14:paraId="1A771F0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14:paraId="62F529F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14:paraId="21D3C7F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14:paraId="18831C8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703E3F6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14:paraId="7377206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14:paraId="79B86A5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14:paraId="7D3E2E2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14:paraId="23973A1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14:paraId="391037A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14:paraId="389E7E6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14:paraId="3E6A068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14:paraId="28AA3FB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14:paraId="4FCA821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14:paraId="026CB09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14:paraId="04DDA52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14:paraId="3907407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14:paraId="2D73937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14:paraId="2F97D10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14:paraId="2844830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14:paraId="3553D69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14:paraId="594C9DF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14:paraId="044ED9C9">
      <w:pPr>
        <w:widowControl/>
      </w:pPr>
      <w:r>
        <w:rPr>
          <w:b w:val="0"/>
          <w:sz w:val="0"/>
          <w:szCs w:val="0"/>
        </w:rPr>
        <w:br w:type="page"/>
      </w:r>
    </w:p>
    <w:p w14:paraId="7F74FF3D">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14:paraId="3EFBD24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14:paraId="39990EC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承担全区无线电监测工作；承担对各地州市无线电监测技术指导等工作。</w:t>
      </w:r>
    </w:p>
    <w:p w14:paraId="69C45BC2">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14:paraId="01D0136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新疆维吾尔自治区无线电监测中心无下属预算单位。</w:t>
      </w:r>
    </w:p>
    <w:p w14:paraId="11894941">
      <w:pPr>
        <w:widowControl/>
      </w:pPr>
      <w:r>
        <w:rPr>
          <w:b w:val="0"/>
          <w:sz w:val="0"/>
          <w:szCs w:val="0"/>
        </w:rPr>
        <w:br w:type="page"/>
      </w:r>
    </w:p>
    <w:p w14:paraId="3A11D618">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14:paraId="35DF452D">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14:paraId="7AB4151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2025年度收入总计702.03万元，其中：本年收入合计700.77万元，使用非财政拨款结余（含专用结余）0.00万元，年初结转和结余1.25万元。</w:t>
      </w:r>
    </w:p>
    <w:p w14:paraId="7D61B12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2025年度支出总计702.03万元，其中：本年支出合计700.72万元，结余分配0.00万元，年末结转和结余1.30万元。</w:t>
      </w:r>
    </w:p>
    <w:p w14:paraId="3BA7716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22.94万元，下降3.16%，主要原因是：一是本年支出较上年减少23.00万元。1.社会保障和就业支出较上年增加15.50万元；2.卫生健康支出较上年增加2.37万元；3.无线电及信息通信监管支出较上年减少40.24万元 ；4.住房保障支出较上年减少0.63万元。二是年末结转结余较上年增加0.06万元。综上各项资金有增有减，因此2025年度收入支出总计较上年减少22.94万元。</w:t>
      </w:r>
    </w:p>
    <w:p w14:paraId="53D9B8D4">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14:paraId="6107ED9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本年收入700.77万元，其中：财政拨款收入700.72万元,占99.99%；上级补助收入0.00万元,占0.00%；事业收入0.00万元，占0.00%；经营收入0.00万元,占0.00%；附属单位上缴收入0.00万元，占0.00%；其他收入0.05万元，占0.01%。</w:t>
      </w:r>
    </w:p>
    <w:p w14:paraId="60CBB141">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14:paraId="19BF268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本年支出700.72万元，其中：基本支出318.11万元，占45.40%；项目支出382.61万元，占54.60%；上缴上级支出0.00万元，占0.00%；经营支出0.00万元，占0.00%；对附属单位补助支出0.00万元，占0.00%。</w:t>
      </w:r>
    </w:p>
    <w:p w14:paraId="66064A6E">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14:paraId="2591964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2025年度财政拨款收入总计700.72万元，其中：年初财政拨款结转和结余0.00万元，本年财政拨款收入700.72万元。财政拨款支出总计700.72万元，其中：年末财政拨款结转和结余0.00万元，本年财政拨款支出700.72万元。</w:t>
      </w:r>
    </w:p>
    <w:p w14:paraId="253CA06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财政拨款收入支出总体与上年相比，减少23.00万元，下降3.18%，主要原因是：一是本年支出较上年减少23.00万元。</w:t>
      </w:r>
      <w:r>
        <w:rPr>
          <w:rFonts w:ascii="仿宋_GB2312" w:eastAsia="仿宋_GB2312"/>
          <w:b w:val="0"/>
          <w:sz w:val="32"/>
          <w:szCs w:val="32"/>
          <w:highlight w:val="none"/>
        </w:rPr>
        <w:t>1.社会保障和就业支出较上年增加15.50万元；2.卫生健康支出较上年增加2.37万元；3.无线电及信息通信监管支出较上年减少40.24万元 ；4.住房保障支出较上年减少0.63万元。与年初预</w:t>
      </w:r>
      <w:r>
        <w:rPr>
          <w:rFonts w:ascii="仿宋_GB2312" w:eastAsia="仿宋_GB2312"/>
          <w:b w:val="0"/>
          <w:sz w:val="32"/>
          <w:szCs w:val="32"/>
        </w:rPr>
        <w:t>算相比，年初预算数893.60万元，决算数700.72万元，预决算差异率-21.58%，主要原因是：全年追加一般公共预算 232.45万元，其中基本支出追加 56.45万元，项目支出追加176.00万元；同步调减一般公共预算 425.33 万元，其中基本支出调减 27.55万元，项目支出调减397.78万元，增减相抵后形成预决算差额。</w:t>
      </w:r>
    </w:p>
    <w:p w14:paraId="7BF89A00">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14:paraId="11D22070">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资源勘探工业信息等支出、社会保障和就业支出、卫生健康支出等重点支出，体现在有关支出科目中。</w:t>
      </w:r>
    </w:p>
    <w:p w14:paraId="6CB04BAC">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支出功能分类，资源勘探工业信息等支出（类）工业和信息产业（款）无线电及信息通信监管（项）的支出占本年财政拨款支出总额的比重最高，2025年度决算数为601.50万元，占比85.84%，主要用于无线电及信息通信监管业务开展。</w:t>
      </w:r>
    </w:p>
    <w:p w14:paraId="71751EE8">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14:paraId="78ACC82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2025年度一般公共预算财政拨款支出700.72万元，占本年支出合计的100.00%。与上年相比，减少23.00万元，下降3.18%，主要原因是：一是本年支出较上年减少23.00万元。</w:t>
      </w:r>
      <w:r>
        <w:rPr>
          <w:rFonts w:ascii="仿宋_GB2312" w:eastAsia="仿宋_GB2312"/>
          <w:b w:val="0"/>
          <w:sz w:val="32"/>
          <w:szCs w:val="32"/>
          <w:highlight w:val="none"/>
        </w:rPr>
        <w:t>1.社会保障和就业支出较上年增加15.50万元；2.卫生健康支出较上年增加2.37万元；3.无线电及信息通信监管支出较上年减少40.24万元 ；4.住房保障支出较上年减少0.63万元</w:t>
      </w:r>
      <w:r>
        <w:rPr>
          <w:rFonts w:ascii="仿宋_GB2312" w:eastAsia="仿宋_GB2312"/>
          <w:b w:val="0"/>
          <w:sz w:val="32"/>
          <w:szCs w:val="32"/>
        </w:rPr>
        <w:t>。与年初预算相比，年初预算数893.60万元，决算数700.72万元，预决算差异率-21.58%，主要原因是：全年追加一般公共预算 232.45万元，其中基本支出追加 56.45万元，项目支出追加176.00万元；同步调减一般公共预算 425.33 万元，其中基本支出调减 27.55万元，项目支出调减397.78万元，增减相抵后形成预决算差额。</w:t>
      </w:r>
    </w:p>
    <w:p w14:paraId="5FCE2E14">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14:paraId="206A05D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1.社会保障和就业支出（类）48.43万元，占6.91%。</w:t>
      </w:r>
    </w:p>
    <w:p w14:paraId="0BAF133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2.卫生健康支出（类）29.60万元，占4.22%。</w:t>
      </w:r>
    </w:p>
    <w:p w14:paraId="0335F10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3.资源勘探工业信息等支出（类）601.50万元，占85.84%。</w:t>
      </w:r>
    </w:p>
    <w:p w14:paraId="4F6B503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4.住房保障支出（类）21.19万元，占3.02%。</w:t>
      </w:r>
    </w:p>
    <w:p w14:paraId="5DE2B4A0">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14:paraId="52D0923B">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1、社会保障和就业支出（类）行政事业单位养老支出（款）事业单位离退休（项）：支出决算数为4.94万元，比上年决算增加0.48万元，增长10.76%，主要原因是：退休人员待遇增加相应支出增长。</w:t>
      </w:r>
    </w:p>
    <w:p w14:paraId="34EB2786">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社会保障和就业支出（类）行政事业单位养老支出（款）机关事业单位基本养老保险缴费支出（项）：支出决算数为28.65万元，比上年决算增加0.18万元，增长0.63%，主要原因是：在职人员养老保险缴费基数增加相应支出增长。</w:t>
      </w:r>
    </w:p>
    <w:p w14:paraId="1B9B85CB">
      <w:pPr>
        <w:widowControl/>
        <w:spacing w:before="0" w:beforeLines="0" w:beforeAutospacing="0" w:after="0" w:afterLines="0" w:afterAutospacing="0" w:line="240" w:lineRule="auto"/>
        <w:ind w:firstLine="640" w:firstLineChars="200"/>
        <w:rPr>
          <w:rFonts w:hint="eastAsia" w:ascii="仿宋_GB2312" w:eastAsia="仿宋_GB2312"/>
          <w:b w:val="0"/>
          <w:sz w:val="32"/>
          <w:szCs w:val="32"/>
        </w:rPr>
      </w:pPr>
      <w:r>
        <w:rPr>
          <w:rFonts w:ascii="仿宋_GB2312" w:eastAsia="仿宋_GB2312"/>
          <w:b w:val="0"/>
          <w:sz w:val="32"/>
          <w:szCs w:val="32"/>
        </w:rPr>
        <w:t>3、社会保障和就业支出（类）行政事业单位养老支出（款）机关事业单位职业年金缴费支出（项）：支出决算数为14.85万元，比上年决算增加14.85万元，增长100.00%，主要原因是：</w:t>
      </w:r>
      <w:r>
        <w:rPr>
          <w:rFonts w:hint="eastAsia" w:ascii="仿宋_GB2312" w:eastAsia="仿宋_GB2312"/>
          <w:b w:val="0"/>
          <w:sz w:val="32"/>
          <w:szCs w:val="32"/>
        </w:rPr>
        <w:t>根据《新疆维吾尔自治区职业年金单位缴费实账管理实施方案》（新人社发〔2025〕18号），自2025年起全额拨款单位职业年金缴费由记账积累改为实账缴费，职业年金纳入部门预算足额保障，支出相应增加。</w:t>
      </w:r>
    </w:p>
    <w:p w14:paraId="2729EE5C">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4、卫生健康支出（类）行政事业单位医疗（款）事业单位医疗（项）：支出决算数为17.07万元，比上年决算增加1.84万元，增长12.08%，主要原因是：在职人员事业单位医疗缴费基数增加相应支出增长。</w:t>
      </w:r>
    </w:p>
    <w:p w14:paraId="6219027C">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5、卫生健康支出（类）行政事业单位医疗（款）公务员医疗补助（项）：支出决算数为12.53万元，比上年决算增加0.53万元，增长4.42%，主要原因是：在职人员公务员医疗补助缴费基数增加相应支出增长。</w:t>
      </w:r>
    </w:p>
    <w:p w14:paraId="6B604CC6">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资源勘探工业信息等支出（类）工业和信息产业（款）无线电及信息通信监管（项）：支出决算数为601.50万元，比上年决算减少40.23万元，下降6.27%，主要原因是：（1）基本支出较上年增加5.61万元，主要是根据业务需要和实际情况公用项目预算增加，决算支出相应增加；（2）无线电管理经费项目较上年减少45.85万元， 主要是无线电项目减少。</w:t>
      </w:r>
    </w:p>
    <w:p w14:paraId="6D2BFB3E">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7、住房保障支出（类）住房改革支出（款）住房公积金（项）：支出决算数为21.19万元，比上年决算减少0.63万元，下降2.89%，主要原因是：因本年度调出一名在职人员，住房公积金缴费基数下降，相应支出减少。</w:t>
      </w:r>
    </w:p>
    <w:p w14:paraId="569DE56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14:paraId="3EC0C39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基本支出318.11万元，其中：人员经费290.40万元，包括：基本工资、津贴补贴、奖金、绩效工资、机关事业单位基本养老保险缴费、职业年金缴费、职工基本医疗保险缴费、公务员医疗补助缴费、其他社会保障缴费、住房公积金、退休费和其他对个人和家庭的补助。</w:t>
      </w:r>
    </w:p>
    <w:p w14:paraId="04754ED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公用经费27.71万元，包括：办公费、水费、电费、邮电费、取暖费、差旅费、工会经费、福利费、公务用车运行维护费和其他商品和服务支出。</w:t>
      </w:r>
    </w:p>
    <w:p w14:paraId="53F815F6">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14:paraId="42A3AA1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481613C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14:paraId="7911F33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3AA70A1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14:paraId="12872E9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三公”经费支出13.91万元，比上年增加0.99万元，增长7.66%，主要原因是：根据实际工作情况，车辆使用年限增长，修理和油料小幅增长。其中：因公出国（境）费用支出0.00万元,占0.00%，与上年相比无变化，主要原因是：我单位无因公出国（境）费；公务用车购置及运行维护费支出13.91万元，占100.00%，比上年增加0.99万元，增长7.66%，主要原因是：根据实际工作情况，车辆使用年限增长，修理和油料小幅增长；公务接待费支出0.00万元，占0.00%，与上年相比无变化，主要原因是：我单位无公务接待费支出。</w:t>
      </w:r>
    </w:p>
    <w:p w14:paraId="28E0ECC5">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14:paraId="7D8BA50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因公出国（境）费用0.00万元，开支内容</w:t>
      </w:r>
      <w:r>
        <w:rPr>
          <w:rFonts w:hint="eastAsia" w:ascii="仿宋_GB2312" w:eastAsia="仿宋_GB2312"/>
          <w:b w:val="0"/>
          <w:sz w:val="32"/>
          <w:szCs w:val="32"/>
          <w:lang w:val="en-US" w:eastAsia="zh-CN"/>
        </w:rPr>
        <w:t>包括：</w:t>
      </w:r>
      <w:r>
        <w:rPr>
          <w:rFonts w:hint="eastAsia" w:ascii="仿宋_GB2312" w:eastAsia="仿宋_GB2312"/>
          <w:b w:val="0"/>
          <w:sz w:val="32"/>
          <w:szCs w:val="32"/>
        </w:rPr>
        <w:t>本年度未发生因公出国（境）相关支出。</w:t>
      </w:r>
      <w:r>
        <w:rPr>
          <w:rFonts w:ascii="仿宋_GB2312" w:eastAsia="仿宋_GB2312"/>
          <w:b w:val="0"/>
          <w:sz w:val="32"/>
          <w:szCs w:val="32"/>
        </w:rPr>
        <w:t>单位全年安排的因公出国（境）团组0个，因公出国（境）0人次。</w:t>
      </w:r>
    </w:p>
    <w:p w14:paraId="68D7EA0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13.91万元，其中：公务用车购置费0.00万元，公务用车运行维护费13.91万元。公务用车运行维护费开支内容包括车辆保险、停车过路费、车辆加油、车辆维修等费用。公务用车购置数0辆，公务用车保有量9辆。国有资产占用情况中固定资产车辆9辆，与公务用车保有量差异原因是：与公务用车保有量无差异。</w:t>
      </w:r>
    </w:p>
    <w:p w14:paraId="177C269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本年度未发生</w:t>
      </w:r>
      <w:r>
        <w:rPr>
          <w:rFonts w:ascii="仿宋_GB2312" w:eastAsia="仿宋_GB2312"/>
          <w:b w:val="0"/>
          <w:sz w:val="32"/>
          <w:szCs w:val="32"/>
        </w:rPr>
        <w:t>公务接待费</w:t>
      </w:r>
      <w:r>
        <w:rPr>
          <w:rFonts w:hint="eastAsia" w:ascii="仿宋_GB2312" w:eastAsia="仿宋_GB2312"/>
          <w:b w:val="0"/>
          <w:sz w:val="32"/>
          <w:szCs w:val="32"/>
          <w:lang w:val="en-US" w:eastAsia="zh-CN"/>
        </w:rPr>
        <w:t>相关支出</w:t>
      </w:r>
      <w:r>
        <w:rPr>
          <w:rFonts w:ascii="仿宋_GB2312" w:eastAsia="仿宋_GB2312"/>
          <w:b w:val="0"/>
          <w:sz w:val="32"/>
          <w:szCs w:val="32"/>
        </w:rPr>
        <w:t>。</w:t>
      </w:r>
      <w:bookmarkStart w:id="0" w:name="_GoBack"/>
      <w:bookmarkEnd w:id="0"/>
      <w:r>
        <w:rPr>
          <w:rFonts w:ascii="仿宋_GB2312" w:eastAsia="仿宋_GB2312"/>
          <w:b w:val="0"/>
          <w:sz w:val="32"/>
          <w:szCs w:val="32"/>
        </w:rPr>
        <w:t>单位全年安排的国内公务接待0批次，0人次。</w:t>
      </w:r>
    </w:p>
    <w:p w14:paraId="04AC246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13.91万元，决算数13.91万元，预决算差异率0.00%，主要原因是：厉行节约，严格控制经费。其中：因公出国（境）费用全年预算数0.00万元，决算数0.00万元，预决算差异率0.00%，主要原因是：我单位无因公出国（境）费；公务用车购置费全年预算数0.00万元，决算数0.00万元，预决算差异率0.00%，主要原因是：我单位无公务用车购置费；公务用车运行维护费全年预算数13.91万元，决算数13.91万元，预决算差异率0.00%，主要原因是：厉行节约，严格控制经费；公务接待费全年预算数0.00万元，决算数0.00万元，预决算差异率0.00%，主要原因是：我单位无公务接待费。</w:t>
      </w:r>
    </w:p>
    <w:p w14:paraId="00E86A37">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14:paraId="7473418B">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14:paraId="0A3D268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2025年度新疆维吾尔自治区无线电监测中心（事业单位）公用经费支出27.71万元，比上年增加8.30万元，增长42.76%，主要原因是：水费、电费、取暖费、其他商品和服务支出等费用较上年增加。</w:t>
      </w:r>
    </w:p>
    <w:p w14:paraId="0F828896">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14:paraId="078DDAF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2025年度政府采购支出总额343.98万元，其中：政府采购货物支出1.80万元、政府采购工程支出45.22万元、政府采购服务支出296.96万元。</w:t>
      </w:r>
    </w:p>
    <w:p w14:paraId="42FD258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授予中小企业合同金额295.21万元，占政府采购支出总额的85.82%，其中：授予小微企业合同金额228.38万元，占政府采购支出总额的66.39%。</w:t>
      </w:r>
    </w:p>
    <w:p w14:paraId="1BC04FD5">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14:paraId="7D44046E">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截至2025年12月31日，房屋1,392.34平方米，价值661.12万元。车辆9辆，价值591.08万元，其中：副部（省）级及以上领导用车0辆、主要负责人用车0辆、机要通信用车0辆、应急保障用车0辆、执法执勤用车1辆、特种专业技术用车8辆、离退休干部服务用车0辆、其他用车0辆，其他用车主要是：我单位无其他用车;单价100万元（含）以上设备（不含车辆）28台（套）。</w:t>
      </w:r>
    </w:p>
    <w:p w14:paraId="5D062AA7">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p>
    <w:p w14:paraId="2FE5A8D4">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14:paraId="1F8C1FA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w:t>
      </w:r>
      <w:r>
        <w:rPr>
          <w:rFonts w:hint="eastAsia" w:ascii="仿宋_GB2312" w:eastAsia="仿宋_GB2312"/>
          <w:b w:val="0"/>
          <w:sz w:val="32"/>
          <w:szCs w:val="32"/>
          <w:lang w:val="en-US" w:eastAsia="zh-CN"/>
        </w:rPr>
        <w:t>5</w:t>
      </w:r>
      <w:r>
        <w:rPr>
          <w:rFonts w:ascii="仿宋_GB2312" w:eastAsia="仿宋_GB2312"/>
          <w:b w:val="0"/>
          <w:sz w:val="32"/>
          <w:szCs w:val="32"/>
        </w:rPr>
        <w:t>年度预算绩效评价项目0个，全年预算数0.00万元，全年执行数0.00万元。一是严格执行自治区工业和信息化厅制定预算绩效管理办法，日常对项目资金加快预算执行，确保绩效监控和绩效评价执行率，规范预算执行活动，确保预算执行的及时性、准确性和规范性，发挥资金的最大效用，取得了良好的绩效成果；二是各项工作实施及资金使用情况均在绩效目标设定时限完成，在项目经费的使用上，在保证各项任务顺利完成的同时，严格落实厉行节约的原则；三是做好项目保障工作，确保项目质量和效益，助力经济高质量发展，维护社会稳定和长治久安。发现的问题及原因：组织开展项目绩效评价工作时,因项目采购、合同执行周期长，预算执行率偏低，致使项目在绩效监控节点时，影响单位整体绩效评价总体分值。下一步改进措施：一是完善各项内控制度，建立上下协调、科室联动、层层抓落实的工作责任制，将绩效管理责任分解落实到具体科室、明确到具体责任人，确保每一笔资金花得安全、用得高效；二是加强对专项资金预算绩效监控力度，加强对专项资金预算执行力度的考核，确保项目执行按期完成；三是建立健全绩效管理与预算管理有机结合的工作机制，落实绩效评价结果成为预算编制的重要参考因素。具体附项目支出绩效自评表。</w:t>
      </w:r>
    </w:p>
    <w:p w14:paraId="15C8F2D7">
      <w:pPr>
        <w:widowControl/>
        <w:spacing w:before="0" w:beforeLines="0" w:beforeAutospacing="0" w:after="0" w:afterLines="0" w:afterAutospacing="0" w:line="240" w:lineRule="auto"/>
        <w:ind w:firstLine="640" w:firstLineChars="200"/>
        <w:jc w:val="both"/>
        <w:outlineLvl w:val="1"/>
        <w:rPr>
          <w:rFonts w:ascii="仿宋_GB2312" w:eastAsia="仿宋_GB2312"/>
          <w:b w:val="0"/>
          <w:sz w:val="32"/>
          <w:szCs w:val="32"/>
        </w:rPr>
      </w:pPr>
    </w:p>
    <w:p w14:paraId="0FE8BD35">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14:paraId="182E61D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本单位无其他需说明的事项。</w:t>
      </w:r>
    </w:p>
    <w:p w14:paraId="6C9583A6">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00EF85FB">
      <w:pPr>
        <w:widowControl/>
      </w:pPr>
      <w:r>
        <w:rPr>
          <w:b w:val="0"/>
          <w:sz w:val="0"/>
          <w:szCs w:val="0"/>
        </w:rPr>
        <w:br w:type="page"/>
      </w:r>
    </w:p>
    <w:p w14:paraId="03DF7F11">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14:paraId="1492271F">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14:paraId="15DBA2DD">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0516B7F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14:paraId="4A6069CC">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1944F450">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14:paraId="3798CF20">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14:paraId="70D1C149">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14:paraId="121C1F3D">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14:paraId="3DADB1F0">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14:paraId="6EE0A774">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14:paraId="48BDFE7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14:paraId="2B7B0790">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14:paraId="11C8EEF4">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14:paraId="71A7EDE3">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14:paraId="251ECE96">
      <w:pPr>
        <w:widowControl/>
        <w:spacing w:before="0" w:beforeLines="0" w:beforeAutospacing="0" w:after="0" w:afterLines="0" w:afterAutospacing="0" w:line="240" w:lineRule="auto"/>
        <w:ind w:firstLine="643"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14:paraId="5D6D3FA9">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2060E05A">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14:paraId="32687A98">
      <w:pPr>
        <w:widowControl/>
      </w:pPr>
      <w:r>
        <w:rPr>
          <w:b w:val="0"/>
          <w:sz w:val="0"/>
          <w:szCs w:val="0"/>
        </w:rPr>
        <w:br w:type="page"/>
      </w:r>
    </w:p>
    <w:p w14:paraId="16D8E3C9">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14:paraId="5A9E2608">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3EBF5FD6">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0BAB7F10">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0A9C609D">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109D1DD6">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002A0F80">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54B8210F">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756DB45E">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1989006D">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4011C"/>
    <w:rsid w:val="04644636"/>
    <w:rsid w:val="0866304B"/>
    <w:rsid w:val="0A915D50"/>
    <w:rsid w:val="159823BA"/>
    <w:rsid w:val="184A358E"/>
    <w:rsid w:val="1FAE7F0F"/>
    <w:rsid w:val="2E907DDA"/>
    <w:rsid w:val="482C207D"/>
    <w:rsid w:val="4926247E"/>
    <w:rsid w:val="4A6044BA"/>
    <w:rsid w:val="59E11495"/>
    <w:rsid w:val="6A2133F4"/>
    <w:rsid w:val="6D1F1741"/>
    <w:rsid w:val="71664AE3"/>
    <w:rsid w:val="728B493A"/>
    <w:rsid w:val="734F21AA"/>
    <w:rsid w:val="74E72A2D"/>
    <w:rsid w:val="7E406C7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Words>6047</Words>
  <Characters>6789</Characters>
  <TotalTime>0</TotalTime>
  <ScaleCrop>false</ScaleCrop>
  <LinksUpToDate>false</LinksUpToDate>
  <CharactersWithSpaces>6810</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2026-08-26T08:16:00Z</dcterms:created>
  <dc:creator>Administrator</dc:creator>
  <cp:lastModifiedBy>久溺深海</cp:lastModifiedBy>
  <dcterms:modified xsi:type="dcterms:W3CDTF">2026-08-31T04:31:57Z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D1B8D8BB072540449AE79837469FF5E0</vt:lpwstr>
  </property>
  <property fmtid="{D5CDD505-2E9C-101B-9397-08002B2CF9AE}" pid="4" name="KSOTemplateDocerSaveRecord">
    <vt:lpwstr>eyJoZGlkIjoiNmZkMjYyYzAxYjhmOGVmYjRhNDdiNWU4MjMwYTAyNjgiLCJ1c2VySWQiOiIyNTIzNDE3MTMifQ==</vt:lpwstr>
  </property>
</Properties>
</file>