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line="480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line="4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创新型中小企业评价标准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一、公告条件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7"/>
          <w:w w:val="9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评价得分达到60分以上（其中创新能力指标得分不低</w:t>
      </w:r>
      <w:r>
        <w:rPr>
          <w:rFonts w:hint="default" w:ascii="Times New Roman" w:hAnsi="Times New Roman" w:eastAsia="仿宋_GB2312" w:cs="Times New Roman"/>
          <w:color w:val="auto"/>
          <w:w w:val="99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-2"/>
          <w:w w:val="99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w w:val="99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4"/>
          <w:w w:val="99"/>
          <w:sz w:val="32"/>
          <w:szCs w:val="32"/>
        </w:rPr>
        <w:t>分、成长性指标及专业化指标得分均不低于</w:t>
      </w:r>
      <w:r>
        <w:rPr>
          <w:rFonts w:hint="default" w:ascii="Times New Roman" w:hAnsi="Times New Roman" w:eastAsia="仿宋_GB2312" w:cs="Times New Roman"/>
          <w:color w:val="auto"/>
          <w:spacing w:val="-7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"/>
          <w:w w:val="99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w w:val="99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7"/>
          <w:w w:val="99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pacing w:val="7"/>
          <w:w w:val="99"/>
          <w:sz w:val="32"/>
          <w:szCs w:val="32"/>
          <w:lang w:eastAsia="zh-CN"/>
        </w:rPr>
        <w:t>），或满足下列条件之一：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近三年内获得过国家级、省级科技奖励。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（三）拥有经认定的省部级以上研发机构。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（四）近三年新增股权融资总额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格机构投资者的实缴额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500万元以上。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二、评价指标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包括创新能力、成长性、专业化三类六个指标，评价结果依分值计算，满分为100分。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（一）创新能力指标（满分40分）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-7"/>
          <w:sz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color w:val="auto"/>
          <w:spacing w:val="-7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pacing w:val="-7"/>
          <w:sz w:val="32"/>
        </w:rPr>
        <w:t>与企业主导产品相关的有效知识产权数量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（满分20分）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Ⅰ类高价值知识产权1项以上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20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自主研发的Ⅰ类知识产权1项以上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15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Ⅰ类知识产权1项以上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10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Ⅱ类知识产权1项以上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5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无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-7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pacing w:val="-7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7"/>
        </w:rPr>
        <w:t>上年度研发费用总额占营业收入总额比重</w:t>
      </w:r>
      <w:r>
        <w:rPr>
          <w:rFonts w:hint="default" w:ascii="Times New Roman" w:hAnsi="Times New Roman" w:eastAsia="仿宋_GB2312" w:cs="Times New Roman"/>
          <w:color w:val="auto"/>
        </w:rPr>
        <w:t>（满分20分）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A.5%以上（20分）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3%-5%（15分）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2%-3%（10分）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D.1%-2%（5分）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E.1%以下（0分）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lang w:eastAsia="zh-CN"/>
        </w:rPr>
        <w:t>　　</w:t>
      </w:r>
      <w:r>
        <w:rPr>
          <w:rFonts w:hint="default" w:ascii="Times New Roman" w:hAnsi="Times New Roman" w:eastAsia="楷体_GB2312" w:cs="Times New Roman"/>
          <w:color w:val="auto"/>
        </w:rPr>
        <w:t>（二）成长性指标（满分30分）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上年度主营业务收入增长率（满分</w:t>
      </w:r>
      <w:r>
        <w:rPr>
          <w:rFonts w:hint="default" w:ascii="Times New Roman" w:hAnsi="Times New Roman" w:eastAsia="Times New Roman" w:cs="Times New Roman"/>
          <w:b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A.15%以上（20分）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10%-15%（15分）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C.5%-10%（10分）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D.0%-5%（5分）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E.0%以下（0分）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</w:rPr>
        <w:t>上年度资产负债率（满分</w:t>
      </w:r>
      <w:r>
        <w:rPr>
          <w:rFonts w:hint="default" w:ascii="Times New Roman" w:hAnsi="Times New Roman" w:eastAsia="Times New Roman" w:cs="Times New Roman"/>
          <w:color w:val="auto"/>
        </w:rPr>
        <w:t>10</w:t>
      </w:r>
      <w:r>
        <w:rPr>
          <w:rFonts w:hint="default" w:ascii="Times New Roman" w:hAnsi="Times New Roman" w:eastAsia="仿宋_GB2312" w:cs="Times New Roman"/>
          <w:color w:val="auto"/>
        </w:rPr>
        <w:t>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A.55%以下（10分）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55%-75%（5分）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D.75%以上（0分）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（三）专业化指标（满分30分）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主导产品所属领域情况（满分10分）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属于《战略性新兴产业分类》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10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bookmarkStart w:id="0" w:name="附件2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属于其他领域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5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</w:rPr>
        <w:t>上年度主营业务收入总额占营业收入总额比重</w:t>
      </w:r>
      <w:r>
        <w:rPr>
          <w:rFonts w:hint="default" w:ascii="Times New Roman" w:hAnsi="Times New Roman" w:eastAsia="仿宋_GB2312" w:cs="Times New Roman"/>
          <w:color w:val="auto"/>
          <w:spacing w:val="5"/>
        </w:rPr>
        <w:t>（</w:t>
      </w:r>
      <w:r>
        <w:rPr>
          <w:rFonts w:hint="default" w:ascii="Times New Roman" w:hAnsi="Times New Roman" w:eastAsia="仿宋_GB2312" w:cs="Times New Roman"/>
          <w:color w:val="auto"/>
        </w:rPr>
        <w:t>满分</w:t>
      </w:r>
      <w:r>
        <w:rPr>
          <w:rFonts w:hint="default" w:ascii="Times New Roman" w:hAnsi="Times New Roman" w:eastAsia="Times New Roman" w:cs="Times New Roman"/>
          <w:color w:val="auto"/>
        </w:rPr>
        <w:t>20</w:t>
      </w:r>
      <w:r>
        <w:rPr>
          <w:rFonts w:hint="default" w:ascii="Times New Roman" w:hAnsi="Times New Roman" w:eastAsia="仿宋_GB2312" w:cs="Times New Roman"/>
          <w:color w:val="auto"/>
        </w:rPr>
        <w:t>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A.70%以上（20分）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60%-70%（15分）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55%-60%（10分）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D.50%-55%（5分）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E.50%以下（0分）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4C09"/>
    <w:rsid w:val="2D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14"/>
      <w:ind w:left="1200" w:hanging="241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7">
    <w:name w:val="_Style 4"/>
    <w:basedOn w:val="1"/>
    <w:unhideWhenUsed/>
    <w:qFormat/>
    <w:uiPriority w:val="99"/>
    <w:pPr>
      <w:spacing w:before="214"/>
      <w:ind w:left="1200" w:hanging="24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2010-12-05T23:11:00Z</dcterms:created>
  <dc:creator>Administrator</dc:creator>
  <cp:lastModifiedBy>Administrator</cp:lastModifiedBy>
  <dcterms:modified xsi:type="dcterms:W3CDTF">2010-12-05T23:12:23Z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