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新疆维吾尔自治区工业和信息化培训中心（自治区计算机培训中心） 2023年度</w:t>
      </w:r>
    </w:p>
    <w:p>
      <w:pPr>
        <w:jc w:val="center"/>
        <w:rPr>
          <w:rFonts w:ascii="方正小标宋_GBK" w:hAnsi="宋体" w:eastAsia="方正小标宋_GBK"/>
          <w:sz w:val="44"/>
          <w:szCs w:val="44"/>
        </w:rPr>
      </w:pPr>
      <w:r>
        <w:rPr>
          <w:rFonts w:hint="eastAsia" w:ascii="方正小标宋_GBK" w:hAnsi="宋体" w:eastAsia="方正小标宋_GBK"/>
          <w:sz w:val="44"/>
          <w:szCs w:val="44"/>
        </w:rPr>
        <w:t>决算公开说明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keepNext w:val="0"/>
        <w:keepLines w:val="0"/>
        <w:pageBreakBefore w:val="0"/>
        <w:kinsoku/>
        <w:wordWrap/>
        <w:overflowPunct/>
        <w:topLinePunct w:val="0"/>
        <w:bidi w:val="0"/>
        <w:adjustRightInd/>
        <w:snapToGrid/>
        <w:spacing w:line="560" w:lineRule="atLeast"/>
        <w:jc w:val="center"/>
        <w:textAlignment w:val="auto"/>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atLeast"/>
        <w:ind w:firstLine="320" w:firstLineChars="100"/>
        <w:textAlignment w:val="auto"/>
        <w:rPr>
          <w:rFonts w:ascii="仿宋_GB2312" w:eastAsia="仿宋_GB2312"/>
          <w:sz w:val="32"/>
          <w:szCs w:val="32"/>
        </w:rPr>
      </w:pPr>
      <w:bookmarkStart w:id="4" w:name="_Toc31238"/>
      <w:bookmarkStart w:id="5" w:name="_Toc2151"/>
      <w:r>
        <w:rPr>
          <w:rFonts w:ascii="仿宋_GB2312" w:eastAsia="仿宋_GB2312"/>
          <w:sz w:val="32"/>
          <w:szCs w:val="32"/>
        </w:rPr>
        <w:t>　根据《关于印发&lt;新疆维吾尔自治区经济和信息化委员会（新疆维吾尔自治区国防科学技术工业办公室）所属事业单位分类改革方案&gt;的通知》（新事改办〔2014〕11 号）文件、《关于自治区工业和信息化厅所属事业单位机构编制调整的通知》（新党编委〔2019〕23号）文件，核定新疆维吾尔自治区工业和信息化培训中心（自治区计算机培训中心）为公益二类事业单位。主要职能是组织开展自治区计算机专业技术人才和企业经营管理人员培训工作；承担全区工业和信息化系统干部培训工作，为全区中小企业发展提供技术创新、市场开拓、信息交流、人才引进、业务培训、对外合作等服务</w:t>
      </w:r>
      <w:r>
        <w:rPr>
          <w:rFonts w:hint="eastAsia" w:ascii="仿宋_GB2312" w:eastAsia="仿宋_GB2312"/>
          <w:sz w:val="32"/>
          <w:szCs w:val="32"/>
        </w:rPr>
        <w:t>。</w:t>
      </w:r>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sz w:val="32"/>
          <w:szCs w:val="32"/>
        </w:rPr>
      </w:pPr>
      <w:bookmarkStart w:id="6" w:name="_Toc29374"/>
      <w:bookmarkStart w:id="7" w:name="_Toc3092"/>
      <w:r>
        <w:rPr>
          <w:rFonts w:hint="eastAsia" w:ascii="仿宋_GB2312" w:eastAsia="仿宋_GB2312"/>
          <w:sz w:val="32"/>
          <w:szCs w:val="32"/>
        </w:rPr>
        <w:t>新疆维吾尔自治区工业和信息</w:t>
      </w:r>
      <w:r>
        <w:rPr>
          <w:rFonts w:hint="eastAsia" w:ascii="仿宋_GB2312" w:eastAsia="仿宋_GB2312"/>
          <w:color w:val="000000" w:themeColor="text1"/>
          <w:sz w:val="32"/>
          <w:szCs w:val="32"/>
          <w14:textFill>
            <w14:solidFill>
              <w14:schemeClr w14:val="tx1"/>
            </w14:solidFill>
          </w14:textFill>
        </w:rPr>
        <w:t>化培训中心(自治区计算机培训中心)</w:t>
      </w:r>
      <w:r>
        <w:rPr>
          <w:rFonts w:ascii="仿宋_GB2312" w:eastAsia="仿宋_GB2312"/>
          <w:color w:val="000000" w:themeColor="text1"/>
          <w:sz w:val="32"/>
          <w:szCs w:val="32"/>
          <w14:textFill>
            <w14:solidFill>
              <w14:schemeClr w14:val="tx1"/>
            </w14:solidFill>
          </w14:textFill>
        </w:rPr>
        <w:t>202</w:t>
      </w:r>
      <w:r>
        <w:rPr>
          <w:rFonts w:hint="eastAsia" w:ascii="仿宋_GB2312" w:eastAsia="仿宋_GB2312"/>
          <w:color w:val="000000" w:themeColor="text1"/>
          <w:sz w:val="32"/>
          <w:szCs w:val="32"/>
          <w:lang w:val="en-US" w:eastAsia="zh-CN"/>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年度，实有人数</w:t>
      </w:r>
      <w:r>
        <w:rPr>
          <w:rFonts w:ascii="仿宋_GB2312" w:eastAsia="仿宋_GB2312"/>
          <w:color w:val="000000" w:themeColor="text1"/>
          <w:sz w:val="32"/>
          <w:szCs w:val="32"/>
          <w14:textFill>
            <w14:solidFill>
              <w14:schemeClr w14:val="tx1"/>
            </w14:solidFill>
          </w14:textFill>
        </w:rPr>
        <w:t>20</w:t>
      </w:r>
      <w:r>
        <w:rPr>
          <w:rFonts w:hint="eastAsia" w:ascii="仿宋_GB2312" w:eastAsia="仿宋_GB2312"/>
          <w:color w:val="000000" w:themeColor="text1"/>
          <w:sz w:val="32"/>
          <w:szCs w:val="32"/>
          <w14:textFill>
            <w14:solidFill>
              <w14:schemeClr w14:val="tx1"/>
            </w14:solidFill>
          </w14:textFill>
        </w:rPr>
        <w:t>人，其中：在职人</w:t>
      </w:r>
      <w:r>
        <w:rPr>
          <w:rFonts w:hint="eastAsia" w:ascii="仿宋_GB2312" w:eastAsia="仿宋_GB2312"/>
          <w:sz w:val="32"/>
          <w:szCs w:val="32"/>
        </w:rPr>
        <w:t>员</w:t>
      </w:r>
      <w:r>
        <w:rPr>
          <w:rFonts w:hint="eastAsia" w:ascii="仿宋_GB2312" w:eastAsia="仿宋_GB2312"/>
          <w:sz w:val="32"/>
          <w:szCs w:val="32"/>
          <w:lang w:val="en-US" w:eastAsia="zh-CN"/>
        </w:rPr>
        <w:t>7</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w:t>
      </w:r>
      <w:r>
        <w:rPr>
          <w:rFonts w:hint="eastAsia" w:ascii="仿宋_GB2312" w:eastAsia="仿宋_GB2312"/>
          <w:sz w:val="32"/>
          <w:szCs w:val="32"/>
          <w:lang w:val="en-US" w:eastAsia="zh-CN"/>
        </w:rPr>
        <w:t>3</w:t>
      </w:r>
      <w:r>
        <w:rPr>
          <w:rFonts w:hint="eastAsia" w:ascii="仿宋_GB2312" w:eastAsia="仿宋_GB2312"/>
          <w:sz w:val="32"/>
          <w:szCs w:val="32"/>
        </w:rPr>
        <w:t>人。</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w:t>
      </w:r>
      <w:r>
        <w:rPr>
          <w:rFonts w:hint="eastAsia" w:ascii="仿宋_GB2312" w:hAnsi="黑体" w:eastAsia="仿宋_GB2312" w:cs="宋体"/>
          <w:bCs/>
          <w:kern w:val="0"/>
          <w:sz w:val="32"/>
          <w:szCs w:val="32"/>
          <w:lang w:eastAsia="zh-CN"/>
        </w:rPr>
        <w:t>下设</w:t>
      </w:r>
      <w:r>
        <w:rPr>
          <w:rFonts w:hint="eastAsia" w:ascii="仿宋_GB2312" w:hAnsi="黑体" w:eastAsia="仿宋_GB2312" w:cs="宋体"/>
          <w:bCs/>
          <w:kern w:val="0"/>
          <w:sz w:val="32"/>
          <w:szCs w:val="32"/>
          <w:lang w:val="en-US" w:eastAsia="zh-CN"/>
        </w:rPr>
        <w:t>6个部门，分别是：</w:t>
      </w:r>
      <w:r>
        <w:rPr>
          <w:rFonts w:hint="eastAsia" w:ascii="仿宋_GB2312" w:hAnsi="黑体" w:eastAsia="仿宋_GB2312" w:cs="宋体"/>
          <w:bCs/>
          <w:kern w:val="0"/>
          <w:sz w:val="32"/>
          <w:szCs w:val="32"/>
        </w:rPr>
        <w:t>综合部、财务部、考试鉴定部、培训部、CAD部、工程项目部</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pacing w:val="0"/>
          <w:sz w:val="32"/>
          <w:szCs w:val="32"/>
          <w:highlight w:val="none"/>
          <w:lang w:eastAsia="zh-CN"/>
        </w:rPr>
        <w:t>2023年度收入总计540.82万元，</w:t>
      </w:r>
      <w:r>
        <w:rPr>
          <w:rFonts w:hint="eastAsia" w:ascii="仿宋_GB2312" w:eastAsia="仿宋_GB2312"/>
          <w:sz w:val="32"/>
          <w:szCs w:val="32"/>
        </w:rPr>
        <w:t>其中：本年收入合计540.82万元，使用非财政拨款结余0.00万元，年初结转和结余0.00万元。</w:t>
      </w:r>
    </w:p>
    <w:p>
      <w:pPr>
        <w:keepNext w:val="0"/>
        <w:keepLines w:val="0"/>
        <w:pageBreakBefore w:val="0"/>
        <w:kinsoku/>
        <w:wordWrap/>
        <w:overflowPunct/>
        <w:topLinePunct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2023年度支出总计540.82万元，</w:t>
      </w:r>
      <w:r>
        <w:rPr>
          <w:rFonts w:hint="eastAsia" w:ascii="仿宋_GB2312" w:eastAsia="仿宋_GB2312"/>
          <w:sz w:val="32"/>
          <w:szCs w:val="32"/>
        </w:rPr>
        <w:t>其中：本年支出合计492.88万元，结余分配47.94万元，年末结转和结余0.00万元。</w:t>
      </w:r>
    </w:p>
    <w:p>
      <w:pPr>
        <w:keepNext w:val="0"/>
        <w:keepLines w:val="0"/>
        <w:pageBreakBefore w:val="0"/>
        <w:kinsoku/>
        <w:wordWrap/>
        <w:overflowPunct/>
        <w:topLinePunct w:val="0"/>
        <w:bidi w:val="0"/>
        <w:adjustRightInd/>
        <w:snapToGrid/>
        <w:spacing w:line="560" w:lineRule="atLeast"/>
        <w:ind w:firstLine="642" w:firstLineChars="200"/>
        <w:jc w:val="both"/>
        <w:textAlignment w:val="auto"/>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lang w:val="zh-CN"/>
        </w:rPr>
        <w:t>增加136.83万元</w:t>
      </w:r>
      <w:r>
        <w:rPr>
          <w:rFonts w:hint="eastAsia" w:ascii="仿宋_GB2312" w:eastAsia="仿宋_GB2312"/>
          <w:sz w:val="32"/>
          <w:szCs w:val="32"/>
        </w:rPr>
        <w:t>，</w:t>
      </w:r>
      <w:r>
        <w:rPr>
          <w:rFonts w:hint="eastAsia" w:ascii="仿宋_GB2312" w:eastAsia="仿宋_GB2312"/>
          <w:sz w:val="32"/>
          <w:szCs w:val="32"/>
          <w:lang w:val="zh-CN"/>
        </w:rPr>
        <w:t>增长33.87%</w:t>
      </w:r>
      <w:r>
        <w:rPr>
          <w:rFonts w:hint="eastAsia" w:ascii="仿宋_GB2312" w:eastAsia="仿宋_GB2312"/>
          <w:sz w:val="32"/>
          <w:szCs w:val="32"/>
        </w:rPr>
        <w:t>，主要原因是：</w:t>
      </w:r>
      <w:r>
        <w:rPr>
          <w:rFonts w:hint="eastAsia" w:ascii="仿宋_GB2312" w:eastAsia="仿宋_GB2312"/>
          <w:sz w:val="32"/>
          <w:szCs w:val="32"/>
          <w:lang w:val="en-US" w:eastAsia="zh-CN"/>
        </w:rPr>
        <w:t>2023年度各项培训和考试业务均能正常开展，致使收入较上年增加</w:t>
      </w:r>
      <w:r>
        <w:rPr>
          <w:rFonts w:hint="eastAsia" w:ascii="仿宋_GB2312" w:eastAsia="仿宋_GB2312"/>
          <w:sz w:val="32"/>
          <w:szCs w:val="32"/>
        </w:rPr>
        <w:t>。</w:t>
      </w:r>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keepNext w:val="0"/>
        <w:keepLines w:val="0"/>
        <w:pageBreakBefore w:val="0"/>
        <w:kinsoku/>
        <w:wordWrap/>
        <w:overflowPunct/>
        <w:topLinePunct w:val="0"/>
        <w:bidi w:val="0"/>
        <w:adjustRightInd/>
        <w:snapToGrid/>
        <w:spacing w:line="560" w:lineRule="atLeast"/>
        <w:ind w:firstLine="642" w:firstLineChars="200"/>
        <w:jc w:val="left"/>
        <w:textAlignment w:val="auto"/>
        <w:rPr>
          <w:rFonts w:hint="eastAsia" w:ascii="仿宋_GB2312" w:eastAsia="仿宋_GB2312"/>
          <w:sz w:val="32"/>
          <w:szCs w:val="32"/>
        </w:rPr>
      </w:pPr>
      <w:r>
        <w:rPr>
          <w:rFonts w:hint="eastAsia" w:ascii="仿宋_GB2312" w:eastAsia="仿宋_GB2312"/>
          <w:b/>
          <w:bCs/>
          <w:sz w:val="32"/>
          <w:szCs w:val="32"/>
        </w:rPr>
        <w:t>本年收入540.82万元，</w:t>
      </w:r>
      <w:r>
        <w:rPr>
          <w:rFonts w:hint="eastAsia" w:ascii="仿宋_GB2312" w:eastAsia="仿宋_GB2312"/>
          <w:sz w:val="32"/>
          <w:szCs w:val="32"/>
        </w:rPr>
        <w:t>其中：财政拨款收入</w:t>
      </w:r>
      <w:r>
        <w:rPr>
          <w:rFonts w:hint="eastAsia" w:ascii="仿宋_GB2312" w:eastAsia="仿宋_GB2312"/>
          <w:sz w:val="32"/>
          <w:szCs w:val="32"/>
          <w:lang w:val="zh-CN"/>
        </w:rPr>
        <w:t>243.82</w:t>
      </w:r>
      <w:r>
        <w:rPr>
          <w:rFonts w:hint="eastAsia" w:ascii="仿宋_GB2312" w:eastAsia="仿宋_GB2312"/>
          <w:sz w:val="32"/>
          <w:szCs w:val="32"/>
        </w:rPr>
        <w:t>万元，占</w:t>
      </w:r>
      <w:r>
        <w:rPr>
          <w:rFonts w:hint="eastAsia" w:ascii="仿宋_GB2312" w:eastAsia="仿宋_GB2312"/>
          <w:sz w:val="32"/>
          <w:szCs w:val="32"/>
          <w:lang w:val="zh-CN"/>
        </w:rPr>
        <w:t>45.08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224.70</w:t>
      </w:r>
      <w:r>
        <w:rPr>
          <w:rFonts w:hint="eastAsia" w:ascii="仿宋_GB2312" w:eastAsia="仿宋_GB2312"/>
          <w:sz w:val="32"/>
          <w:szCs w:val="32"/>
        </w:rPr>
        <w:t>万元，占</w:t>
      </w:r>
      <w:r>
        <w:rPr>
          <w:rFonts w:hint="eastAsia" w:ascii="仿宋_GB2312" w:eastAsia="仿宋_GB2312"/>
          <w:sz w:val="32"/>
          <w:szCs w:val="32"/>
          <w:lang w:val="zh-CN"/>
        </w:rPr>
        <w:t>41.55</w:t>
      </w:r>
      <w:r>
        <w:rPr>
          <w:rFonts w:hint="eastAsia" w:ascii="仿宋_GB2312" w:eastAsia="仿宋_GB2312"/>
          <w:sz w:val="32"/>
          <w:szCs w:val="32"/>
        </w:rPr>
        <w:t>%；经营收入</w:t>
      </w:r>
      <w:r>
        <w:rPr>
          <w:rFonts w:hint="eastAsia" w:ascii="仿宋_GB2312" w:eastAsia="仿宋_GB2312"/>
          <w:sz w:val="32"/>
          <w:szCs w:val="32"/>
          <w:lang w:val="zh-CN"/>
        </w:rPr>
        <w:t>55.9</w:t>
      </w:r>
      <w:r>
        <w:rPr>
          <w:rFonts w:hint="eastAsia" w:ascii="仿宋_GB2312" w:eastAsia="仿宋_GB2312"/>
          <w:sz w:val="32"/>
          <w:szCs w:val="32"/>
          <w:lang w:val="en-US" w:eastAsia="zh-CN"/>
        </w:rPr>
        <w:t>8</w:t>
      </w:r>
      <w:r>
        <w:rPr>
          <w:rFonts w:hint="eastAsia" w:ascii="仿宋_GB2312" w:eastAsia="仿宋_GB2312"/>
          <w:sz w:val="32"/>
          <w:szCs w:val="32"/>
        </w:rPr>
        <w:t>万元，占</w:t>
      </w:r>
      <w:r>
        <w:rPr>
          <w:rFonts w:hint="eastAsia" w:ascii="仿宋_GB2312" w:eastAsia="仿宋_GB2312"/>
          <w:sz w:val="32"/>
          <w:szCs w:val="32"/>
          <w:lang w:val="zh-CN"/>
        </w:rPr>
        <w:t>10.35</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16.32</w:t>
      </w:r>
      <w:r>
        <w:rPr>
          <w:rFonts w:hint="eastAsia" w:ascii="仿宋_GB2312" w:eastAsia="仿宋_GB2312"/>
          <w:sz w:val="32"/>
          <w:szCs w:val="32"/>
        </w:rPr>
        <w:t>万元，占</w:t>
      </w:r>
      <w:r>
        <w:rPr>
          <w:rFonts w:hint="eastAsia" w:ascii="仿宋_GB2312" w:eastAsia="仿宋_GB2312"/>
          <w:sz w:val="32"/>
          <w:szCs w:val="32"/>
          <w:lang w:val="zh-CN"/>
        </w:rPr>
        <w:t>3.02</w:t>
      </w:r>
      <w:r>
        <w:rPr>
          <w:rFonts w:hint="eastAsia" w:ascii="仿宋_GB2312" w:eastAsia="仿宋_GB2312"/>
          <w:sz w:val="32"/>
          <w:szCs w:val="32"/>
        </w:rPr>
        <w:t>%。</w:t>
      </w:r>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keepNext w:val="0"/>
        <w:keepLines w:val="0"/>
        <w:pageBreakBefore w:val="0"/>
        <w:kinsoku/>
        <w:wordWrap/>
        <w:overflowPunct/>
        <w:topLinePunct w:val="0"/>
        <w:bidi w:val="0"/>
        <w:adjustRightInd/>
        <w:snapToGrid/>
        <w:spacing w:line="560" w:lineRule="atLeast"/>
        <w:ind w:firstLine="642" w:firstLineChars="200"/>
        <w:jc w:val="left"/>
        <w:textAlignment w:val="auto"/>
        <w:rPr>
          <w:rFonts w:hint="eastAsia" w:ascii="仿宋_GB2312" w:eastAsia="仿宋_GB2312"/>
          <w:sz w:val="32"/>
          <w:szCs w:val="32"/>
          <w:lang w:val="zh-CN"/>
        </w:rPr>
      </w:pPr>
      <w:r>
        <w:rPr>
          <w:rFonts w:hint="eastAsia" w:ascii="仿宋_GB2312" w:eastAsia="仿宋_GB2312"/>
          <w:b/>
          <w:bCs/>
          <w:sz w:val="32"/>
          <w:szCs w:val="32"/>
          <w:lang w:val="zh-CN"/>
        </w:rPr>
        <w:t>本年支出492.88万元，</w:t>
      </w:r>
      <w:r>
        <w:rPr>
          <w:rFonts w:hint="eastAsia" w:ascii="仿宋_GB2312" w:eastAsia="仿宋_GB2312"/>
          <w:sz w:val="32"/>
          <w:szCs w:val="32"/>
          <w:lang w:val="zh-CN"/>
        </w:rPr>
        <w:t>其中：基本支出238.66万元，占48.42%；项目支出229.86万元，占46.64%；上缴上级支出0.00万元，占0.00%；经营支出24.3</w:t>
      </w:r>
      <w:r>
        <w:rPr>
          <w:rFonts w:hint="eastAsia" w:ascii="仿宋_GB2312" w:eastAsia="仿宋_GB2312"/>
          <w:sz w:val="32"/>
          <w:szCs w:val="32"/>
          <w:lang w:val="en-US" w:eastAsia="zh-CN"/>
        </w:rPr>
        <w:t>6</w:t>
      </w:r>
      <w:r>
        <w:rPr>
          <w:rFonts w:hint="eastAsia" w:ascii="仿宋_GB2312" w:eastAsia="仿宋_GB2312"/>
          <w:sz w:val="32"/>
          <w:szCs w:val="32"/>
          <w:lang w:val="zh-CN"/>
        </w:rPr>
        <w:t>万元，占4.94%；对附属单位补助支出0.00万元，占0.00%。</w:t>
      </w:r>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2023年度财政拨款收入总计</w:t>
      </w:r>
      <w:r>
        <w:rPr>
          <w:rFonts w:hint="eastAsia" w:ascii="仿宋_GB2312" w:eastAsia="仿宋_GB2312"/>
          <w:b/>
          <w:bCs/>
          <w:sz w:val="32"/>
          <w:szCs w:val="32"/>
          <w:lang w:val="zh-CN"/>
        </w:rPr>
        <w:t>243.82</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243.82</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hint="eastAsia" w:ascii="仿宋_GB2312" w:eastAsia="仿宋_GB2312"/>
          <w:b/>
          <w:bCs/>
          <w:sz w:val="32"/>
          <w:szCs w:val="32"/>
          <w:lang w:val="zh-CN"/>
        </w:rPr>
        <w:t>243.82</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243.82</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atLeast"/>
        <w:ind w:firstLine="642" w:firstLineChars="200"/>
        <w:jc w:val="both"/>
        <w:textAlignment w:val="auto"/>
        <w:rPr>
          <w:rFonts w:hint="eastAsia"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lang w:val="zh-CN"/>
        </w:rPr>
        <w:t>增加88.35万元</w:t>
      </w:r>
      <w:r>
        <w:rPr>
          <w:rFonts w:hint="eastAsia" w:ascii="仿宋_GB2312" w:eastAsia="仿宋_GB2312"/>
          <w:sz w:val="32"/>
          <w:szCs w:val="32"/>
        </w:rPr>
        <w:t>，</w:t>
      </w:r>
      <w:r>
        <w:rPr>
          <w:rFonts w:hint="eastAsia" w:ascii="仿宋_GB2312" w:eastAsia="仿宋_GB2312"/>
          <w:sz w:val="32"/>
          <w:szCs w:val="32"/>
          <w:lang w:val="zh-CN"/>
        </w:rPr>
        <w:t>增长56.8</w:t>
      </w:r>
      <w:r>
        <w:rPr>
          <w:rFonts w:hint="eastAsia" w:ascii="仿宋_GB2312" w:eastAsia="仿宋_GB2312"/>
          <w:sz w:val="32"/>
          <w:szCs w:val="32"/>
          <w:lang w:val="en-US" w:eastAsia="zh-CN"/>
        </w:rPr>
        <w:t>3</w:t>
      </w:r>
      <w:r>
        <w:rPr>
          <w:rFonts w:hint="eastAsia" w:ascii="仿宋_GB2312" w:eastAsia="仿宋_GB2312"/>
          <w:sz w:val="32"/>
          <w:szCs w:val="32"/>
          <w:lang w:val="zh-CN"/>
        </w:rPr>
        <w:t>%，</w:t>
      </w:r>
      <w:r>
        <w:rPr>
          <w:rFonts w:hint="eastAsia" w:ascii="仿宋_GB2312" w:eastAsia="仿宋_GB2312"/>
          <w:sz w:val="32"/>
          <w:szCs w:val="32"/>
        </w:rPr>
        <w:t>主要原因：</w:t>
      </w:r>
      <w:r>
        <w:rPr>
          <w:rFonts w:hint="eastAsia" w:ascii="仿宋_GB2312" w:eastAsia="仿宋_GB2312"/>
          <w:sz w:val="32"/>
          <w:szCs w:val="32"/>
          <w:lang w:eastAsia="zh-CN"/>
        </w:rPr>
        <w:t>一是</w:t>
      </w:r>
      <w:r>
        <w:rPr>
          <w:rFonts w:hint="eastAsia" w:ascii="仿宋_GB2312" w:eastAsia="仿宋_GB2312"/>
          <w:sz w:val="32"/>
          <w:szCs w:val="32"/>
          <w:lang w:val="en-US" w:eastAsia="zh-CN"/>
        </w:rPr>
        <w:t>2023年人员经费增长24.85万元；二是</w:t>
      </w:r>
      <w:r>
        <w:rPr>
          <w:rFonts w:hint="eastAsia" w:ascii="仿宋_GB2312" w:eastAsia="仿宋_GB2312"/>
          <w:sz w:val="32"/>
          <w:szCs w:val="32"/>
        </w:rPr>
        <w:t>2023年新增一般公共预算项目计算机技术与软件专业技术资格水平新疆区考试收费项目63.5万元</w:t>
      </w:r>
      <w:r>
        <w:rPr>
          <w:rFonts w:hint="eastAsia" w:ascii="仿宋_GB2312" w:eastAsia="仿宋_GB2312"/>
          <w:sz w:val="32"/>
          <w:szCs w:val="32"/>
          <w:lang w:val="en-US" w:eastAsia="zh-CN"/>
        </w:rPr>
        <w:t>，导致收入增长。</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241.83</w:t>
      </w:r>
      <w:r>
        <w:rPr>
          <w:rFonts w:hint="eastAsia" w:ascii="仿宋_GB2312" w:eastAsia="仿宋_GB2312"/>
          <w:sz w:val="32"/>
          <w:szCs w:val="32"/>
        </w:rPr>
        <w:t>万元，决算数</w:t>
      </w:r>
      <w:r>
        <w:rPr>
          <w:rFonts w:hint="eastAsia" w:ascii="仿宋_GB2312" w:eastAsia="仿宋_GB2312"/>
          <w:sz w:val="32"/>
          <w:szCs w:val="32"/>
          <w:lang w:val="zh-CN"/>
        </w:rPr>
        <w:t>243.82</w:t>
      </w:r>
      <w:r>
        <w:rPr>
          <w:rFonts w:hint="eastAsia" w:ascii="仿宋_GB2312" w:eastAsia="仿宋_GB2312"/>
          <w:sz w:val="32"/>
          <w:szCs w:val="32"/>
        </w:rPr>
        <w:t>万元，预决算差异率0.82%，主要原因是：</w:t>
      </w:r>
      <w:r>
        <w:rPr>
          <w:rFonts w:hint="eastAsia" w:ascii="仿宋_GB2312" w:eastAsia="仿宋_GB2312"/>
          <w:sz w:val="32"/>
          <w:szCs w:val="32"/>
          <w:lang w:val="en-US" w:eastAsia="zh-CN"/>
        </w:rPr>
        <w:t>2023年度</w:t>
      </w:r>
      <w:r>
        <w:rPr>
          <w:rFonts w:hint="eastAsia" w:ascii="仿宋_GB2312" w:eastAsia="仿宋_GB2312"/>
          <w:sz w:val="32"/>
          <w:szCs w:val="32"/>
          <w:lang w:eastAsia="zh-CN"/>
        </w:rPr>
        <w:t>人员经费追加</w:t>
      </w:r>
      <w:r>
        <w:rPr>
          <w:rFonts w:hint="eastAsia" w:ascii="仿宋_GB2312" w:eastAsia="仿宋_GB2312"/>
          <w:sz w:val="32"/>
          <w:szCs w:val="32"/>
          <w:lang w:val="en-US" w:eastAsia="zh-CN"/>
        </w:rPr>
        <w:t>1.99万元</w:t>
      </w:r>
      <w:r>
        <w:rPr>
          <w:rFonts w:hint="eastAsia" w:ascii="仿宋_GB2312" w:eastAsia="仿宋_GB2312"/>
          <w:sz w:val="32"/>
          <w:szCs w:val="32"/>
        </w:rPr>
        <w:t>。</w:t>
      </w:r>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keepNext w:val="0"/>
        <w:keepLines w:val="0"/>
        <w:pageBreakBefore w:val="0"/>
        <w:kinsoku/>
        <w:wordWrap/>
        <w:overflowPunct/>
        <w:topLinePunct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2023年度一般公共预算财政拨款支出243.82万元，</w:t>
      </w:r>
      <w:r>
        <w:rPr>
          <w:rFonts w:hint="eastAsia" w:ascii="仿宋_GB2312" w:eastAsia="仿宋_GB2312"/>
          <w:sz w:val="32"/>
          <w:szCs w:val="32"/>
        </w:rPr>
        <w:t>占本年支出合计的</w:t>
      </w:r>
      <w:r>
        <w:rPr>
          <w:rFonts w:hint="eastAsia" w:ascii="仿宋_GB2312" w:eastAsia="仿宋_GB2312"/>
          <w:sz w:val="32"/>
          <w:szCs w:val="32"/>
          <w:lang w:val="zh-CN"/>
        </w:rPr>
        <w:t>49.47%</w:t>
      </w:r>
      <w:r>
        <w:rPr>
          <w:rFonts w:hint="eastAsia" w:ascii="仿宋_GB2312" w:eastAsia="仿宋_GB2312"/>
          <w:sz w:val="32"/>
          <w:szCs w:val="32"/>
        </w:rPr>
        <w:t>。</w:t>
      </w:r>
      <w:r>
        <w:rPr>
          <w:rFonts w:hint="eastAsia" w:ascii="仿宋_GB2312" w:eastAsia="仿宋_GB2312"/>
          <w:b/>
          <w:bCs/>
          <w:sz w:val="32"/>
          <w:szCs w:val="32"/>
        </w:rPr>
        <w:t>与上年相比，</w:t>
      </w:r>
      <w:r>
        <w:rPr>
          <w:rFonts w:hint="eastAsia" w:ascii="仿宋_GB2312" w:eastAsia="仿宋_GB2312"/>
          <w:sz w:val="32"/>
          <w:szCs w:val="32"/>
          <w:lang w:val="zh-CN"/>
        </w:rPr>
        <w:t>增加88.35万元</w:t>
      </w:r>
      <w:r>
        <w:rPr>
          <w:rFonts w:hint="eastAsia" w:ascii="仿宋_GB2312" w:eastAsia="仿宋_GB2312"/>
          <w:sz w:val="32"/>
          <w:szCs w:val="32"/>
        </w:rPr>
        <w:t>，</w:t>
      </w:r>
      <w:r>
        <w:rPr>
          <w:rFonts w:hint="eastAsia" w:ascii="仿宋_GB2312" w:eastAsia="仿宋_GB2312"/>
          <w:sz w:val="32"/>
          <w:szCs w:val="32"/>
          <w:lang w:val="zh-CN"/>
        </w:rPr>
        <w:t>增长56.8</w:t>
      </w:r>
      <w:r>
        <w:rPr>
          <w:rFonts w:hint="eastAsia" w:ascii="仿宋_GB2312" w:eastAsia="仿宋_GB2312"/>
          <w:sz w:val="32"/>
          <w:szCs w:val="32"/>
          <w:lang w:val="en-US" w:eastAsia="zh-CN"/>
        </w:rPr>
        <w:t>3</w:t>
      </w:r>
      <w:r>
        <w:rPr>
          <w:rFonts w:hint="eastAsia" w:ascii="仿宋_GB2312" w:eastAsia="仿宋_GB2312"/>
          <w:sz w:val="32"/>
          <w:szCs w:val="32"/>
          <w:lang w:val="zh-CN"/>
        </w:rPr>
        <w:t>%，</w:t>
      </w:r>
      <w:r>
        <w:rPr>
          <w:rFonts w:hint="eastAsia" w:ascii="仿宋_GB2312" w:eastAsia="仿宋_GB2312"/>
          <w:sz w:val="32"/>
          <w:szCs w:val="32"/>
        </w:rPr>
        <w:t>主要原因：</w:t>
      </w:r>
      <w:r>
        <w:rPr>
          <w:rFonts w:hint="eastAsia" w:ascii="仿宋_GB2312" w:eastAsia="仿宋_GB2312"/>
          <w:sz w:val="32"/>
          <w:szCs w:val="32"/>
          <w:lang w:eastAsia="zh-CN"/>
        </w:rPr>
        <w:t>一是</w:t>
      </w:r>
      <w:r>
        <w:rPr>
          <w:rFonts w:hint="eastAsia" w:ascii="仿宋_GB2312" w:eastAsia="仿宋_GB2312"/>
          <w:sz w:val="32"/>
          <w:szCs w:val="32"/>
          <w:lang w:val="en-US" w:eastAsia="zh-CN"/>
        </w:rPr>
        <w:t>2023年人员经费增长24.85万元；二是</w:t>
      </w:r>
      <w:r>
        <w:rPr>
          <w:rFonts w:hint="eastAsia" w:ascii="仿宋_GB2312" w:eastAsia="仿宋_GB2312"/>
          <w:sz w:val="32"/>
          <w:szCs w:val="32"/>
        </w:rPr>
        <w:t>2023年新增一般公共预算项目计算机技术与软件专业技术资格水平新疆区考试收费项目63.5万元。</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241.83</w:t>
      </w:r>
      <w:r>
        <w:rPr>
          <w:rFonts w:hint="eastAsia" w:ascii="仿宋_GB2312" w:eastAsia="仿宋_GB2312"/>
          <w:sz w:val="32"/>
          <w:szCs w:val="32"/>
        </w:rPr>
        <w:t>万元，决算数</w:t>
      </w:r>
      <w:r>
        <w:rPr>
          <w:rFonts w:hint="eastAsia" w:ascii="仿宋_GB2312" w:eastAsia="仿宋_GB2312"/>
          <w:sz w:val="32"/>
          <w:szCs w:val="32"/>
          <w:lang w:val="zh-CN"/>
        </w:rPr>
        <w:t>243.82</w:t>
      </w:r>
      <w:r>
        <w:rPr>
          <w:rFonts w:hint="eastAsia" w:ascii="仿宋_GB2312" w:eastAsia="仿宋_GB2312"/>
          <w:sz w:val="32"/>
          <w:szCs w:val="32"/>
        </w:rPr>
        <w:t>万元，预决算差异率</w:t>
      </w:r>
      <w:r>
        <w:rPr>
          <w:rFonts w:hint="eastAsia" w:ascii="仿宋_GB2312" w:eastAsia="仿宋_GB2312"/>
          <w:sz w:val="32"/>
          <w:szCs w:val="32"/>
          <w:lang w:val="zh-CN"/>
        </w:rPr>
        <w:t>0.82%</w:t>
      </w:r>
      <w:r>
        <w:rPr>
          <w:rFonts w:hint="eastAsia" w:ascii="仿宋_GB2312" w:eastAsia="仿宋_GB2312"/>
          <w:sz w:val="32"/>
          <w:szCs w:val="32"/>
        </w:rPr>
        <w:t>，主要原因是：</w:t>
      </w:r>
      <w:r>
        <w:rPr>
          <w:rFonts w:hint="eastAsia" w:ascii="仿宋_GB2312" w:eastAsia="仿宋_GB2312"/>
          <w:sz w:val="32"/>
          <w:szCs w:val="32"/>
          <w:lang w:val="en-US" w:eastAsia="zh-CN"/>
        </w:rPr>
        <w:t>2023年度</w:t>
      </w:r>
      <w:r>
        <w:rPr>
          <w:rFonts w:hint="eastAsia" w:ascii="仿宋_GB2312" w:eastAsia="仿宋_GB2312"/>
          <w:sz w:val="32"/>
          <w:szCs w:val="32"/>
          <w:lang w:eastAsia="zh-CN"/>
        </w:rPr>
        <w:t>人员经费追加</w:t>
      </w:r>
      <w:r>
        <w:rPr>
          <w:rFonts w:hint="eastAsia" w:ascii="仿宋_GB2312" w:eastAsia="仿宋_GB2312"/>
          <w:sz w:val="32"/>
          <w:szCs w:val="32"/>
          <w:lang w:val="en-US" w:eastAsia="zh-CN"/>
        </w:rPr>
        <w:t>1.99万元</w:t>
      </w:r>
      <w:r>
        <w:rPr>
          <w:rFonts w:hint="eastAsia" w:ascii="仿宋_GB2312" w:eastAsia="仿宋_GB2312"/>
          <w:sz w:val="32"/>
          <w:szCs w:val="32"/>
        </w:rPr>
        <w:t>。</w:t>
      </w:r>
    </w:p>
    <w:p>
      <w:pPr>
        <w:keepNext w:val="0"/>
        <w:keepLines w:val="0"/>
        <w:pageBreakBefore w:val="0"/>
        <w:numPr>
          <w:ilvl w:val="0"/>
          <w:numId w:val="1"/>
        </w:numPr>
        <w:kinsoku/>
        <w:wordWrap/>
        <w:overflowPunct/>
        <w:topLinePunct w:val="0"/>
        <w:bidi w:val="0"/>
        <w:adjustRightInd/>
        <w:snapToGrid/>
        <w:spacing w:line="560" w:lineRule="atLeast"/>
        <w:ind w:firstLine="640" w:firstLineChars="200"/>
        <w:jc w:val="left"/>
        <w:textAlignment w:val="auto"/>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keepNext w:val="0"/>
        <w:keepLines w:val="0"/>
        <w:pageBreakBefore w:val="0"/>
        <w:widowControl/>
        <w:kinsoku/>
        <w:wordWrap/>
        <w:overflowPunct/>
        <w:topLinePunct w:val="0"/>
        <w:bidi w:val="0"/>
        <w:adjustRightInd/>
        <w:snapToGrid/>
        <w:spacing w:before="0" w:beforeAutospacing="0" w:after="0" w:afterAutospacing="0" w:line="560" w:lineRule="atLeast"/>
        <w:ind w:firstLine="640" w:firstLineChars="200"/>
        <w:textAlignment w:val="auto"/>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167.63</w:t>
      </w:r>
      <w:r>
        <w:rPr>
          <w:rFonts w:ascii="仿宋_GB2312" w:eastAsia="仿宋_GB2312"/>
          <w:kern w:val="2"/>
          <w:sz w:val="32"/>
          <w:szCs w:val="32"/>
          <w:lang w:val="zh-CN"/>
        </w:rPr>
        <w:t>万元，占</w:t>
      </w:r>
      <w:r>
        <w:rPr>
          <w:rFonts w:hint="eastAsia" w:ascii="仿宋_GB2312" w:eastAsia="仿宋_GB2312"/>
          <w:kern w:val="2"/>
          <w:sz w:val="32"/>
          <w:szCs w:val="32"/>
          <w:lang w:val="zh-CN"/>
        </w:rPr>
        <w:t>68.75</w:t>
      </w:r>
      <w:r>
        <w:rPr>
          <w:rFonts w:ascii="仿宋_GB2312" w:eastAsia="仿宋_GB2312"/>
          <w:kern w:val="2"/>
          <w:sz w:val="32"/>
          <w:szCs w:val="32"/>
          <w:lang w:val="zh-CN"/>
        </w:rPr>
        <w:t>%；</w:t>
      </w:r>
    </w:p>
    <w:p>
      <w:pPr>
        <w:pStyle w:val="8"/>
        <w:keepNext w:val="0"/>
        <w:keepLines w:val="0"/>
        <w:pageBreakBefore w:val="0"/>
        <w:widowControl/>
        <w:kinsoku/>
        <w:wordWrap/>
        <w:overflowPunct/>
        <w:topLinePunct w:val="0"/>
        <w:bidi w:val="0"/>
        <w:adjustRightInd/>
        <w:snapToGrid/>
        <w:spacing w:before="0" w:beforeAutospacing="0" w:after="0" w:afterAutospacing="0" w:line="560" w:lineRule="atLeast"/>
        <w:ind w:firstLine="640" w:firstLineChars="200"/>
        <w:textAlignment w:val="auto"/>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54.63</w:t>
      </w:r>
      <w:r>
        <w:rPr>
          <w:rFonts w:ascii="仿宋_GB2312" w:eastAsia="仿宋_GB2312"/>
          <w:kern w:val="2"/>
          <w:sz w:val="32"/>
          <w:szCs w:val="32"/>
          <w:lang w:val="zh-CN"/>
        </w:rPr>
        <w:t>万元，占</w:t>
      </w:r>
      <w:r>
        <w:rPr>
          <w:rFonts w:hint="eastAsia" w:ascii="仿宋_GB2312" w:eastAsia="仿宋_GB2312"/>
          <w:kern w:val="2"/>
          <w:sz w:val="32"/>
          <w:szCs w:val="32"/>
          <w:lang w:val="zh-CN"/>
        </w:rPr>
        <w:t>22.41</w:t>
      </w:r>
      <w:r>
        <w:rPr>
          <w:rFonts w:ascii="仿宋_GB2312" w:eastAsia="仿宋_GB2312"/>
          <w:kern w:val="2"/>
          <w:sz w:val="32"/>
          <w:szCs w:val="32"/>
          <w:lang w:val="zh-CN"/>
        </w:rPr>
        <w:t>%；</w:t>
      </w:r>
    </w:p>
    <w:p>
      <w:pPr>
        <w:pStyle w:val="8"/>
        <w:keepNext w:val="0"/>
        <w:keepLines w:val="0"/>
        <w:pageBreakBefore w:val="0"/>
        <w:widowControl/>
        <w:kinsoku/>
        <w:wordWrap/>
        <w:overflowPunct/>
        <w:topLinePunct w:val="0"/>
        <w:bidi w:val="0"/>
        <w:adjustRightInd/>
        <w:snapToGrid/>
        <w:spacing w:before="0" w:beforeAutospacing="0" w:after="0" w:afterAutospacing="0" w:line="560" w:lineRule="atLeast"/>
        <w:ind w:firstLine="640" w:firstLineChars="200"/>
        <w:textAlignment w:val="auto"/>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12.08</w:t>
      </w:r>
      <w:r>
        <w:rPr>
          <w:rFonts w:ascii="仿宋_GB2312" w:eastAsia="仿宋_GB2312"/>
          <w:kern w:val="2"/>
          <w:sz w:val="32"/>
          <w:szCs w:val="32"/>
          <w:lang w:val="zh-CN"/>
        </w:rPr>
        <w:t>万元，占</w:t>
      </w:r>
      <w:r>
        <w:rPr>
          <w:rFonts w:hint="eastAsia" w:ascii="仿宋_GB2312" w:eastAsia="仿宋_GB2312"/>
          <w:kern w:val="2"/>
          <w:sz w:val="32"/>
          <w:szCs w:val="32"/>
          <w:lang w:val="zh-CN"/>
        </w:rPr>
        <w:t>4.95</w:t>
      </w:r>
      <w:r>
        <w:rPr>
          <w:rFonts w:ascii="仿宋_GB2312" w:eastAsia="仿宋_GB2312"/>
          <w:kern w:val="2"/>
          <w:sz w:val="32"/>
          <w:szCs w:val="32"/>
          <w:lang w:val="zh-CN"/>
        </w:rPr>
        <w:t>%；</w:t>
      </w:r>
    </w:p>
    <w:p>
      <w:pPr>
        <w:pStyle w:val="8"/>
        <w:keepNext w:val="0"/>
        <w:keepLines w:val="0"/>
        <w:pageBreakBefore w:val="0"/>
        <w:widowControl/>
        <w:kinsoku/>
        <w:wordWrap/>
        <w:overflowPunct/>
        <w:topLinePunct w:val="0"/>
        <w:bidi w:val="0"/>
        <w:adjustRightInd/>
        <w:snapToGrid/>
        <w:spacing w:before="0" w:beforeAutospacing="0" w:after="0" w:afterAutospacing="0" w:line="560" w:lineRule="atLeast"/>
        <w:ind w:firstLine="640" w:firstLineChars="200"/>
        <w:textAlignment w:val="auto"/>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9.4</w:t>
      </w:r>
      <w:r>
        <w:rPr>
          <w:rFonts w:hint="eastAsia" w:ascii="仿宋_GB2312" w:eastAsia="仿宋_GB2312"/>
          <w:kern w:val="2"/>
          <w:sz w:val="32"/>
          <w:szCs w:val="32"/>
          <w:lang w:val="en-US" w:eastAsia="zh-CN"/>
        </w:rPr>
        <w:t>8</w:t>
      </w:r>
      <w:r>
        <w:rPr>
          <w:rFonts w:ascii="仿宋_GB2312" w:eastAsia="仿宋_GB2312"/>
          <w:kern w:val="2"/>
          <w:sz w:val="32"/>
          <w:szCs w:val="32"/>
          <w:lang w:val="zh-CN"/>
        </w:rPr>
        <w:t>万元，占</w:t>
      </w:r>
      <w:r>
        <w:rPr>
          <w:rFonts w:hint="eastAsia" w:ascii="仿宋_GB2312" w:eastAsia="仿宋_GB2312"/>
          <w:kern w:val="2"/>
          <w:sz w:val="32"/>
          <w:szCs w:val="32"/>
          <w:lang w:val="zh-CN"/>
        </w:rPr>
        <w:t>3.89</w:t>
      </w:r>
      <w:r>
        <w:rPr>
          <w:rFonts w:ascii="仿宋_GB2312" w:eastAsia="仿宋_GB2312"/>
          <w:kern w:val="2"/>
          <w:sz w:val="32"/>
          <w:szCs w:val="32"/>
          <w:lang w:val="zh-CN"/>
        </w:rPr>
        <w:t>%；</w:t>
      </w:r>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Times New Roman" w:eastAsia="仿宋_GB2312" w:cs="Times New Roman"/>
          <w:kern w:val="2"/>
          <w:sz w:val="32"/>
          <w:szCs w:val="32"/>
          <w:lang w:val="zh-CN" w:eastAsia="zh-CN" w:bidi="ar-SA"/>
        </w:rPr>
      </w:pPr>
      <w:r>
        <w:rPr>
          <w:rFonts w:hint="eastAsia" w:eastAsia="仿宋_GB2312"/>
          <w:sz w:val="32"/>
          <w:szCs w:val="32"/>
        </w:rPr>
        <w:t>1.教育</w:t>
      </w:r>
      <w:r>
        <w:rPr>
          <w:rFonts w:hint="eastAsia" w:ascii="仿宋_GB2312" w:hAnsi="Times New Roman" w:eastAsia="仿宋_GB2312" w:cs="Times New Roman"/>
          <w:kern w:val="2"/>
          <w:sz w:val="32"/>
          <w:szCs w:val="32"/>
          <w:lang w:val="zh-CN" w:eastAsia="zh-CN" w:bidi="ar-SA"/>
        </w:rPr>
        <w:t>支出（类）其他教育支出（款）其他教育支出（项）:支出决算数为167.63万元，比上年决算增加67.25万元，增长67.00%，主要原因：一是在职人员调增基本工资、绩效奖金纳入工资项</w:t>
      </w:r>
      <w:r>
        <w:rPr>
          <w:rFonts w:hint="eastAsia" w:ascii="仿宋_GB2312" w:hAnsi="Times New Roman" w:eastAsia="仿宋_GB2312" w:cs="Times New Roman"/>
          <w:kern w:val="2"/>
          <w:sz w:val="32"/>
          <w:szCs w:val="32"/>
          <w:lang w:val="en-US" w:eastAsia="zh-CN" w:bidi="ar-SA"/>
        </w:rPr>
        <w:t>3.75万元；二是</w:t>
      </w:r>
      <w:r>
        <w:rPr>
          <w:rFonts w:hint="eastAsia" w:ascii="仿宋_GB2312" w:hAnsi="Times New Roman" w:eastAsia="仿宋_GB2312" w:cs="Times New Roman"/>
          <w:kern w:val="2"/>
          <w:sz w:val="32"/>
          <w:szCs w:val="32"/>
          <w:lang w:val="zh-CN" w:eastAsia="zh-CN" w:bidi="ar-SA"/>
        </w:rPr>
        <w:t>2023 年新增计算机技术与软件专业技术资格水平新疆区考试收费项目</w:t>
      </w:r>
      <w:r>
        <w:rPr>
          <w:rFonts w:hint="eastAsia" w:ascii="仿宋_GB2312" w:hAnsi="Times New Roman" w:eastAsia="仿宋_GB2312" w:cs="Times New Roman"/>
          <w:kern w:val="2"/>
          <w:sz w:val="32"/>
          <w:szCs w:val="32"/>
          <w:lang w:val="en-US" w:eastAsia="zh-CN" w:bidi="ar-SA"/>
        </w:rPr>
        <w:t>63.5万元</w:t>
      </w:r>
      <w:r>
        <w:rPr>
          <w:rFonts w:hint="eastAsia" w:ascii="仿宋_GB2312" w:hAnsi="Times New Roman" w:eastAsia="仿宋_GB2312" w:cs="Times New Roman"/>
          <w:kern w:val="2"/>
          <w:sz w:val="32"/>
          <w:szCs w:val="32"/>
          <w:lang w:val="zh-CN" w:eastAsia="zh-CN" w:bidi="ar-SA"/>
        </w:rPr>
        <w:t>，导致费用增加。</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Times New Roman" w:eastAsia="仿宋_GB2312" w:cs="Times New Roman"/>
          <w:kern w:val="2"/>
          <w:sz w:val="32"/>
          <w:szCs w:val="32"/>
          <w:lang w:val="zh-CN" w:eastAsia="zh-CN" w:bidi="ar-SA"/>
        </w:rPr>
      </w:pPr>
      <w:r>
        <w:rPr>
          <w:rFonts w:hint="eastAsia" w:ascii="仿宋_GB2312" w:eastAsia="仿宋_GB2312" w:cs="Times New Roman"/>
          <w:kern w:val="2"/>
          <w:sz w:val="32"/>
          <w:szCs w:val="32"/>
          <w:lang w:val="en-US" w:eastAsia="zh-CN" w:bidi="ar-SA"/>
        </w:rPr>
        <w:t>2</w:t>
      </w:r>
      <w:r>
        <w:rPr>
          <w:rFonts w:hint="eastAsia" w:ascii="仿宋_GB2312" w:hAnsi="Times New Roman" w:eastAsia="仿宋_GB2312" w:cs="Times New Roman"/>
          <w:kern w:val="2"/>
          <w:sz w:val="32"/>
          <w:szCs w:val="32"/>
          <w:lang w:val="zh-CN" w:eastAsia="zh-CN" w:bidi="ar-SA"/>
        </w:rPr>
        <w:t>.卫生健康支出（类）行政事业单位医疗（款）事业单位医疗（项）:支出决算数为6.55万元，比上年决算增加0.38万元，增长6.1</w:t>
      </w:r>
      <w:r>
        <w:rPr>
          <w:rFonts w:hint="eastAsia" w:ascii="仿宋_GB2312" w:eastAsia="仿宋_GB2312" w:cs="Times New Roman"/>
          <w:kern w:val="2"/>
          <w:sz w:val="32"/>
          <w:szCs w:val="32"/>
          <w:lang w:val="en-US" w:eastAsia="zh-CN" w:bidi="ar-SA"/>
        </w:rPr>
        <w:t>6</w:t>
      </w:r>
      <w:r>
        <w:rPr>
          <w:rFonts w:hint="eastAsia" w:ascii="仿宋_GB2312" w:hAnsi="Times New Roman" w:eastAsia="仿宋_GB2312" w:cs="Times New Roman"/>
          <w:kern w:val="2"/>
          <w:sz w:val="32"/>
          <w:szCs w:val="32"/>
          <w:lang w:val="zh-CN" w:eastAsia="zh-CN" w:bidi="ar-SA"/>
        </w:rPr>
        <w:t>%，主要原因是：主要原因是：在职人员调增基本工资、绩效奖金纳入工资项，事业单位医疗保险缴费基数调整，导致费用增加。</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Times New Roman" w:eastAsia="仿宋_GB2312" w:cs="Times New Roman"/>
          <w:kern w:val="2"/>
          <w:sz w:val="32"/>
          <w:szCs w:val="32"/>
          <w:lang w:val="zh-CN" w:eastAsia="zh-CN" w:bidi="ar-SA"/>
        </w:rPr>
      </w:pPr>
      <w:r>
        <w:rPr>
          <w:rFonts w:hint="eastAsia" w:ascii="仿宋_GB2312" w:eastAsia="仿宋_GB2312" w:cs="Times New Roman"/>
          <w:kern w:val="2"/>
          <w:sz w:val="32"/>
          <w:szCs w:val="32"/>
          <w:lang w:val="en-US" w:eastAsia="zh-CN" w:bidi="ar-SA"/>
        </w:rPr>
        <w:t>3</w:t>
      </w:r>
      <w:r>
        <w:rPr>
          <w:rFonts w:hint="eastAsia" w:ascii="仿宋_GB2312" w:hAnsi="Times New Roman" w:eastAsia="仿宋_GB2312" w:cs="Times New Roman"/>
          <w:kern w:val="2"/>
          <w:sz w:val="32"/>
          <w:szCs w:val="32"/>
          <w:lang w:val="zh-CN" w:eastAsia="zh-CN" w:bidi="ar-SA"/>
        </w:rPr>
        <w:t>.卫生健康支出（类）行政事业单位医疗（款）公务员医疗补助（项）:支出决算数为5.53万元，比上年决算增加0.73万元，增长15.</w:t>
      </w:r>
      <w:r>
        <w:rPr>
          <w:rFonts w:hint="eastAsia" w:ascii="仿宋_GB2312" w:hAnsi="Times New Roman" w:eastAsia="仿宋_GB2312" w:cs="Times New Roman"/>
          <w:kern w:val="2"/>
          <w:sz w:val="32"/>
          <w:szCs w:val="32"/>
          <w:lang w:val="en-US" w:eastAsia="zh-CN" w:bidi="ar-SA"/>
        </w:rPr>
        <w:t>21</w:t>
      </w:r>
      <w:r>
        <w:rPr>
          <w:rFonts w:hint="eastAsia" w:ascii="仿宋_GB2312" w:hAnsi="Times New Roman" w:eastAsia="仿宋_GB2312" w:cs="Times New Roman"/>
          <w:kern w:val="2"/>
          <w:sz w:val="32"/>
          <w:szCs w:val="32"/>
          <w:lang w:val="zh-CN" w:eastAsia="zh-CN" w:bidi="ar-SA"/>
        </w:rPr>
        <w:t>%，主要原因是：在职人员调增基本工资、绩效奖金纳入工资项，公务员医疗补助缴费基数调整，导致费用增加。</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eastAsia="仿宋_GB2312"/>
          <w:color w:val="auto"/>
          <w:sz w:val="32"/>
          <w:szCs w:val="32"/>
          <w:lang w:val="en-US" w:eastAsia="zh-CN"/>
        </w:rPr>
      </w:pPr>
      <w:r>
        <w:rPr>
          <w:rFonts w:hint="eastAsia" w:ascii="仿宋_GB2312" w:eastAsia="仿宋_GB2312" w:cs="Times New Roman"/>
          <w:kern w:val="2"/>
          <w:sz w:val="32"/>
          <w:szCs w:val="32"/>
          <w:lang w:val="en-US" w:eastAsia="zh-CN" w:bidi="ar-SA"/>
        </w:rPr>
        <w:t>4</w:t>
      </w:r>
      <w:r>
        <w:rPr>
          <w:rFonts w:hint="eastAsia" w:ascii="仿宋_GB2312" w:hAnsi="Times New Roman" w:eastAsia="仿宋_GB2312" w:cs="Times New Roman"/>
          <w:kern w:val="2"/>
          <w:sz w:val="32"/>
          <w:szCs w:val="32"/>
          <w:lang w:val="zh-CN" w:eastAsia="zh-CN" w:bidi="ar-SA"/>
        </w:rPr>
        <w:t>.住房保障支出（类）住房改革支出（款）住房公积金（项）:支出决算数为9.4</w:t>
      </w:r>
      <w:r>
        <w:rPr>
          <w:rFonts w:hint="eastAsia" w:ascii="仿宋_GB2312" w:hAnsi="Times New Roman" w:eastAsia="仿宋_GB2312" w:cs="Times New Roman"/>
          <w:kern w:val="2"/>
          <w:sz w:val="32"/>
          <w:szCs w:val="32"/>
          <w:lang w:val="en-US" w:eastAsia="zh-CN" w:bidi="ar-SA"/>
        </w:rPr>
        <w:t>8</w:t>
      </w:r>
      <w:r>
        <w:rPr>
          <w:rFonts w:hint="eastAsia" w:ascii="仿宋_GB2312" w:hAnsi="Times New Roman" w:eastAsia="仿宋_GB2312" w:cs="Times New Roman"/>
          <w:kern w:val="2"/>
          <w:sz w:val="32"/>
          <w:szCs w:val="32"/>
          <w:lang w:val="zh-CN" w:eastAsia="zh-CN" w:bidi="ar-SA"/>
        </w:rPr>
        <w:t>万元，比上年决算增加0.</w:t>
      </w:r>
      <w:r>
        <w:rPr>
          <w:rFonts w:hint="eastAsia" w:ascii="仿宋_GB2312" w:hAnsi="Times New Roman" w:eastAsia="仿宋_GB2312" w:cs="Times New Roman"/>
          <w:kern w:val="2"/>
          <w:sz w:val="32"/>
          <w:szCs w:val="32"/>
          <w:lang w:val="en-US" w:eastAsia="zh-CN" w:bidi="ar-SA"/>
        </w:rPr>
        <w:t>9</w:t>
      </w:r>
      <w:r>
        <w:rPr>
          <w:rFonts w:hint="eastAsia" w:ascii="仿宋_GB2312" w:hAnsi="Times New Roman" w:eastAsia="仿宋_GB2312" w:cs="Times New Roman"/>
          <w:kern w:val="2"/>
          <w:sz w:val="32"/>
          <w:szCs w:val="32"/>
          <w:lang w:val="zh-CN" w:eastAsia="zh-CN" w:bidi="ar-SA"/>
        </w:rPr>
        <w:t>万元，增长10.</w:t>
      </w:r>
      <w:r>
        <w:rPr>
          <w:rFonts w:hint="eastAsia" w:ascii="仿宋_GB2312" w:hAnsi="Times New Roman" w:eastAsia="仿宋_GB2312" w:cs="Times New Roman"/>
          <w:kern w:val="2"/>
          <w:sz w:val="32"/>
          <w:szCs w:val="32"/>
          <w:lang w:val="en-US" w:eastAsia="zh-CN" w:bidi="ar-SA"/>
        </w:rPr>
        <w:t>49</w:t>
      </w:r>
      <w:r>
        <w:rPr>
          <w:rFonts w:hint="eastAsia" w:ascii="仿宋_GB2312" w:hAnsi="Times New Roman" w:eastAsia="仿宋_GB2312" w:cs="Times New Roman"/>
          <w:kern w:val="2"/>
          <w:sz w:val="32"/>
          <w:szCs w:val="32"/>
          <w:lang w:val="zh-CN" w:eastAsia="zh-CN" w:bidi="ar-SA"/>
        </w:rPr>
        <w:t>%，主要原因是：在职人员调增基本工资、绩效奖金纳入工资项，住房公积金缴费基数调整，导致费用增加。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Times New Roman" w:eastAsia="仿宋_GB2312" w:cs="Times New Roman"/>
          <w:kern w:val="2"/>
          <w:sz w:val="32"/>
          <w:szCs w:val="32"/>
          <w:lang w:val="zh-CN" w:eastAsia="zh-CN" w:bidi="ar-SA"/>
        </w:rPr>
      </w:pPr>
      <w:r>
        <w:rPr>
          <w:rFonts w:hint="eastAsia" w:eastAsia="仿宋_GB2312"/>
          <w:color w:val="auto"/>
          <w:sz w:val="32"/>
          <w:szCs w:val="32"/>
          <w:lang w:val="en-US" w:eastAsia="zh-CN"/>
        </w:rPr>
        <w:t>5.</w:t>
      </w:r>
      <w:r>
        <w:rPr>
          <w:rFonts w:hint="eastAsia" w:eastAsia="仿宋_GB2312"/>
          <w:color w:val="auto"/>
          <w:sz w:val="32"/>
          <w:szCs w:val="32"/>
        </w:rPr>
        <w:t>社会保障</w:t>
      </w:r>
      <w:r>
        <w:rPr>
          <w:rFonts w:hint="eastAsia" w:ascii="仿宋_GB2312" w:hAnsi="Times New Roman" w:eastAsia="仿宋_GB2312" w:cs="Times New Roman"/>
          <w:kern w:val="2"/>
          <w:sz w:val="32"/>
          <w:szCs w:val="32"/>
          <w:lang w:val="zh-CN" w:eastAsia="zh-CN" w:bidi="ar-SA"/>
        </w:rPr>
        <w:t>和就业支出（类）行政事业单位养老支出（款）事业单位离退休（项）:支出决算数为</w:t>
      </w:r>
      <w:r>
        <w:rPr>
          <w:rFonts w:hint="eastAsia" w:ascii="仿宋_GB2312" w:hAnsi="Times New Roman" w:eastAsia="仿宋_GB2312" w:cs="Times New Roman"/>
          <w:kern w:val="2"/>
          <w:sz w:val="32"/>
          <w:szCs w:val="32"/>
          <w:lang w:val="en-US" w:eastAsia="zh-CN" w:bidi="ar-SA"/>
        </w:rPr>
        <w:t>35.68</w:t>
      </w:r>
      <w:r>
        <w:rPr>
          <w:rFonts w:hint="eastAsia" w:ascii="仿宋_GB2312" w:hAnsi="Times New Roman" w:eastAsia="仿宋_GB2312" w:cs="Times New Roman"/>
          <w:kern w:val="2"/>
          <w:sz w:val="32"/>
          <w:szCs w:val="32"/>
          <w:lang w:val="zh-CN" w:eastAsia="zh-CN" w:bidi="ar-SA"/>
        </w:rPr>
        <w:t>万元，比上年决算增加</w:t>
      </w:r>
      <w:r>
        <w:rPr>
          <w:rFonts w:hint="eastAsia" w:ascii="仿宋_GB2312" w:hAnsi="Times New Roman" w:eastAsia="仿宋_GB2312" w:cs="Times New Roman"/>
          <w:kern w:val="2"/>
          <w:sz w:val="32"/>
          <w:szCs w:val="32"/>
          <w:lang w:val="en-US" w:eastAsia="zh-CN" w:bidi="ar-SA"/>
        </w:rPr>
        <w:t>17.07</w:t>
      </w:r>
      <w:r>
        <w:rPr>
          <w:rFonts w:hint="eastAsia" w:ascii="仿宋_GB2312" w:hAnsi="Times New Roman" w:eastAsia="仿宋_GB2312" w:cs="Times New Roman"/>
          <w:kern w:val="2"/>
          <w:sz w:val="32"/>
          <w:szCs w:val="32"/>
          <w:lang w:val="zh-CN" w:eastAsia="zh-CN" w:bidi="ar-SA"/>
        </w:rPr>
        <w:t>万元，增长</w:t>
      </w:r>
      <w:r>
        <w:rPr>
          <w:rFonts w:hint="eastAsia" w:ascii="仿宋_GB2312" w:hAnsi="Times New Roman" w:eastAsia="仿宋_GB2312" w:cs="Times New Roman"/>
          <w:kern w:val="2"/>
          <w:sz w:val="32"/>
          <w:szCs w:val="32"/>
          <w:lang w:val="en-US" w:eastAsia="zh-CN" w:bidi="ar-SA"/>
        </w:rPr>
        <w:t>91.72</w:t>
      </w:r>
      <w:r>
        <w:rPr>
          <w:rFonts w:hint="eastAsia" w:ascii="仿宋_GB2312" w:hAnsi="Times New Roman" w:eastAsia="仿宋_GB2312" w:cs="Times New Roman"/>
          <w:kern w:val="2"/>
          <w:sz w:val="32"/>
          <w:szCs w:val="32"/>
          <w:lang w:val="zh-CN" w:eastAsia="zh-CN" w:bidi="ar-SA"/>
        </w:rPr>
        <w:t>%，主要原因是：2023年根据自治区财政预算编制要求离退休人员取暖费由运转类公用经费调整到人员类经费，</w:t>
      </w:r>
      <w:r>
        <w:rPr>
          <w:rFonts w:hint="eastAsia" w:ascii="仿宋_GB2312" w:hAnsi="Times New Roman" w:eastAsia="仿宋_GB2312" w:cs="Times New Roman"/>
          <w:kern w:val="2"/>
          <w:sz w:val="32"/>
          <w:szCs w:val="32"/>
          <w:lang w:val="en-US" w:eastAsia="zh-CN" w:bidi="ar-SA"/>
        </w:rPr>
        <w:t>同时调增</w:t>
      </w:r>
      <w:r>
        <w:rPr>
          <w:rFonts w:hint="eastAsia" w:ascii="仿宋_GB2312" w:hAnsi="Times New Roman" w:eastAsia="仿宋_GB2312" w:cs="Times New Roman"/>
          <w:kern w:val="2"/>
          <w:sz w:val="32"/>
          <w:szCs w:val="32"/>
          <w:lang w:val="zh-CN" w:eastAsia="zh-CN" w:bidi="ar-SA"/>
        </w:rPr>
        <w:t>退休人员绩效奖和退休人员医疗补助支出，导致费用增加。</w:t>
      </w:r>
    </w:p>
    <w:p>
      <w:pPr>
        <w:keepNext w:val="0"/>
        <w:keepLines w:val="0"/>
        <w:pageBreakBefore w:val="0"/>
        <w:widowControl w:val="0"/>
        <w:kinsoku/>
        <w:wordWrap/>
        <w:overflowPunct/>
        <w:topLinePunct w:val="0"/>
        <w:autoSpaceDE/>
        <w:autoSpaceDN/>
        <w:bidi w:val="0"/>
        <w:adjustRightInd/>
        <w:snapToGrid/>
        <w:spacing w:line="560" w:lineRule="atLeast"/>
        <w:ind w:firstLine="320" w:firstLineChars="100"/>
        <w:textAlignment w:val="auto"/>
        <w:rPr>
          <w:rFonts w:hint="default"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 xml:space="preserve">  6</w:t>
      </w:r>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zh-CN" w:eastAsia="zh-CN" w:bidi="ar-SA"/>
        </w:rPr>
        <w:t>社会保障和就业支出（类）行政事业单位养老支出（款）机关事业单位职业年金缴费支出（项）:支出决算数为6.32万元，比上年决算增加0.83万元，增长15.1</w:t>
      </w:r>
      <w:r>
        <w:rPr>
          <w:rFonts w:hint="eastAsia" w:ascii="仿宋_GB2312" w:hAnsi="Times New Roman" w:eastAsia="仿宋_GB2312" w:cs="Times New Roman"/>
          <w:kern w:val="2"/>
          <w:sz w:val="32"/>
          <w:szCs w:val="32"/>
          <w:lang w:val="en-US" w:eastAsia="zh-CN" w:bidi="ar-SA"/>
        </w:rPr>
        <w:t>2</w:t>
      </w:r>
      <w:r>
        <w:rPr>
          <w:rFonts w:hint="eastAsia" w:ascii="仿宋_GB2312" w:hAnsi="Times New Roman" w:eastAsia="仿宋_GB2312" w:cs="Times New Roman"/>
          <w:kern w:val="2"/>
          <w:sz w:val="32"/>
          <w:szCs w:val="32"/>
          <w:lang w:val="zh-CN" w:eastAsia="zh-CN" w:bidi="ar-SA"/>
        </w:rPr>
        <w:t>%，主要原因是：在职人员调增基本工资、绩效奖金纳入工资项，职业年金基数调整，导致费用增加。</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Times New Roman" w:eastAsia="仿宋_GB2312" w:cs="Times New Roman"/>
          <w:kern w:val="2"/>
          <w:sz w:val="32"/>
          <w:szCs w:val="32"/>
          <w:lang w:val="zh-CN" w:eastAsia="zh-CN" w:bidi="ar-SA"/>
        </w:rPr>
      </w:pPr>
      <w:r>
        <w:rPr>
          <w:rFonts w:hint="eastAsia" w:eastAsia="仿宋_GB2312"/>
          <w:color w:val="auto"/>
          <w:sz w:val="32"/>
          <w:szCs w:val="32"/>
          <w:lang w:val="en-US" w:eastAsia="zh-CN"/>
        </w:rPr>
        <w:t>7</w:t>
      </w:r>
      <w:r>
        <w:rPr>
          <w:rFonts w:hint="eastAsia" w:eastAsia="仿宋_GB2312"/>
          <w:color w:val="auto"/>
          <w:sz w:val="32"/>
          <w:szCs w:val="32"/>
        </w:rPr>
        <w:t>.社会保障和</w:t>
      </w:r>
      <w:r>
        <w:rPr>
          <w:rFonts w:hint="eastAsia" w:eastAsia="仿宋_GB2312"/>
          <w:sz w:val="32"/>
          <w:szCs w:val="32"/>
        </w:rPr>
        <w:t>就业支出（类）行政事业单位养老支出（款）机关事业单位</w:t>
      </w:r>
      <w:r>
        <w:rPr>
          <w:rFonts w:hint="eastAsia" w:ascii="仿宋_GB2312" w:hAnsi="Times New Roman" w:eastAsia="仿宋_GB2312" w:cs="Times New Roman"/>
          <w:kern w:val="2"/>
          <w:sz w:val="32"/>
          <w:szCs w:val="32"/>
          <w:lang w:val="zh-CN" w:eastAsia="zh-CN" w:bidi="ar-SA"/>
        </w:rPr>
        <w:t>基本养老保险缴费支出（项）:支出决算数为12.63万元，比上年决算增加1.19万元，增长10.4</w:t>
      </w:r>
      <w:r>
        <w:rPr>
          <w:rFonts w:hint="eastAsia" w:ascii="仿宋_GB2312" w:hAnsi="Times New Roman" w:eastAsia="仿宋_GB2312" w:cs="Times New Roman"/>
          <w:kern w:val="2"/>
          <w:sz w:val="32"/>
          <w:szCs w:val="32"/>
          <w:lang w:val="en-US" w:eastAsia="zh-CN" w:bidi="ar-SA"/>
        </w:rPr>
        <w:t>0</w:t>
      </w:r>
      <w:r>
        <w:rPr>
          <w:rFonts w:hint="eastAsia" w:ascii="仿宋_GB2312" w:hAnsi="Times New Roman" w:eastAsia="仿宋_GB2312" w:cs="Times New Roman"/>
          <w:kern w:val="2"/>
          <w:sz w:val="32"/>
          <w:szCs w:val="32"/>
          <w:lang w:val="zh-CN" w:eastAsia="zh-CN" w:bidi="ar-SA"/>
        </w:rPr>
        <w:t>%，主要原因是：在职人员调增基本工资、绩效奖金纳入工资项，养老缴费基数调整，导致费用增加。</w:t>
      </w:r>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ascii="仿宋_GB2312" w:eastAsia="仿宋_GB2312"/>
          <w:sz w:val="32"/>
          <w:szCs w:val="32"/>
        </w:rPr>
      </w:pPr>
      <w:r>
        <w:rPr>
          <w:rFonts w:hint="eastAsia" w:ascii="仿宋_GB2312" w:eastAsia="仿宋_GB2312"/>
          <w:sz w:val="32"/>
          <w:szCs w:val="32"/>
        </w:rPr>
        <w:t>2023年度一般公共预算财政拨款基本支出181.1</w:t>
      </w:r>
      <w:r>
        <w:rPr>
          <w:rFonts w:hint="eastAsia" w:ascii="仿宋_GB2312" w:eastAsia="仿宋_GB2312"/>
          <w:sz w:val="32"/>
          <w:szCs w:val="32"/>
          <w:lang w:val="en-US" w:eastAsia="zh-CN"/>
        </w:rPr>
        <w:t>8</w:t>
      </w:r>
      <w:r>
        <w:rPr>
          <w:rFonts w:hint="eastAsia" w:ascii="仿宋_GB2312" w:eastAsia="仿宋_GB2312"/>
          <w:sz w:val="32"/>
          <w:szCs w:val="32"/>
        </w:rPr>
        <w:t>万元，其中：</w:t>
      </w:r>
      <w:r>
        <w:rPr>
          <w:rFonts w:hint="eastAsia" w:ascii="仿宋_GB2312" w:eastAsia="仿宋_GB2312"/>
          <w:b/>
          <w:bCs/>
          <w:sz w:val="32"/>
          <w:szCs w:val="32"/>
        </w:rPr>
        <w:t>人员经费165.05万元，</w:t>
      </w:r>
      <w:r>
        <w:rPr>
          <w:rFonts w:hint="eastAsia" w:ascii="仿宋_GB2312" w:eastAsia="仿宋_GB2312"/>
          <w:sz w:val="32"/>
          <w:szCs w:val="32"/>
        </w:rPr>
        <w:t>包括：基本工资、津贴补贴、奖金、绩效工资、机关事业单位基本养老保险缴费、职业年金缴费、职工基本医疗保险缴费、公务员医疗补助缴费、其他社会保障缴费、住房公积金、退休费、医疗费补助。</w:t>
      </w:r>
    </w:p>
    <w:p>
      <w:pPr>
        <w:keepNext w:val="0"/>
        <w:keepLines w:val="0"/>
        <w:pageBreakBefore w:val="0"/>
        <w:kinsoku/>
        <w:wordWrap/>
        <w:overflowPunct/>
        <w:topLinePunct w:val="0"/>
        <w:bidi w:val="0"/>
        <w:adjustRightInd/>
        <w:snapToGrid/>
        <w:spacing w:line="560" w:lineRule="atLeast"/>
        <w:ind w:firstLine="642" w:firstLineChars="200"/>
        <w:jc w:val="left"/>
        <w:textAlignment w:val="auto"/>
        <w:rPr>
          <w:rFonts w:hint="eastAsia" w:ascii="仿宋_GB2312" w:eastAsia="仿宋_GB2312"/>
          <w:sz w:val="32"/>
          <w:szCs w:val="32"/>
          <w:lang w:eastAsia="zh-CN"/>
        </w:rPr>
      </w:pPr>
      <w:r>
        <w:rPr>
          <w:rFonts w:hint="eastAsia" w:ascii="仿宋_GB2312" w:eastAsia="仿宋_GB2312"/>
          <w:b/>
          <w:bCs/>
          <w:sz w:val="32"/>
          <w:szCs w:val="32"/>
        </w:rPr>
        <w:t>公用经费16.13万元，</w:t>
      </w:r>
      <w:r>
        <w:rPr>
          <w:rFonts w:hint="eastAsia" w:ascii="仿宋_GB2312" w:eastAsia="仿宋_GB2312"/>
          <w:sz w:val="32"/>
          <w:szCs w:val="32"/>
        </w:rPr>
        <w:t>包括：办公费、水费、电费、邮电费、取暖费、差旅费、工会经费、福利费、其他商品和服务支出</w:t>
      </w:r>
      <w:r>
        <w:rPr>
          <w:rFonts w:hint="eastAsia" w:ascii="仿宋_GB2312" w:eastAsia="仿宋_GB2312"/>
          <w:sz w:val="32"/>
          <w:szCs w:val="32"/>
          <w:lang w:eastAsia="zh-CN"/>
        </w:rPr>
        <w:t>。</w:t>
      </w:r>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keepNext w:val="0"/>
        <w:keepLines w:val="0"/>
        <w:pageBreakBefore w:val="0"/>
        <w:kinsoku/>
        <w:wordWrap/>
        <w:overflowPunct/>
        <w:topLinePunct w:val="0"/>
        <w:bidi w:val="0"/>
        <w:adjustRightInd/>
        <w:snapToGrid/>
        <w:spacing w:line="560" w:lineRule="atLeast"/>
        <w:ind w:firstLine="642" w:firstLineChars="200"/>
        <w:jc w:val="left"/>
        <w:textAlignment w:val="auto"/>
        <w:rPr>
          <w:rFonts w:ascii="仿宋_GB2312" w:eastAsia="仿宋_GB2312"/>
          <w:sz w:val="32"/>
          <w:szCs w:val="32"/>
          <w:lang w:val="zh-CN"/>
        </w:rPr>
      </w:pPr>
      <w:r>
        <w:rPr>
          <w:rFonts w:hint="eastAsia" w:ascii="仿宋_GB2312" w:eastAsia="仿宋_GB2312"/>
          <w:b/>
          <w:bCs/>
          <w:sz w:val="32"/>
          <w:szCs w:val="32"/>
          <w:lang w:val="zh-CN"/>
        </w:rPr>
        <w:t>2023年度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lang w:val="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lang w:val="zh-CN"/>
        </w:rPr>
        <w:t>。</w:t>
      </w:r>
    </w:p>
    <w:p>
      <w:pPr>
        <w:keepNext w:val="0"/>
        <w:keepLines w:val="0"/>
        <w:pageBreakBefore w:val="0"/>
        <w:kinsoku/>
        <w:wordWrap/>
        <w:overflowPunct/>
        <w:topLinePunct w:val="0"/>
        <w:bidi w:val="0"/>
        <w:adjustRightInd/>
        <w:snapToGrid/>
        <w:spacing w:line="560" w:lineRule="atLeast"/>
        <w:ind w:firstLine="642" w:firstLineChars="200"/>
        <w:jc w:val="left"/>
        <w:textAlignment w:val="auto"/>
        <w:rPr>
          <w:rFonts w:ascii="仿宋_GB2312" w:eastAsia="仿宋_GB2312"/>
          <w:b/>
          <w:bCs/>
          <w:sz w:val="32"/>
          <w:szCs w:val="32"/>
          <w:lang w:val="zh-CN"/>
        </w:rPr>
      </w:pPr>
      <w:r>
        <w:rPr>
          <w:rFonts w:hint="eastAsia" w:ascii="仿宋_GB2312" w:eastAsia="仿宋_GB2312"/>
          <w:b/>
          <w:bCs/>
          <w:sz w:val="32"/>
          <w:szCs w:val="32"/>
          <w:lang w:val="zh-CN"/>
        </w:rPr>
        <w:t>具体情况如下：</w:t>
      </w:r>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ascii="仿宋_GB2312" w:eastAsia="仿宋_GB2312"/>
          <w:sz w:val="32"/>
          <w:szCs w:val="32"/>
          <w:lang w:val="zh-CN"/>
        </w:rPr>
      </w:pPr>
      <w:r>
        <w:rPr>
          <w:rFonts w:hint="eastAsia" w:ascii="仿宋_GB2312" w:eastAsia="仿宋_GB2312"/>
          <w:sz w:val="32"/>
          <w:szCs w:val="32"/>
          <w:lang w:val="zh-CN"/>
        </w:rPr>
        <w:t>因公出国（境）费支出0.00万元，</w:t>
      </w:r>
      <w:r>
        <w:rPr>
          <w:rFonts w:hint="eastAsia" w:ascii="仿宋_GB2312" w:eastAsia="仿宋_GB2312"/>
          <w:sz w:val="32"/>
          <w:szCs w:val="32"/>
          <w:lang w:val="en-US" w:eastAsia="zh-CN"/>
        </w:rPr>
        <w:t>开支内容</w:t>
      </w:r>
      <w:r>
        <w:rPr>
          <w:rFonts w:hint="eastAsia" w:ascii="仿宋_GB2312" w:eastAsia="仿宋_GB2312"/>
          <w:sz w:val="32"/>
          <w:szCs w:val="32"/>
          <w:highlight w:val="none"/>
        </w:rPr>
        <w:t>包括</w:t>
      </w:r>
      <w:r>
        <w:rPr>
          <w:rFonts w:hint="eastAsia" w:ascii="仿宋_GB2312" w:eastAsia="仿宋_GB2312"/>
          <w:sz w:val="32"/>
          <w:szCs w:val="32"/>
          <w:lang w:val="en-US" w:eastAsia="zh-CN"/>
        </w:rPr>
        <w:t>我单位无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w:t>
      </w:r>
      <w:r>
        <w:rPr>
          <w:rFonts w:hint="eastAsia" w:ascii="仿宋_GB2312" w:eastAsia="仿宋_GB2312"/>
          <w:sz w:val="32"/>
          <w:szCs w:val="32"/>
          <w:lang w:val="zh-CN"/>
        </w:rPr>
        <w:t>单位全年安排的因公出国（境）团组0个，因公出国（境）0人次。</w:t>
      </w:r>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hint="default" w:ascii="仿宋_GB2312" w:eastAsia="仿宋_GB2312"/>
          <w:color w:val="auto"/>
          <w:sz w:val="32"/>
          <w:szCs w:val="32"/>
          <w:lang w:val="en-US" w:eastAsia="zh-CN"/>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sz w:val="32"/>
          <w:szCs w:val="32"/>
          <w:lang w:val="zh-CN"/>
        </w:rPr>
        <w:t>。</w:t>
      </w:r>
      <w:r>
        <w:rPr>
          <w:rFonts w:hint="eastAsia" w:ascii="仿宋_GB2312" w:eastAsia="仿宋_GB2312"/>
          <w:color w:val="auto"/>
          <w:sz w:val="32"/>
          <w:szCs w:val="32"/>
          <w:lang w:val="zh-CN"/>
        </w:rPr>
        <w:t>公务用车购置数0辆，公务用车保有量0辆。国有资产占用情况中固定资产车辆2辆，与公务用车保有量差异原因是：固定资产车辆均属其他车辆，为信息化大篷车和载货小汽车。</w:t>
      </w:r>
      <w:r>
        <w:rPr>
          <w:rFonts w:hint="eastAsia" w:ascii="仿宋_GB2312" w:eastAsia="仿宋_GB2312"/>
          <w:color w:val="auto"/>
          <w:sz w:val="32"/>
          <w:szCs w:val="32"/>
          <w:lang w:val="en-US" w:eastAsia="zh-CN"/>
        </w:rPr>
        <w:t>车辆运行维护费用财政专户资金弥补。</w:t>
      </w:r>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ascii="仿宋_GB2312" w:eastAsia="仿宋_GB2312"/>
          <w:sz w:val="32"/>
          <w:szCs w:val="32"/>
          <w:lang w:val="zh-CN"/>
        </w:rPr>
      </w:pPr>
      <w:r>
        <w:rPr>
          <w:rFonts w:hint="eastAsia" w:ascii="仿宋_GB2312" w:eastAsia="仿宋_GB2312"/>
          <w:sz w:val="32"/>
          <w:szCs w:val="32"/>
          <w:lang w:val="zh-CN"/>
        </w:rPr>
        <w:t>公务接待费0.00万元，</w:t>
      </w:r>
      <w:r>
        <w:rPr>
          <w:rFonts w:hint="eastAsia" w:ascii="仿宋_GB2312" w:eastAsia="仿宋_GB2312"/>
          <w:sz w:val="32"/>
          <w:szCs w:val="32"/>
          <w:lang w:val="en-US" w:eastAsia="zh-CN"/>
        </w:rPr>
        <w:t>开支内容</w:t>
      </w:r>
      <w:r>
        <w:rPr>
          <w:rFonts w:hint="eastAsia" w:ascii="仿宋_GB2312" w:eastAsia="仿宋_GB2312"/>
          <w:sz w:val="32"/>
          <w:szCs w:val="32"/>
          <w:highlight w:val="none"/>
        </w:rPr>
        <w:t>包括</w:t>
      </w:r>
      <w:bookmarkStart w:id="48" w:name="_GoBack"/>
      <w:bookmarkEnd w:id="48"/>
      <w:r>
        <w:rPr>
          <w:rFonts w:hint="eastAsia" w:ascii="仿宋_GB2312" w:eastAsia="仿宋_GB2312"/>
          <w:sz w:val="32"/>
          <w:szCs w:val="32"/>
          <w:lang w:val="en-US" w:eastAsia="zh-CN"/>
        </w:rPr>
        <w:t>我单位无</w:t>
      </w:r>
      <w:r>
        <w:rPr>
          <w:rFonts w:hint="eastAsia" w:ascii="仿宋_GB2312" w:eastAsia="仿宋_GB2312"/>
          <w:sz w:val="32"/>
          <w:szCs w:val="32"/>
          <w:lang w:val="zh-CN"/>
        </w:rPr>
        <w:t>公务接待费</w:t>
      </w:r>
      <w:r>
        <w:rPr>
          <w:rFonts w:hint="eastAsia" w:ascii="仿宋_GB2312" w:eastAsia="仿宋_GB2312"/>
          <w:sz w:val="32"/>
          <w:szCs w:val="32"/>
          <w:lang w:val="en-US" w:eastAsia="zh-CN"/>
        </w:rPr>
        <w:t>。</w:t>
      </w:r>
      <w:r>
        <w:rPr>
          <w:rFonts w:hint="eastAsia" w:ascii="仿宋_GB2312" w:eastAsia="仿宋_GB2312"/>
          <w:sz w:val="32"/>
          <w:szCs w:val="32"/>
          <w:lang w:val="zh-CN"/>
        </w:rPr>
        <w:t>单位全年安排的国内公务接待0批次，0人次。</w:t>
      </w:r>
    </w:p>
    <w:p>
      <w:pPr>
        <w:keepNext w:val="0"/>
        <w:keepLines w:val="0"/>
        <w:pageBreakBefore w:val="0"/>
        <w:kinsoku/>
        <w:wordWrap/>
        <w:overflowPunct/>
        <w:topLinePunct w:val="0"/>
        <w:bidi w:val="0"/>
        <w:adjustRightInd/>
        <w:snapToGrid/>
        <w:spacing w:line="560" w:lineRule="atLeast"/>
        <w:ind w:firstLine="642" w:firstLineChars="200"/>
        <w:textAlignment w:val="auto"/>
        <w:rPr>
          <w:rFonts w:hint="eastAsia" w:ascii="黑体" w:hAnsi="黑体" w:eastAsia="黑体" w:cs="宋体"/>
          <w:bCs/>
          <w:kern w:val="0"/>
          <w:sz w:val="32"/>
          <w:szCs w:val="32"/>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w:t>
      </w:r>
      <w:bookmarkStart w:id="18" w:name="_Toc7927"/>
      <w:bookmarkStart w:id="19" w:name="_Toc5810"/>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bookmarkEnd w:id="18"/>
      <w:bookmarkEnd w:id="19"/>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bookmarkStart w:id="24" w:name="_Toc227"/>
      <w:bookmarkStart w:id="25" w:name="_Toc26704"/>
    </w:p>
    <w:p>
      <w:pPr>
        <w:keepNext w:val="0"/>
        <w:keepLines w:val="0"/>
        <w:pageBreakBefore w:val="0"/>
        <w:kinsoku/>
        <w:wordWrap/>
        <w:overflowPunct/>
        <w:topLinePunct w:val="0"/>
        <w:bidi w:val="0"/>
        <w:adjustRightInd/>
        <w:snapToGrid/>
        <w:spacing w:line="560" w:lineRule="atLeast"/>
        <w:ind w:firstLine="640" w:firstLineChars="200"/>
        <w:jc w:val="both"/>
        <w:textAlignment w:val="auto"/>
        <w:outlineLvl w:val="2"/>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新疆维吾尔自治区工业和信息化培训中心（自治区计算机培训中心）</w:t>
      </w:r>
      <w:r>
        <w:rPr>
          <w:rFonts w:hint="eastAsia" w:ascii="仿宋_GB2312" w:hAnsi="仿宋_GB2312" w:eastAsia="仿宋_GB2312" w:cs="仿宋_GB2312"/>
          <w:sz w:val="32"/>
          <w:szCs w:val="32"/>
          <w:lang w:val="zh-CN"/>
        </w:rPr>
        <w:t>（事业单位）公用经费支出16.13万元，比上年减少2.</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val="zh-CN"/>
        </w:rPr>
        <w:t>万元，下降11.</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lang w:val="zh-CN"/>
        </w:rPr>
        <w:t>%，主要原因是：</w:t>
      </w:r>
      <w:r>
        <w:rPr>
          <w:rFonts w:hint="eastAsia" w:ascii="仿宋_GB2312" w:hAnsi="仿宋_GB2312" w:eastAsia="仿宋_GB2312" w:cs="仿宋_GB2312"/>
          <w:sz w:val="32"/>
          <w:szCs w:val="32"/>
        </w:rPr>
        <w:t>2023 年根据自治区财政预算编制要求在职及离退休人员取暖费由运转类公用经费调整到人员类经费，导致机关运行经费一般公共预算财政拨款商品和服务支出</w:t>
      </w:r>
      <w:r>
        <w:rPr>
          <w:rFonts w:hint="eastAsia" w:ascii="仿宋_GB2312" w:hAnsi="仿宋_GB2312" w:eastAsia="仿宋_GB2312" w:cs="仿宋_GB2312"/>
          <w:sz w:val="32"/>
          <w:szCs w:val="32"/>
          <w:lang w:eastAsia="zh-CN"/>
        </w:rPr>
        <w:t>决算</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val="zh-CN"/>
        </w:rPr>
        <w:t>。</w:t>
      </w:r>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eastAsia="黑体"/>
          <w:sz w:val="32"/>
          <w:szCs w:val="30"/>
          <w:lang w:val="zh-CN"/>
        </w:rPr>
      </w:pPr>
      <w:r>
        <w:rPr>
          <w:rFonts w:hint="eastAsia" w:eastAsia="黑体"/>
          <w:sz w:val="32"/>
          <w:szCs w:val="30"/>
          <w:lang w:val="zh-CN"/>
        </w:rPr>
        <w:t>（二）政府采购情况</w:t>
      </w:r>
      <w:bookmarkEnd w:id="24"/>
      <w:bookmarkEnd w:id="25"/>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2023年度政府采购支出总额40.7</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val="zh-CN"/>
        </w:rPr>
        <w:t>万元，其中：政府采购货物支出15.36万元、政府采购工程支出0.00万元、政府采购服务支出25.42万元。</w:t>
      </w:r>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授予中小企业合同金额33.81万元，占政府采购支出总</w:t>
      </w:r>
    </w:p>
    <w:p>
      <w:pPr>
        <w:keepNext w:val="0"/>
        <w:keepLines w:val="0"/>
        <w:pageBreakBefore w:val="0"/>
        <w:kinsoku/>
        <w:wordWrap/>
        <w:overflowPunct/>
        <w:topLinePunct w:val="0"/>
        <w:bidi w:val="0"/>
        <w:adjustRightInd/>
        <w:snapToGrid/>
        <w:spacing w:line="560" w:lineRule="atLeas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额的82.90%，其中：授予小微企业合同金额33.81万元，占政府采购支出总额的82.90%</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381.13</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屋0.0平方米，价值0.00万元。车辆2辆，价值38.93万元，其中：副部（省）级及以上领导用车0辆、主要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用车0辆、其他用车2辆，其他用车主要是：</w:t>
      </w:r>
      <w:r>
        <w:rPr>
          <w:rFonts w:hint="eastAsia" w:ascii="仿宋_GB2312" w:hAnsi="仿宋_GB2312" w:eastAsia="仿宋_GB2312" w:cs="仿宋_GB2312"/>
          <w:sz w:val="32"/>
          <w:szCs w:val="32"/>
        </w:rPr>
        <w:t>1辆是信息化大篷车；1辆是</w:t>
      </w:r>
      <w:r>
        <w:rPr>
          <w:rFonts w:hint="eastAsia" w:ascii="仿宋_GB2312" w:hAnsi="仿宋_GB2312" w:eastAsia="仿宋_GB2312" w:cs="仿宋_GB2312"/>
          <w:sz w:val="32"/>
          <w:szCs w:val="32"/>
          <w:lang w:eastAsia="zh-CN"/>
        </w:rPr>
        <w:t>载货小汽车</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keepNext w:val="0"/>
        <w:keepLines w:val="0"/>
        <w:pageBreakBefore w:val="0"/>
        <w:kinsoku/>
        <w:wordWrap/>
        <w:overflowPunct/>
        <w:topLinePunct w:val="0"/>
        <w:bidi w:val="0"/>
        <w:adjustRightInd/>
        <w:snapToGrid/>
        <w:spacing w:line="560" w:lineRule="atLeast"/>
        <w:ind w:firstLine="640" w:firstLineChars="200"/>
        <w:jc w:val="left"/>
        <w:textAlignment w:val="auto"/>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keepNext w:val="0"/>
        <w:keepLines w:val="0"/>
        <w:pageBreakBefore w:val="0"/>
        <w:kinsoku/>
        <w:wordWrap/>
        <w:overflowPunct/>
        <w:topLinePunct w:val="0"/>
        <w:bidi w:val="0"/>
        <w:adjustRightInd/>
        <w:snapToGrid/>
        <w:spacing w:line="560" w:lineRule="atLeast"/>
        <w:ind w:firstLine="640" w:firstLineChars="200"/>
        <w:textAlignment w:val="auto"/>
        <w:rPr>
          <w:rFonts w:hint="eastAsia" w:ascii="黑体" w:hAnsi="黑体" w:eastAsia="黑体" w:cs="宋体"/>
          <w:bCs/>
          <w:kern w:val="0"/>
          <w:sz w:val="32"/>
          <w:szCs w:val="32"/>
        </w:rPr>
      </w:pPr>
      <w:r>
        <w:rPr>
          <w:rFonts w:hint="eastAsia" w:ascii="仿宋_GB2312" w:eastAsia="仿宋_GB2312"/>
          <w:sz w:val="32"/>
          <w:szCs w:val="32"/>
        </w:rPr>
        <w:t>根据预算绩效管理要求，</w:t>
      </w: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rPr>
        <w:t>预算绩效评价项目</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个，全年预算数</w:t>
      </w:r>
      <w:r>
        <w:rPr>
          <w:rFonts w:hint="eastAsia" w:ascii="仿宋_GB2312" w:eastAsia="仿宋_GB2312"/>
          <w:color w:val="auto"/>
          <w:sz w:val="32"/>
          <w:szCs w:val="32"/>
          <w:lang w:val="en-US" w:eastAsia="zh-CN"/>
        </w:rPr>
        <w:t>301.88</w:t>
      </w:r>
      <w:r>
        <w:rPr>
          <w:rFonts w:hint="eastAsia" w:ascii="仿宋_GB2312" w:eastAsia="仿宋_GB2312"/>
          <w:color w:val="auto"/>
          <w:sz w:val="32"/>
          <w:szCs w:val="32"/>
        </w:rPr>
        <w:t>万元，全年执</w:t>
      </w:r>
      <w:r>
        <w:rPr>
          <w:rFonts w:hint="eastAsia" w:ascii="仿宋_GB2312" w:eastAsia="仿宋_GB2312"/>
          <w:sz w:val="32"/>
          <w:szCs w:val="32"/>
        </w:rPr>
        <w:t>行数</w:t>
      </w:r>
      <w:r>
        <w:rPr>
          <w:rFonts w:hint="eastAsia" w:ascii="仿宋_GB2312" w:eastAsia="仿宋_GB2312"/>
          <w:sz w:val="32"/>
          <w:szCs w:val="32"/>
          <w:lang w:val="en-US" w:eastAsia="zh-CN"/>
        </w:rPr>
        <w:t>254.23</w:t>
      </w:r>
      <w:r>
        <w:rPr>
          <w:rFonts w:hint="eastAsia" w:ascii="仿宋_GB2312" w:eastAsia="仿宋_GB2312"/>
          <w:sz w:val="32"/>
          <w:szCs w:val="32"/>
        </w:rPr>
        <w:t>万元。预算绩效管理取得的成效：</w:t>
      </w:r>
      <w:r>
        <w:rPr>
          <w:rFonts w:ascii="仿宋_GB2312" w:eastAsia="仿宋_GB2312"/>
          <w:sz w:val="32"/>
          <w:szCs w:val="32"/>
        </w:rPr>
        <w:t>一</w:t>
      </w:r>
      <w:r>
        <w:rPr>
          <w:rFonts w:hint="eastAsia" w:ascii="仿宋_GB2312" w:eastAsia="仿宋_GB2312"/>
          <w:b/>
          <w:bCs/>
          <w:sz w:val="32"/>
          <w:szCs w:val="32"/>
        </w:rPr>
        <w:t>是</w:t>
      </w:r>
      <w:r>
        <w:rPr>
          <w:rFonts w:ascii="仿宋_GB2312" w:eastAsia="仿宋_GB2312"/>
          <w:sz w:val="32"/>
          <w:szCs w:val="32"/>
        </w:rPr>
        <w:t>严格执行《工信厅全面预算绩效管理办法》，规范和加快预算执行，积极做好绩效监控和绩效评价工作，确保预算执行的准确性、及时性和规范性,切实发挥财政资金最大效用；</w:t>
      </w:r>
      <w:r>
        <w:rPr>
          <w:rFonts w:ascii="仿宋_GB2312" w:eastAsia="仿宋_GB2312"/>
          <w:b/>
          <w:bCs/>
          <w:sz w:val="32"/>
          <w:szCs w:val="32"/>
        </w:rPr>
        <w:t>二是</w:t>
      </w:r>
      <w:r>
        <w:rPr>
          <w:rFonts w:ascii="仿宋_GB2312" w:eastAsia="仿宋_GB2312"/>
          <w:sz w:val="32"/>
          <w:szCs w:val="32"/>
        </w:rPr>
        <w:t>各项工作实施及资金使用情况均在绩效目标设定时限完成，在项目经费的使用上，在保证各项任务顺利完成的同时，严格落实厉行节约原则；</w:t>
      </w:r>
      <w:r>
        <w:rPr>
          <w:rFonts w:ascii="仿宋_GB2312" w:eastAsia="仿宋_GB2312"/>
          <w:b/>
          <w:bCs/>
          <w:sz w:val="32"/>
          <w:szCs w:val="32"/>
        </w:rPr>
        <w:t>三是</w:t>
      </w:r>
      <w:r>
        <w:rPr>
          <w:rFonts w:ascii="仿宋_GB2312" w:eastAsia="仿宋_GB2312"/>
          <w:sz w:val="32"/>
          <w:szCs w:val="32"/>
        </w:rPr>
        <w:t>突出做好培训和考试考务工作，确保项目质量和效益，助力经济高质量发展，维护社会稳定和长治久安</w:t>
      </w:r>
      <w:r>
        <w:rPr>
          <w:rFonts w:hint="eastAsia" w:ascii="仿宋_GB2312" w:eastAsia="仿宋_GB2312"/>
          <w:sz w:val="32"/>
          <w:szCs w:val="32"/>
        </w:rPr>
        <w:t>。发现的问题及原因：</w:t>
      </w:r>
      <w:r>
        <w:rPr>
          <w:rFonts w:ascii="仿宋_GB2312" w:eastAsia="仿宋_GB2312"/>
          <w:sz w:val="32"/>
          <w:szCs w:val="32"/>
        </w:rPr>
        <w:t>根据重点工作安排，在项目支出绩效监控工作中，存在预算整体支出绩效目标与产出的数量指标、质量指标缺乏对应性，关联性和可操作性不强。存在对项目绩效目标的设定和各项指标的理解、认识不到位的问题，导致项目绩效目标不够明确、不够细化、不够量化、缺乏可衡量性和可实现性。执行周期较长，影响了该项目的预算执行率，降低了绩效监控及绩效评价报告工作质量</w:t>
      </w:r>
      <w:r>
        <w:rPr>
          <w:rFonts w:hint="eastAsia" w:ascii="仿宋_GB2312" w:eastAsia="仿宋_GB2312"/>
          <w:sz w:val="32"/>
          <w:szCs w:val="32"/>
        </w:rPr>
        <w:t>。下一步改进措施：</w:t>
      </w:r>
      <w:r>
        <w:rPr>
          <w:rFonts w:ascii="仿宋_GB2312" w:eastAsia="仿宋_GB2312"/>
          <w:sz w:val="32"/>
          <w:szCs w:val="32"/>
        </w:rPr>
        <w:t>建成单位内控体系，进一步规范资金使用管理全流程，依程序高质量完成各项工作任务。</w:t>
      </w:r>
      <w:r>
        <w:rPr>
          <w:rFonts w:ascii="仿宋_GB2312" w:eastAsia="仿宋_GB2312"/>
          <w:b/>
          <w:bCs/>
          <w:sz w:val="32"/>
          <w:szCs w:val="32"/>
        </w:rPr>
        <w:t>二是</w:t>
      </w:r>
      <w:r>
        <w:rPr>
          <w:rFonts w:ascii="仿宋_GB2312" w:eastAsia="仿宋_GB2312"/>
          <w:sz w:val="32"/>
          <w:szCs w:val="32"/>
        </w:rPr>
        <w:t>在今后的绩效目标设定过程中，注意考虑如疫情等突发事件的影响，制定出更加符合实际的绩效目标，加强绩效目标对管理工作的指导作用</w:t>
      </w:r>
      <w:r>
        <w:rPr>
          <w:rFonts w:hint="eastAsia" w:ascii="仿宋_GB2312" w:eastAsia="仿宋_GB2312"/>
          <w:sz w:val="32"/>
          <w:szCs w:val="32"/>
        </w:rPr>
        <w:t>。</w:t>
      </w:r>
      <w:r>
        <w:rPr>
          <w:rFonts w:hint="eastAsia" w:ascii="仿宋_GB2312" w:hAnsi="仿宋_GB2312" w:eastAsia="仿宋_GB2312" w:cs="仿宋_GB2312"/>
          <w:b w:val="0"/>
          <w:bCs w:val="0"/>
          <w:sz w:val="32"/>
          <w:szCs w:val="32"/>
          <w:lang w:val="en-US" w:eastAsia="zh-CN"/>
        </w:rPr>
        <w:t>具体项目自评情况附绩效自评表及自评报告。</w:t>
      </w:r>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keepNext w:val="0"/>
        <w:keepLines w:val="0"/>
        <w:pageBreakBefore w:val="0"/>
        <w:kinsoku/>
        <w:wordWrap/>
        <w:overflowPunct/>
        <w:topLinePunct w:val="0"/>
        <w:bidi w:val="0"/>
        <w:adjustRightInd/>
        <w:snapToGrid/>
        <w:spacing w:line="560" w:lineRule="atLeast"/>
        <w:ind w:firstLine="640" w:firstLineChars="20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pPr>
        <w:keepNext w:val="0"/>
        <w:keepLines w:val="0"/>
        <w:pageBreakBefore w:val="0"/>
        <w:kinsoku/>
        <w:wordWrap/>
        <w:overflowPunct/>
        <w:topLinePunct w:val="0"/>
        <w:bidi w:val="0"/>
        <w:adjustRightInd/>
        <w:snapToGrid/>
        <w:spacing w:line="560" w:lineRule="atLeast"/>
        <w:jc w:val="center"/>
        <w:textAlignment w:val="auto"/>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keepNext w:val="0"/>
        <w:keepLines w:val="0"/>
        <w:pageBreakBefore w:val="0"/>
        <w:kinsoku/>
        <w:wordWrap/>
        <w:overflowPunct/>
        <w:topLinePunct w:val="0"/>
        <w:autoSpaceDE w:val="0"/>
        <w:autoSpaceDN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keepNext w:val="0"/>
        <w:keepLines w:val="0"/>
        <w:pageBreakBefore w:val="0"/>
        <w:kinsoku/>
        <w:wordWrap/>
        <w:overflowPunct/>
        <w:topLinePunct w:val="0"/>
        <w:autoSpaceDE w:val="0"/>
        <w:autoSpaceDN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keepNext w:val="0"/>
        <w:keepLines w:val="0"/>
        <w:pageBreakBefore w:val="0"/>
        <w:kinsoku/>
        <w:wordWrap/>
        <w:overflowPunct/>
        <w:topLinePunct w:val="0"/>
        <w:autoSpaceDE w:val="0"/>
        <w:autoSpaceDN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keepNext w:val="0"/>
        <w:keepLines w:val="0"/>
        <w:pageBreakBefore w:val="0"/>
        <w:kinsoku/>
        <w:wordWrap/>
        <w:overflowPunct/>
        <w:topLinePunct w:val="0"/>
        <w:autoSpaceDE w:val="0"/>
        <w:autoSpaceDN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keepNext w:val="0"/>
        <w:keepLines w:val="0"/>
        <w:pageBreakBefore w:val="0"/>
        <w:kinsoku/>
        <w:wordWrap/>
        <w:overflowPunct/>
        <w:topLinePunct w:val="0"/>
        <w:autoSpaceDE w:val="0"/>
        <w:autoSpaceDN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keepNext w:val="0"/>
        <w:keepLines w:val="0"/>
        <w:pageBreakBefore w:val="0"/>
        <w:kinsoku/>
        <w:wordWrap/>
        <w:overflowPunct/>
        <w:topLinePunct w:val="0"/>
        <w:autoSpaceDE w:val="0"/>
        <w:autoSpaceDN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keepNext w:val="0"/>
        <w:keepLines w:val="0"/>
        <w:pageBreakBefore w:val="0"/>
        <w:kinsoku/>
        <w:wordWrap/>
        <w:overflowPunct/>
        <w:topLinePunct w:val="0"/>
        <w:autoSpaceDE w:val="0"/>
        <w:autoSpaceDN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keepNext w:val="0"/>
        <w:keepLines w:val="0"/>
        <w:pageBreakBefore w:val="0"/>
        <w:kinsoku/>
        <w:wordWrap/>
        <w:overflowPunct/>
        <w:topLinePunct w:val="0"/>
        <w:autoSpaceDE w:val="0"/>
        <w:autoSpaceDN w:val="0"/>
        <w:bidi w:val="0"/>
        <w:adjustRightInd/>
        <w:snapToGrid/>
        <w:spacing w:line="560" w:lineRule="atLeast"/>
        <w:ind w:firstLine="642" w:firstLineChars="200"/>
        <w:jc w:val="left"/>
        <w:textAlignment w:val="auto"/>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keepNext w:val="0"/>
        <w:keepLines w:val="0"/>
        <w:pageBreakBefore w:val="0"/>
        <w:kinsoku/>
        <w:wordWrap/>
        <w:overflowPunct/>
        <w:topLinePunct w:val="0"/>
        <w:autoSpaceDE w:val="0"/>
        <w:autoSpaceDN w:val="0"/>
        <w:bidi w:val="0"/>
        <w:adjustRightInd/>
        <w:snapToGrid/>
        <w:spacing w:line="560" w:lineRule="atLeast"/>
        <w:ind w:firstLine="642" w:firstLineChars="200"/>
        <w:textAlignment w:val="auto"/>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keepNext w:val="0"/>
        <w:keepLines w:val="0"/>
        <w:pageBreakBefore w:val="0"/>
        <w:kinsoku/>
        <w:wordWrap/>
        <w:overflowPunct/>
        <w:topLinePunct w:val="0"/>
        <w:autoSpaceDE w:val="0"/>
        <w:autoSpaceDN w:val="0"/>
        <w:bidi w:val="0"/>
        <w:adjustRightInd/>
        <w:snapToGrid/>
        <w:spacing w:line="560" w:lineRule="atLeast"/>
        <w:ind w:firstLine="642" w:firstLineChars="200"/>
        <w:textAlignment w:val="auto"/>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keepNext w:val="0"/>
        <w:keepLines w:val="0"/>
        <w:pageBreakBefore w:val="0"/>
        <w:kinsoku/>
        <w:wordWrap/>
        <w:overflowPunct/>
        <w:topLinePunct w:val="0"/>
        <w:autoSpaceDE w:val="0"/>
        <w:autoSpaceDN w:val="0"/>
        <w:bidi w:val="0"/>
        <w:adjustRightInd/>
        <w:snapToGrid/>
        <w:spacing w:line="560" w:lineRule="atLeast"/>
        <w:ind w:firstLine="642" w:firstLineChars="200"/>
        <w:textAlignment w:val="auto"/>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kinsoku/>
        <w:wordWrap/>
        <w:overflowPunct/>
        <w:topLinePunct w:val="0"/>
        <w:bidi w:val="0"/>
        <w:adjustRightInd/>
        <w:snapToGrid/>
        <w:spacing w:line="560" w:lineRule="atLeast"/>
        <w:ind w:firstLine="642" w:firstLineChars="200"/>
        <w:textAlignment w:val="auto"/>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keepNext w:val="0"/>
        <w:keepLines w:val="0"/>
        <w:pageBreakBefore w:val="0"/>
        <w:kinsoku/>
        <w:wordWrap/>
        <w:overflowPunct/>
        <w:topLinePunct w:val="0"/>
        <w:bidi w:val="0"/>
        <w:adjustRightInd/>
        <w:snapToGrid/>
        <w:spacing w:line="560" w:lineRule="atLeast"/>
        <w:ind w:firstLine="640" w:firstLineChars="200"/>
        <w:jc w:val="center"/>
        <w:textAlignment w:val="auto"/>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keepNext w:val="0"/>
        <w:keepLines w:val="0"/>
        <w:pageBreakBefore w:val="0"/>
        <w:kinsoku/>
        <w:wordWrap/>
        <w:overflowPunct/>
        <w:topLinePunct w:val="0"/>
        <w:bidi w:val="0"/>
        <w:adjustRightInd/>
        <w:snapToGrid/>
        <w:spacing w:line="560" w:lineRule="atLeast"/>
        <w:ind w:firstLine="640" w:firstLineChars="200"/>
        <w:textAlignment w:val="auto"/>
        <w:rPr>
          <w:rFonts w:ascii="仿宋_GB2312" w:eastAsia="仿宋_GB2312"/>
          <w:sz w:val="32"/>
          <w:szCs w:val="32"/>
        </w:rPr>
      </w:pPr>
    </w:p>
    <w:p>
      <w:pPr>
        <w:keepNext w:val="0"/>
        <w:keepLines w:val="0"/>
        <w:pageBreakBefore w:val="0"/>
        <w:kinsoku/>
        <w:wordWrap/>
        <w:overflowPunct/>
        <w:topLinePunct w:val="0"/>
        <w:bidi w:val="0"/>
        <w:adjustRightInd/>
        <w:snapToGrid/>
        <w:spacing w:line="560" w:lineRule="atLeast"/>
        <w:ind w:firstLine="640" w:firstLineChars="200"/>
        <w:textAlignment w:val="auto"/>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vert="horz" wrap="none" lIns="0" tIns="0" rIns="0" bIns="0" anchor="t" anchorCtr="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D569/AAQAAawMAAA4AAABkcnMv&#10;ZTJvRG9jLnhtbK1TQa7TMBDdI3EHy3uatAtURU2/gK+PkBAgfTiA69iNJdtjjd0m5QBwA1Zs2HOu&#10;noOx0/R/YIfYOOOZ8cx7byabm9FZdlQYDfiWLxc1Z8pL6Izft/zTx7tna85iEr4TFrxq+UlFfrN9&#10;+mQzhEatoAfbKWRUxMdmCC3vUwpNVUXZKyfiAoLyFNSATiS64r7qUAxU3dlqVdfPqwGwCwhSxUje&#10;2ynIt6W+1kqm91pHlZhtOWFL5cRy7vJZbTei2aMIvZEXGOIfUDhhPDW9lroVSbADmr9KOSMRIui0&#10;kOAq0NpIVTgQm2X9B5v7XgRVuJA4MVxliv+vrHx3/IDMdDQ7zrxwNKLzt6/n7z/PP76wZZZnCLGh&#10;rPtAeWl8CWPLEx7UHIrkz8RHjS5/iRKjFNL6dNVXjYlJci7Xq/W6ppCk2HyhFtXD84AxvVbgWDZa&#10;jjTAoqs4vo1pSp1TcjcPd8baMkTrf3NQzeypMvwJY7bSuBsvnHbQnYgS7S716QE/czbQHrTc06Jy&#10;Zt94kjmvzGzgbOxmQ3hJD0kPzibzVaKbFjbmqQnq++KQCGEBnttPPS+oaKKF+mX78so8vpesh39k&#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DOqXm5zwAAAAUBAAAPAAAAAAAAAAEAIAAAADgAAABk&#10;cnMvZG93bnJldi54bWxQSwECFAAUAAAACACHTuJAIPnr38ABAABrAwAADgAAAAAAAAABACAAAAA0&#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wYjFiN2RiYWE2ODNhZDZmMDY0ODg1Njk5MDE4ZjAifQ=="/>
    <w:docVar w:name="KSO_WPS_MARK_KEY" w:val="41ee2a61-2d54-4f93-83be-afdb9a40d732"/>
  </w:docVars>
  <w:rsids>
    <w:rsidRoot w:val="00DF4BC3"/>
    <w:rsid w:val="002017D5"/>
    <w:rsid w:val="00213C59"/>
    <w:rsid w:val="003210CE"/>
    <w:rsid w:val="00456A58"/>
    <w:rsid w:val="0060141C"/>
    <w:rsid w:val="00B70D59"/>
    <w:rsid w:val="00DF4BC3"/>
    <w:rsid w:val="00F52A8D"/>
    <w:rsid w:val="012D3A9C"/>
    <w:rsid w:val="019404F8"/>
    <w:rsid w:val="02AB130F"/>
    <w:rsid w:val="02BD3108"/>
    <w:rsid w:val="02F73D26"/>
    <w:rsid w:val="034D4FEF"/>
    <w:rsid w:val="035D1785"/>
    <w:rsid w:val="039F47CE"/>
    <w:rsid w:val="03C350C4"/>
    <w:rsid w:val="03E05CE8"/>
    <w:rsid w:val="03F973EE"/>
    <w:rsid w:val="043E5B56"/>
    <w:rsid w:val="04C04386"/>
    <w:rsid w:val="04FA68C4"/>
    <w:rsid w:val="053F5AE6"/>
    <w:rsid w:val="057C0B0F"/>
    <w:rsid w:val="05980BD3"/>
    <w:rsid w:val="05DC421B"/>
    <w:rsid w:val="05EF4B48"/>
    <w:rsid w:val="05F76ECA"/>
    <w:rsid w:val="06792773"/>
    <w:rsid w:val="07093795"/>
    <w:rsid w:val="077961C6"/>
    <w:rsid w:val="07804730"/>
    <w:rsid w:val="079052BE"/>
    <w:rsid w:val="07BE1318"/>
    <w:rsid w:val="08145C21"/>
    <w:rsid w:val="082425D6"/>
    <w:rsid w:val="08422688"/>
    <w:rsid w:val="085854ED"/>
    <w:rsid w:val="0879188F"/>
    <w:rsid w:val="08A0354D"/>
    <w:rsid w:val="08CD4C49"/>
    <w:rsid w:val="09114954"/>
    <w:rsid w:val="095A5B83"/>
    <w:rsid w:val="096466E3"/>
    <w:rsid w:val="0968304D"/>
    <w:rsid w:val="09AF3D17"/>
    <w:rsid w:val="0A340CF5"/>
    <w:rsid w:val="0A7809B7"/>
    <w:rsid w:val="0A7B4867"/>
    <w:rsid w:val="0A840954"/>
    <w:rsid w:val="0A9928ED"/>
    <w:rsid w:val="0B0E4E77"/>
    <w:rsid w:val="0B61769D"/>
    <w:rsid w:val="0B896BF3"/>
    <w:rsid w:val="0B8C3ECC"/>
    <w:rsid w:val="0B9C639D"/>
    <w:rsid w:val="0BB052B2"/>
    <w:rsid w:val="0BD25EA5"/>
    <w:rsid w:val="0BD33FFC"/>
    <w:rsid w:val="0BE97AC1"/>
    <w:rsid w:val="0BFE6C9A"/>
    <w:rsid w:val="0C000AE3"/>
    <w:rsid w:val="0C1C4780"/>
    <w:rsid w:val="0C3613A3"/>
    <w:rsid w:val="0C5E519C"/>
    <w:rsid w:val="0C7227A7"/>
    <w:rsid w:val="0CA52EE8"/>
    <w:rsid w:val="0CBD6988"/>
    <w:rsid w:val="0CD208AC"/>
    <w:rsid w:val="0D4903E8"/>
    <w:rsid w:val="0D7A4A46"/>
    <w:rsid w:val="0D973BB8"/>
    <w:rsid w:val="0E640559"/>
    <w:rsid w:val="0F1113DA"/>
    <w:rsid w:val="0F78534A"/>
    <w:rsid w:val="0F89358A"/>
    <w:rsid w:val="0F8C6D51"/>
    <w:rsid w:val="105B0B5E"/>
    <w:rsid w:val="112E58D0"/>
    <w:rsid w:val="11731CAC"/>
    <w:rsid w:val="119500A0"/>
    <w:rsid w:val="11C0733B"/>
    <w:rsid w:val="11D50D17"/>
    <w:rsid w:val="120E0809"/>
    <w:rsid w:val="12110B9B"/>
    <w:rsid w:val="12266F4A"/>
    <w:rsid w:val="127F665A"/>
    <w:rsid w:val="12F7068C"/>
    <w:rsid w:val="131D034D"/>
    <w:rsid w:val="14207DC0"/>
    <w:rsid w:val="14B932DA"/>
    <w:rsid w:val="150A66AF"/>
    <w:rsid w:val="154C1139"/>
    <w:rsid w:val="158C5B77"/>
    <w:rsid w:val="160D1149"/>
    <w:rsid w:val="163563C0"/>
    <w:rsid w:val="164315EF"/>
    <w:rsid w:val="1643421C"/>
    <w:rsid w:val="16557DFE"/>
    <w:rsid w:val="167268FB"/>
    <w:rsid w:val="16D50C50"/>
    <w:rsid w:val="16E120E1"/>
    <w:rsid w:val="17385A05"/>
    <w:rsid w:val="173B3901"/>
    <w:rsid w:val="176747F9"/>
    <w:rsid w:val="17954A6E"/>
    <w:rsid w:val="17A77A0D"/>
    <w:rsid w:val="17AE4B7A"/>
    <w:rsid w:val="180059E9"/>
    <w:rsid w:val="184510FD"/>
    <w:rsid w:val="190648B0"/>
    <w:rsid w:val="19071D6C"/>
    <w:rsid w:val="19D26CD4"/>
    <w:rsid w:val="19E60D19"/>
    <w:rsid w:val="1A3E3450"/>
    <w:rsid w:val="1AD807E5"/>
    <w:rsid w:val="1B39345B"/>
    <w:rsid w:val="1BD21EF1"/>
    <w:rsid w:val="1BFB2A1F"/>
    <w:rsid w:val="1C015D4A"/>
    <w:rsid w:val="1C290ED5"/>
    <w:rsid w:val="1C317E4F"/>
    <w:rsid w:val="1C472464"/>
    <w:rsid w:val="1D22799A"/>
    <w:rsid w:val="1D5250C1"/>
    <w:rsid w:val="1D5C1A72"/>
    <w:rsid w:val="1DAF458D"/>
    <w:rsid w:val="1E086ACE"/>
    <w:rsid w:val="1E62130A"/>
    <w:rsid w:val="1E97358B"/>
    <w:rsid w:val="1EAA4A5F"/>
    <w:rsid w:val="1EE869A7"/>
    <w:rsid w:val="1F903EDE"/>
    <w:rsid w:val="1FA15E62"/>
    <w:rsid w:val="1FA83694"/>
    <w:rsid w:val="1FED69B6"/>
    <w:rsid w:val="2064678E"/>
    <w:rsid w:val="20DC1AB9"/>
    <w:rsid w:val="20DD6197"/>
    <w:rsid w:val="212631E0"/>
    <w:rsid w:val="21A53757"/>
    <w:rsid w:val="221236C6"/>
    <w:rsid w:val="22D7662C"/>
    <w:rsid w:val="23326B7F"/>
    <w:rsid w:val="234E28AA"/>
    <w:rsid w:val="2380045B"/>
    <w:rsid w:val="23BC04D2"/>
    <w:rsid w:val="23EF1892"/>
    <w:rsid w:val="2483647E"/>
    <w:rsid w:val="24A32D55"/>
    <w:rsid w:val="25292727"/>
    <w:rsid w:val="252E5CA9"/>
    <w:rsid w:val="256F7692"/>
    <w:rsid w:val="25BA2154"/>
    <w:rsid w:val="25C8773F"/>
    <w:rsid w:val="26060584"/>
    <w:rsid w:val="264A7253"/>
    <w:rsid w:val="26F0170C"/>
    <w:rsid w:val="27201D62"/>
    <w:rsid w:val="27286E73"/>
    <w:rsid w:val="275163C0"/>
    <w:rsid w:val="27B3301E"/>
    <w:rsid w:val="27CF2642"/>
    <w:rsid w:val="27E20F11"/>
    <w:rsid w:val="27E777F5"/>
    <w:rsid w:val="27EA1D4C"/>
    <w:rsid w:val="27EA2E41"/>
    <w:rsid w:val="282459E2"/>
    <w:rsid w:val="283A7FE5"/>
    <w:rsid w:val="285F51FF"/>
    <w:rsid w:val="28DF2665"/>
    <w:rsid w:val="29072599"/>
    <w:rsid w:val="291029F3"/>
    <w:rsid w:val="29CB58F0"/>
    <w:rsid w:val="2A053397"/>
    <w:rsid w:val="2A145E96"/>
    <w:rsid w:val="2ACA0963"/>
    <w:rsid w:val="2AF5378F"/>
    <w:rsid w:val="2BB94DBF"/>
    <w:rsid w:val="2C6F314E"/>
    <w:rsid w:val="2CC206BE"/>
    <w:rsid w:val="2CEE579D"/>
    <w:rsid w:val="2D1136DF"/>
    <w:rsid w:val="2D20606D"/>
    <w:rsid w:val="2DB87198"/>
    <w:rsid w:val="2DB93C54"/>
    <w:rsid w:val="2DBD7E82"/>
    <w:rsid w:val="2E3D144C"/>
    <w:rsid w:val="2E604F63"/>
    <w:rsid w:val="2E891204"/>
    <w:rsid w:val="2F2443BA"/>
    <w:rsid w:val="2F3F0A28"/>
    <w:rsid w:val="2FBF7029"/>
    <w:rsid w:val="2FD0187F"/>
    <w:rsid w:val="2FD27414"/>
    <w:rsid w:val="2FFE4BB0"/>
    <w:rsid w:val="300E7B60"/>
    <w:rsid w:val="300F6E18"/>
    <w:rsid w:val="30742E3D"/>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924AB3"/>
    <w:rsid w:val="37A755DD"/>
    <w:rsid w:val="37F94FA0"/>
    <w:rsid w:val="380D3381"/>
    <w:rsid w:val="38115B1F"/>
    <w:rsid w:val="385E3AC3"/>
    <w:rsid w:val="387D6B9E"/>
    <w:rsid w:val="38B75FF0"/>
    <w:rsid w:val="38C46214"/>
    <w:rsid w:val="38D45016"/>
    <w:rsid w:val="38D90432"/>
    <w:rsid w:val="3914510A"/>
    <w:rsid w:val="3926770B"/>
    <w:rsid w:val="398D3668"/>
    <w:rsid w:val="39DA0497"/>
    <w:rsid w:val="39FC1B22"/>
    <w:rsid w:val="3A893816"/>
    <w:rsid w:val="3A893B6D"/>
    <w:rsid w:val="3AB54FAD"/>
    <w:rsid w:val="3AD1763A"/>
    <w:rsid w:val="3AD768B5"/>
    <w:rsid w:val="3B3F51A6"/>
    <w:rsid w:val="3B6716E3"/>
    <w:rsid w:val="3B6C6B2D"/>
    <w:rsid w:val="3BEA56E3"/>
    <w:rsid w:val="3C067B1A"/>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694322"/>
    <w:rsid w:val="40794A29"/>
    <w:rsid w:val="40834692"/>
    <w:rsid w:val="41431AD5"/>
    <w:rsid w:val="414B3C0F"/>
    <w:rsid w:val="417C1CE7"/>
    <w:rsid w:val="41900018"/>
    <w:rsid w:val="41944406"/>
    <w:rsid w:val="41CE128F"/>
    <w:rsid w:val="41DA6F12"/>
    <w:rsid w:val="41DF2AEE"/>
    <w:rsid w:val="42171FB1"/>
    <w:rsid w:val="4251506E"/>
    <w:rsid w:val="434E6957"/>
    <w:rsid w:val="43BA0E31"/>
    <w:rsid w:val="43C15147"/>
    <w:rsid w:val="43E14DD2"/>
    <w:rsid w:val="43EF0FE2"/>
    <w:rsid w:val="43F800E9"/>
    <w:rsid w:val="443A7E4B"/>
    <w:rsid w:val="452F5B3A"/>
    <w:rsid w:val="454E7FD2"/>
    <w:rsid w:val="45AB60DE"/>
    <w:rsid w:val="46061BDC"/>
    <w:rsid w:val="461404F8"/>
    <w:rsid w:val="46413018"/>
    <w:rsid w:val="464B7E04"/>
    <w:rsid w:val="468041AA"/>
    <w:rsid w:val="468123C6"/>
    <w:rsid w:val="46901EEE"/>
    <w:rsid w:val="469C74D2"/>
    <w:rsid w:val="47445515"/>
    <w:rsid w:val="474B4782"/>
    <w:rsid w:val="47D90D14"/>
    <w:rsid w:val="48084421"/>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C863A1"/>
    <w:rsid w:val="4BDB3730"/>
    <w:rsid w:val="4C200F7A"/>
    <w:rsid w:val="4C765DFD"/>
    <w:rsid w:val="4CEE3180"/>
    <w:rsid w:val="4D0F4AF6"/>
    <w:rsid w:val="4D697710"/>
    <w:rsid w:val="4D8E7176"/>
    <w:rsid w:val="4DF94F37"/>
    <w:rsid w:val="4E0A1DD5"/>
    <w:rsid w:val="4E3160E5"/>
    <w:rsid w:val="4E4D37AF"/>
    <w:rsid w:val="4E8C6496"/>
    <w:rsid w:val="4E9B5FEF"/>
    <w:rsid w:val="4EFD18DE"/>
    <w:rsid w:val="4F144236"/>
    <w:rsid w:val="4F2953A8"/>
    <w:rsid w:val="4F663C87"/>
    <w:rsid w:val="4F7E29A8"/>
    <w:rsid w:val="4F9E1FFC"/>
    <w:rsid w:val="4FB94DAD"/>
    <w:rsid w:val="50447CC2"/>
    <w:rsid w:val="50874A7C"/>
    <w:rsid w:val="50895EE7"/>
    <w:rsid w:val="50921B9D"/>
    <w:rsid w:val="50AA1EAF"/>
    <w:rsid w:val="50D16158"/>
    <w:rsid w:val="50DB5F45"/>
    <w:rsid w:val="51025EB1"/>
    <w:rsid w:val="51141503"/>
    <w:rsid w:val="511E6A63"/>
    <w:rsid w:val="518D0ED5"/>
    <w:rsid w:val="525C687F"/>
    <w:rsid w:val="52683936"/>
    <w:rsid w:val="5277467D"/>
    <w:rsid w:val="52F647F7"/>
    <w:rsid w:val="52F92565"/>
    <w:rsid w:val="53B42C0E"/>
    <w:rsid w:val="53D03877"/>
    <w:rsid w:val="542F73CA"/>
    <w:rsid w:val="5430786D"/>
    <w:rsid w:val="5452714F"/>
    <w:rsid w:val="54C811C0"/>
    <w:rsid w:val="556A442D"/>
    <w:rsid w:val="55DA564E"/>
    <w:rsid w:val="55F04E72"/>
    <w:rsid w:val="5604127D"/>
    <w:rsid w:val="56166703"/>
    <w:rsid w:val="56510474"/>
    <w:rsid w:val="56861525"/>
    <w:rsid w:val="56A93273"/>
    <w:rsid w:val="56BD550C"/>
    <w:rsid w:val="56E07045"/>
    <w:rsid w:val="56FF28AF"/>
    <w:rsid w:val="57540E7D"/>
    <w:rsid w:val="577B4878"/>
    <w:rsid w:val="57926973"/>
    <w:rsid w:val="58175352"/>
    <w:rsid w:val="581B06EC"/>
    <w:rsid w:val="581F2200"/>
    <w:rsid w:val="583059FA"/>
    <w:rsid w:val="584A0929"/>
    <w:rsid w:val="58CD2491"/>
    <w:rsid w:val="591B41B2"/>
    <w:rsid w:val="59254A26"/>
    <w:rsid w:val="59326325"/>
    <w:rsid w:val="595C505B"/>
    <w:rsid w:val="595E55C3"/>
    <w:rsid w:val="596E7E20"/>
    <w:rsid w:val="5A2E4058"/>
    <w:rsid w:val="5A60780B"/>
    <w:rsid w:val="5AB34579"/>
    <w:rsid w:val="5AF30F60"/>
    <w:rsid w:val="5AFC6609"/>
    <w:rsid w:val="5B113480"/>
    <w:rsid w:val="5BD456CE"/>
    <w:rsid w:val="5C0D1F49"/>
    <w:rsid w:val="5CBB0CE2"/>
    <w:rsid w:val="5CC17177"/>
    <w:rsid w:val="5CF306BC"/>
    <w:rsid w:val="5D3F3D64"/>
    <w:rsid w:val="5D833043"/>
    <w:rsid w:val="5DD92690"/>
    <w:rsid w:val="5DDB1CFD"/>
    <w:rsid w:val="5E7E6D93"/>
    <w:rsid w:val="5E8720EC"/>
    <w:rsid w:val="5ED44800"/>
    <w:rsid w:val="5F350BDE"/>
    <w:rsid w:val="5F61632C"/>
    <w:rsid w:val="5FA17648"/>
    <w:rsid w:val="5FE705CB"/>
    <w:rsid w:val="603D5080"/>
    <w:rsid w:val="60D0261B"/>
    <w:rsid w:val="60D333C6"/>
    <w:rsid w:val="618E3791"/>
    <w:rsid w:val="61947DCA"/>
    <w:rsid w:val="61A46A97"/>
    <w:rsid w:val="61D1382F"/>
    <w:rsid w:val="61F114A2"/>
    <w:rsid w:val="61FF6208"/>
    <w:rsid w:val="621B3277"/>
    <w:rsid w:val="62512BB4"/>
    <w:rsid w:val="625D7D1A"/>
    <w:rsid w:val="62B86D17"/>
    <w:rsid w:val="62DD7D21"/>
    <w:rsid w:val="637D586B"/>
    <w:rsid w:val="63A5560B"/>
    <w:rsid w:val="63E9091F"/>
    <w:rsid w:val="64322AF9"/>
    <w:rsid w:val="64D6010D"/>
    <w:rsid w:val="64D82665"/>
    <w:rsid w:val="64E47C96"/>
    <w:rsid w:val="651E5741"/>
    <w:rsid w:val="65562818"/>
    <w:rsid w:val="658A4877"/>
    <w:rsid w:val="65A00902"/>
    <w:rsid w:val="65AC6EDD"/>
    <w:rsid w:val="65D97752"/>
    <w:rsid w:val="66085536"/>
    <w:rsid w:val="66105BF7"/>
    <w:rsid w:val="66150023"/>
    <w:rsid w:val="66225E81"/>
    <w:rsid w:val="6628010D"/>
    <w:rsid w:val="66483B98"/>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DA02882"/>
    <w:rsid w:val="6E0E35C4"/>
    <w:rsid w:val="6E0F7A08"/>
    <w:rsid w:val="6E3947F5"/>
    <w:rsid w:val="6E9C74ED"/>
    <w:rsid w:val="6EF72976"/>
    <w:rsid w:val="6F795A80"/>
    <w:rsid w:val="6F7C1D2E"/>
    <w:rsid w:val="6F8E0407"/>
    <w:rsid w:val="6F963F3C"/>
    <w:rsid w:val="6FC62348"/>
    <w:rsid w:val="6FDD069F"/>
    <w:rsid w:val="70160945"/>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32A2A"/>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6710EE"/>
    <w:rsid w:val="7873527F"/>
    <w:rsid w:val="790A6425"/>
    <w:rsid w:val="790E2D96"/>
    <w:rsid w:val="791B54B2"/>
    <w:rsid w:val="795A0A34"/>
    <w:rsid w:val="797339C3"/>
    <w:rsid w:val="79A00BB5"/>
    <w:rsid w:val="79D57D57"/>
    <w:rsid w:val="79F00650"/>
    <w:rsid w:val="7A6242BF"/>
    <w:rsid w:val="7A794513"/>
    <w:rsid w:val="7AE952D2"/>
    <w:rsid w:val="7C416A00"/>
    <w:rsid w:val="7C976D69"/>
    <w:rsid w:val="7CD752DA"/>
    <w:rsid w:val="7CDE40AB"/>
    <w:rsid w:val="7CF057E2"/>
    <w:rsid w:val="7D1548B5"/>
    <w:rsid w:val="7DBD122E"/>
    <w:rsid w:val="7DEE7FB5"/>
    <w:rsid w:val="7DF84014"/>
    <w:rsid w:val="7E207949"/>
    <w:rsid w:val="7E5C0A47"/>
    <w:rsid w:val="7E670C75"/>
    <w:rsid w:val="7EE24272"/>
    <w:rsid w:val="7EEA6053"/>
    <w:rsid w:val="7F2A46A1"/>
    <w:rsid w:val="7F2F7F0A"/>
    <w:rsid w:val="7F453A4D"/>
    <w:rsid w:val="7F487C04"/>
    <w:rsid w:val="7FB45F21"/>
    <w:rsid w:val="7FBC12DC"/>
    <w:rsid w:val="7FE57088"/>
    <w:rsid w:val="7FF37FA3"/>
    <w:rsid w:val="DF9D5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5821</Words>
  <Characters>6484</Characters>
  <Lines>55</Lines>
  <Paragraphs>15</Paragraphs>
  <TotalTime>1</TotalTime>
  <ScaleCrop>false</ScaleCrop>
  <LinksUpToDate>false</LinksUpToDate>
  <CharactersWithSpaces>6501</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2024-08-14T13:16:00Z</dcterms:created>
  <dc:creator>GXR</dc:creator>
  <cp:lastModifiedBy>user</cp:lastModifiedBy>
  <dcterms:modified xsi:type="dcterms:W3CDTF">2024-10-14T16:58:22Z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90D2CFF058D24408AEFAB33F62BDE872_13</vt:lpwstr>
  </property>
</Properties>
</file>