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新疆维吾尔自治区中小企业服务中心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 xml:space="preserve"> 2023年度</w:t>
      </w:r>
      <w:r>
        <w:rPr>
          <w:rFonts w:hint="eastAsia" w:ascii="方正小标宋_GBK" w:hAnsi="宋体" w:eastAsia="方正小标宋_GBK"/>
          <w:sz w:val="44"/>
          <w:szCs w:val="44"/>
          <w:highlight w:val="none"/>
        </w:rPr>
        <w:t>决算公开说明</w:t>
      </w:r>
    </w:p>
    <w:p>
      <w:pPr>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2"/>
          <w:szCs w:val="32"/>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黑体"/>
          <w:sz w:val="32"/>
          <w:szCs w:val="32"/>
          <w:highlight w:val="none"/>
        </w:rPr>
      </w:pPr>
      <w:bookmarkStart w:id="0" w:name="_Toc32314"/>
      <w:bookmarkStart w:id="1" w:name="_Toc24028"/>
      <w:r>
        <w:rPr>
          <w:rFonts w:hint="eastAsia" w:ascii="黑体" w:hAnsi="黑体" w:eastAsia="黑体" w:cs="黑体"/>
          <w:sz w:val="32"/>
          <w:szCs w:val="32"/>
          <w:highlight w:val="none"/>
        </w:rPr>
        <w:t xml:space="preserve">第一部分 </w:t>
      </w:r>
      <w:r>
        <w:rPr>
          <w:rFonts w:hint="eastAsia" w:ascii="黑体" w:hAnsi="黑体" w:eastAsia="黑体" w:cs="黑体"/>
          <w:sz w:val="32"/>
          <w:szCs w:val="32"/>
          <w:highlight w:val="none"/>
          <w:lang w:eastAsia="zh-CN"/>
        </w:rPr>
        <w:t>单位</w:t>
      </w:r>
      <w:r>
        <w:rPr>
          <w:rFonts w:hint="eastAsia" w:ascii="黑体" w:hAnsi="黑体" w:eastAsia="黑体" w:cs="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rPr>
      </w:pPr>
      <w:bookmarkStart w:id="2" w:name="_Toc30738"/>
      <w:bookmarkStart w:id="3" w:name="_Toc30567"/>
      <w:r>
        <w:rPr>
          <w:rFonts w:hint="eastAsia" w:ascii="黑体" w:hAnsi="黑体" w:eastAsia="黑体" w:cs="黑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黑体" w:hAnsi="黑体" w:eastAsia="黑体" w:cs="宋体"/>
          <w:bCs/>
          <w:kern w:val="0"/>
          <w:sz w:val="32"/>
          <w:szCs w:val="32"/>
        </w:rPr>
      </w:pPr>
      <w:r>
        <w:rPr>
          <w:rFonts w:ascii="仿宋_GB2312" w:eastAsia="仿宋_GB2312"/>
          <w:sz w:val="32"/>
          <w:szCs w:val="32"/>
        </w:rPr>
        <w:t>根据《关于印发&lt;新疆维吾尔自治区经济和信息化委员会（新疆维吾尔自治区国防科学技术工业办公室）所属事业单位分类改革方案&gt;的通知》（新事改办〔2014〕11号）文件，核定新疆维吾尔自治区中小企业服务中心为公益二类事业单位。主要职责是：为全区中小企业发展提供技术创新、市场开拓、信息交流、人才引进、业务培训、信用担保、对外合作等服务</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rPr>
      </w:pPr>
      <w:bookmarkStart w:id="4" w:name="_Toc31238"/>
      <w:bookmarkStart w:id="5" w:name="_Toc2151"/>
      <w:r>
        <w:rPr>
          <w:rFonts w:hint="eastAsia" w:ascii="黑体" w:hAnsi="黑体" w:eastAsia="黑体" w:cs="黑体"/>
          <w:bCs/>
          <w:kern w:val="0"/>
          <w:sz w:val="32"/>
          <w:szCs w:val="32"/>
          <w:highlight w:val="none"/>
        </w:rPr>
        <w:t>二、机构设置</w:t>
      </w:r>
      <w:r>
        <w:rPr>
          <w:rFonts w:hint="eastAsia" w:ascii="黑体" w:hAnsi="黑体" w:eastAsia="黑体" w:cs="黑体"/>
          <w:bCs/>
          <w:kern w:val="0"/>
          <w:sz w:val="32"/>
          <w:szCs w:val="32"/>
          <w:highlight w:val="none"/>
          <w:lang w:eastAsia="zh-CN"/>
        </w:rPr>
        <w:t>及</w:t>
      </w:r>
      <w:bookmarkEnd w:id="4"/>
      <w:r>
        <w:rPr>
          <w:rFonts w:hint="eastAsia" w:ascii="黑体" w:hAnsi="黑体" w:eastAsia="黑体" w:cs="黑体"/>
          <w:bCs/>
          <w:kern w:val="0"/>
          <w:sz w:val="32"/>
          <w:szCs w:val="32"/>
          <w:highlight w:val="none"/>
          <w:lang w:eastAsia="zh-CN"/>
        </w:rPr>
        <w:t>人员</w:t>
      </w:r>
      <w:r>
        <w:rPr>
          <w:rFonts w:hint="eastAsia" w:ascii="黑体" w:hAnsi="黑体" w:eastAsia="黑体" w:cs="黑体"/>
          <w:bCs/>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新疆维吾尔自治区中小企业服务中心</w:t>
      </w:r>
      <w:r>
        <w:rPr>
          <w:rFonts w:hint="eastAsia" w:ascii="仿宋_GB2312" w:hAnsi="仿宋_GB2312" w:eastAsia="仿宋_GB2312" w:cs="仿宋_GB2312"/>
          <w:spacing w:val="0"/>
          <w:sz w:val="32"/>
          <w:szCs w:val="32"/>
          <w:highlight w:val="none"/>
          <w:lang w:eastAsia="zh-CN"/>
        </w:rPr>
        <w:t>2023年度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实有人数</w:t>
      </w:r>
      <w:r>
        <w:rPr>
          <w:rFonts w:hint="eastAsia" w:ascii="仿宋_GB2312" w:hAnsi="仿宋_GB2312" w:eastAsia="仿宋_GB2312" w:cs="仿宋_GB2312"/>
          <w:sz w:val="32"/>
          <w:szCs w:val="32"/>
          <w:highlight w:val="none"/>
          <w:lang w:val="zh-CN" w:eastAsia="zh-CN"/>
        </w:rPr>
        <w:t>25</w:t>
      </w:r>
      <w:r>
        <w:rPr>
          <w:rFonts w:hint="eastAsia" w:ascii="仿宋_GB2312" w:hAnsi="仿宋_GB2312" w:eastAsia="仿宋_GB2312" w:cs="仿宋_GB2312"/>
          <w:sz w:val="32"/>
          <w:szCs w:val="32"/>
          <w:highlight w:val="none"/>
        </w:rPr>
        <w:t>人，其中：在职人员</w:t>
      </w:r>
      <w:r>
        <w:rPr>
          <w:rFonts w:hint="eastAsia" w:ascii="仿宋_GB2312" w:hAnsi="仿宋_GB2312" w:eastAsia="仿宋_GB2312" w:cs="仿宋_GB2312"/>
          <w:sz w:val="32"/>
          <w:szCs w:val="32"/>
          <w:highlight w:val="none"/>
          <w:lang w:val="zh-CN" w:eastAsia="zh-CN"/>
        </w:rPr>
        <w:t>18</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离休人员</w:t>
      </w:r>
      <w:r>
        <w:rPr>
          <w:rFonts w:hint="eastAsia" w:ascii="仿宋_GB2312" w:hAnsi="仿宋_GB2312" w:eastAsia="仿宋_GB2312" w:cs="仿宋_GB2312"/>
          <w:sz w:val="32"/>
          <w:szCs w:val="32"/>
          <w:highlight w:val="none"/>
          <w:lang w:val="zh-CN" w:eastAsia="zh-CN"/>
        </w:rPr>
        <w:t>0</w:t>
      </w:r>
      <w:r>
        <w:rPr>
          <w:rFonts w:hint="eastAsia" w:ascii="仿宋_GB2312" w:hAnsi="仿宋_GB2312" w:eastAsia="仿宋_GB2312" w:cs="仿宋_GB2312"/>
          <w:sz w:val="32"/>
          <w:szCs w:val="32"/>
          <w:highlight w:val="none"/>
        </w:rPr>
        <w:t>人，退休人员</w:t>
      </w:r>
      <w:r>
        <w:rPr>
          <w:rFonts w:hint="eastAsia" w:ascii="仿宋_GB2312" w:hAnsi="仿宋_GB2312" w:eastAsia="仿宋_GB2312" w:cs="仿宋_GB2312"/>
          <w:sz w:val="32"/>
          <w:szCs w:val="32"/>
          <w:highlight w:val="none"/>
          <w:lang w:val="zh-CN" w:eastAsia="zh-CN"/>
        </w:rPr>
        <w:t>7</w:t>
      </w:r>
      <w:r>
        <w:rPr>
          <w:rFonts w:hint="eastAsia" w:ascii="仿宋_GB2312" w:hAnsi="仿宋_GB2312" w:eastAsia="仿宋_GB2312" w:cs="仿宋_GB2312"/>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个处室，分别是：综合管理部、资产与财务管理部、咨询与培训管理部、创业与创新服务部、融资与担保服务部、网络平台运营管理部</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sz w:val="32"/>
          <w:szCs w:val="32"/>
          <w:highlight w:val="none"/>
        </w:rPr>
      </w:pPr>
      <w:bookmarkStart w:id="6" w:name="_Toc29374"/>
      <w:bookmarkStart w:id="7" w:name="_Toc3092"/>
      <w:r>
        <w:rPr>
          <w:rFonts w:hint="eastAsia" w:ascii="黑体" w:hAnsi="黑体" w:eastAsia="黑体" w:cs="黑体"/>
          <w:sz w:val="32"/>
          <w:szCs w:val="32"/>
          <w:highlight w:val="none"/>
        </w:rPr>
        <w:t>第</w:t>
      </w: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黑体"/>
          <w:bCs/>
          <w:kern w:val="0"/>
          <w:sz w:val="32"/>
          <w:szCs w:val="32"/>
          <w:highlight w:val="none"/>
        </w:rPr>
      </w:pPr>
      <w:bookmarkStart w:id="8" w:name="_Toc12566"/>
      <w:bookmarkStart w:id="9" w:name="_Toc25314"/>
      <w:r>
        <w:rPr>
          <w:rFonts w:hint="eastAsia" w:ascii="黑体" w:hAnsi="黑体" w:eastAsia="黑体" w:cs="黑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bCs/>
          <w:spacing w:val="0"/>
          <w:sz w:val="32"/>
          <w:szCs w:val="32"/>
          <w:highlight w:val="none"/>
          <w:lang w:eastAsia="zh-CN"/>
        </w:rPr>
        <w:t>2023年度</w:t>
      </w:r>
      <w:r>
        <w:rPr>
          <w:rFonts w:hint="eastAsia" w:ascii="仿宋_GB2312" w:hAnsi="仿宋_GB2312" w:eastAsia="仿宋_GB2312" w:cs="仿宋_GB2312"/>
          <w:b/>
          <w:bCs/>
          <w:spacing w:val="0"/>
          <w:sz w:val="32"/>
          <w:szCs w:val="32"/>
          <w:highlight w:val="none"/>
          <w:lang w:val="en-US" w:eastAsia="zh-CN"/>
        </w:rPr>
        <w:t>收入总计</w:t>
      </w:r>
      <w:r>
        <w:rPr>
          <w:rFonts w:hint="eastAsia" w:ascii="仿宋_GB2312" w:hAnsi="仿宋_GB2312" w:eastAsia="仿宋_GB2312" w:cs="仿宋_GB2312"/>
          <w:b/>
          <w:bCs/>
          <w:sz w:val="32"/>
          <w:szCs w:val="32"/>
          <w:highlight w:val="none"/>
          <w:lang w:eastAsia="zh-CN"/>
        </w:rPr>
        <w:t>1,529.76</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其中：本年收入合计</w:t>
      </w:r>
      <w:r>
        <w:rPr>
          <w:rFonts w:hint="eastAsia" w:ascii="仿宋_GB2312" w:hAnsi="仿宋_GB2312" w:eastAsia="仿宋_GB2312" w:cs="仿宋_GB2312"/>
          <w:b w:val="0"/>
          <w:bCs w:val="0"/>
          <w:sz w:val="32"/>
          <w:szCs w:val="32"/>
          <w:highlight w:val="none"/>
          <w:lang w:eastAsia="zh-CN"/>
        </w:rPr>
        <w:t>1,120.99</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，使用非财政拨款结余408.77</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，年初结转和结余0.00</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bCs/>
          <w:sz w:val="32"/>
          <w:szCs w:val="32"/>
          <w:highlight w:val="none"/>
          <w:lang w:val="en-US" w:eastAsia="zh-CN"/>
        </w:rPr>
        <w:t>2023</w:t>
      </w:r>
      <w:r>
        <w:rPr>
          <w:rFonts w:hint="eastAsia" w:ascii="仿宋_GB2312" w:hAnsi="仿宋_GB2312" w:eastAsia="仿宋_GB2312" w:cs="仿宋_GB2312"/>
          <w:b/>
          <w:bCs/>
          <w:sz w:val="32"/>
          <w:szCs w:val="32"/>
          <w:highlight w:val="none"/>
        </w:rPr>
        <w:t>年</w:t>
      </w:r>
      <w:r>
        <w:rPr>
          <w:rFonts w:hint="eastAsia" w:ascii="仿宋_GB2312" w:hAnsi="仿宋_GB2312" w:eastAsia="仿宋_GB2312" w:cs="仿宋_GB2312"/>
          <w:b/>
          <w:bCs/>
          <w:sz w:val="32"/>
          <w:szCs w:val="32"/>
          <w:highlight w:val="none"/>
          <w:lang w:val="en-US" w:eastAsia="zh-CN"/>
        </w:rPr>
        <w:t>度</w:t>
      </w:r>
      <w:r>
        <w:rPr>
          <w:rFonts w:hint="eastAsia" w:ascii="仿宋_GB2312" w:hAnsi="仿宋_GB2312" w:eastAsia="仿宋_GB2312" w:cs="仿宋_GB2312"/>
          <w:b/>
          <w:bCs/>
          <w:sz w:val="32"/>
          <w:szCs w:val="32"/>
          <w:highlight w:val="none"/>
        </w:rPr>
        <w:t>支出</w:t>
      </w:r>
      <w:r>
        <w:rPr>
          <w:rFonts w:hint="eastAsia" w:ascii="仿宋_GB2312" w:hAnsi="仿宋_GB2312" w:eastAsia="仿宋_GB2312" w:cs="仿宋_GB2312"/>
          <w:b/>
          <w:bCs/>
          <w:sz w:val="32"/>
          <w:szCs w:val="32"/>
          <w:highlight w:val="none"/>
          <w:lang w:val="en-US" w:eastAsia="zh-CN"/>
        </w:rPr>
        <w:t>总计</w:t>
      </w:r>
      <w:r>
        <w:rPr>
          <w:rFonts w:hint="eastAsia" w:ascii="仿宋_GB2312" w:hAnsi="仿宋_GB2312" w:eastAsia="仿宋_GB2312" w:cs="仿宋_GB2312"/>
          <w:b/>
          <w:bCs/>
          <w:sz w:val="32"/>
          <w:szCs w:val="32"/>
          <w:highlight w:val="none"/>
          <w:lang w:eastAsia="zh-CN"/>
        </w:rPr>
        <w:t>1,529.76</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其中：本年支出合计</w:t>
      </w:r>
      <w:r>
        <w:rPr>
          <w:rFonts w:hint="eastAsia" w:ascii="仿宋_GB2312" w:hAnsi="仿宋_GB2312" w:eastAsia="仿宋_GB2312" w:cs="仿宋_GB2312"/>
          <w:b w:val="0"/>
          <w:bCs w:val="0"/>
          <w:sz w:val="32"/>
          <w:szCs w:val="32"/>
          <w:highlight w:val="none"/>
          <w:lang w:eastAsia="zh-CN"/>
        </w:rPr>
        <w:t>1,527.47</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结余分配</w:t>
      </w:r>
      <w:r>
        <w:rPr>
          <w:rFonts w:hint="eastAsia" w:ascii="仿宋_GB2312" w:hAnsi="仿宋_GB2312" w:eastAsia="仿宋_GB2312" w:cs="仿宋_GB2312"/>
          <w:b w:val="0"/>
          <w:bCs w:val="0"/>
          <w:sz w:val="32"/>
          <w:szCs w:val="32"/>
          <w:highlight w:val="none"/>
          <w:lang w:eastAsia="zh-CN"/>
        </w:rPr>
        <w:t>2.29</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，年末结转和结余0.00</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sz w:val="32"/>
          <w:szCs w:val="32"/>
          <w:highlight w:val="none"/>
          <w:lang w:val="en-US" w:eastAsia="zh-CN"/>
        </w:rPr>
        <w:t>收入支出总体</w:t>
      </w:r>
      <w:r>
        <w:rPr>
          <w:rFonts w:hint="eastAsia" w:ascii="仿宋_GB2312" w:hAnsi="仿宋_GB2312" w:eastAsia="仿宋_GB2312" w:cs="仿宋_GB2312"/>
          <w:b/>
          <w:bCs/>
          <w:sz w:val="32"/>
          <w:szCs w:val="32"/>
          <w:highlight w:val="none"/>
        </w:rPr>
        <w:t>与上年相比</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val="0"/>
          <w:bCs w:val="0"/>
          <w:sz w:val="32"/>
          <w:szCs w:val="32"/>
          <w:highlight w:val="none"/>
          <w:lang w:val="zh-CN"/>
        </w:rPr>
        <w:t>增加</w:t>
      </w:r>
      <w:r>
        <w:rPr>
          <w:rFonts w:hint="eastAsia" w:ascii="仿宋_GB2312" w:hAnsi="仿宋_GB2312" w:eastAsia="仿宋_GB2312" w:cs="仿宋_GB2312"/>
          <w:b w:val="0"/>
          <w:bCs w:val="0"/>
          <w:sz w:val="32"/>
          <w:szCs w:val="32"/>
          <w:highlight w:val="none"/>
          <w:lang w:val="en-US" w:eastAsia="zh-CN"/>
        </w:rPr>
        <w:t>638.20</w:t>
      </w:r>
      <w:r>
        <w:rPr>
          <w:rFonts w:hint="eastAsia" w:ascii="仿宋_GB2312" w:hAnsi="仿宋_GB2312" w:eastAsia="仿宋_GB2312" w:cs="仿宋_GB2312"/>
          <w:b w:val="0"/>
          <w:bCs w:val="0"/>
          <w:sz w:val="32"/>
          <w:szCs w:val="32"/>
          <w:highlight w:val="none"/>
          <w:lang w:val="zh-CN"/>
        </w:rPr>
        <w:t>万元</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zh-CN"/>
        </w:rPr>
        <w:t>增长</w:t>
      </w:r>
      <w:r>
        <w:rPr>
          <w:rFonts w:hint="eastAsia" w:ascii="仿宋_GB2312" w:hAnsi="仿宋_GB2312" w:eastAsia="仿宋_GB2312" w:cs="仿宋_GB2312"/>
          <w:b w:val="0"/>
          <w:bCs w:val="0"/>
          <w:sz w:val="32"/>
          <w:szCs w:val="32"/>
          <w:highlight w:val="none"/>
          <w:lang w:val="en-US" w:eastAsia="zh-CN"/>
        </w:rPr>
        <w:t>71.58</w:t>
      </w:r>
      <w:r>
        <w:rPr>
          <w:rFonts w:hint="eastAsia" w:ascii="仿宋_GB2312" w:hAnsi="仿宋_GB2312" w:eastAsia="仿宋_GB2312" w:cs="仿宋_GB2312"/>
          <w:b w:val="0"/>
          <w:bCs w:val="0"/>
          <w:sz w:val="32"/>
          <w:szCs w:val="32"/>
          <w:highlight w:val="none"/>
          <w:lang w:val="zh-CN"/>
        </w:rPr>
        <w:t>%</w:t>
      </w:r>
      <w:r>
        <w:rPr>
          <w:rFonts w:hint="eastAsia" w:ascii="仿宋_GB2312" w:hAnsi="仿宋_GB2312" w:eastAsia="仿宋_GB2312" w:cs="仿宋_GB2312"/>
          <w:b w:val="0"/>
          <w:bCs w:val="0"/>
          <w:sz w:val="32"/>
          <w:szCs w:val="32"/>
          <w:highlight w:val="none"/>
          <w:lang w:eastAsia="zh-CN"/>
        </w:rPr>
        <w:t>，主要原因是</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从收入方面看，一是新增2023年自治区中小企业发展专项资金项目，</w:t>
      </w:r>
      <w:r>
        <w:rPr>
          <w:rFonts w:hint="eastAsia" w:ascii="仿宋_GB2312" w:hAnsi="仿宋_GB2312" w:eastAsia="仿宋_GB2312" w:cs="仿宋_GB2312"/>
          <w:b w:val="0"/>
          <w:bCs w:val="0"/>
          <w:sz w:val="32"/>
          <w:szCs w:val="32"/>
          <w:highlight w:val="none"/>
          <w:lang w:eastAsia="zh-CN"/>
        </w:rPr>
        <w:t>增加财政拨款预算</w:t>
      </w:r>
      <w:r>
        <w:rPr>
          <w:rFonts w:hint="eastAsia" w:ascii="仿宋_GB2312" w:hAnsi="仿宋_GB2312" w:eastAsia="仿宋_GB2312" w:cs="仿宋_GB2312"/>
          <w:b w:val="0"/>
          <w:bCs w:val="0"/>
          <w:sz w:val="32"/>
          <w:szCs w:val="32"/>
          <w:highlight w:val="none"/>
          <w:lang w:val="en-US" w:eastAsia="zh-CN"/>
        </w:rPr>
        <w:t>金额2</w:t>
      </w:r>
      <w:r>
        <w:rPr>
          <w:rFonts w:hint="eastAsia" w:ascii="仿宋_GB2312" w:hAnsi="仿宋_GB2312" w:eastAsia="仿宋_GB2312" w:cs="仿宋_GB2312"/>
          <w:b w:val="0"/>
          <w:bCs w:val="0"/>
          <w:sz w:val="32"/>
          <w:szCs w:val="32"/>
          <w:highlight w:val="none"/>
          <w:lang w:eastAsia="zh-CN"/>
        </w:rPr>
        <w:t>50.00万元；</w:t>
      </w:r>
      <w:r>
        <w:rPr>
          <w:rFonts w:hint="eastAsia" w:ascii="仿宋_GB2312" w:hAnsi="仿宋_GB2312" w:eastAsia="仿宋_GB2312" w:cs="仿宋_GB2312"/>
          <w:b w:val="0"/>
          <w:bCs w:val="0"/>
          <w:sz w:val="32"/>
          <w:szCs w:val="32"/>
          <w:highlight w:val="none"/>
          <w:lang w:val="en-US" w:eastAsia="zh-CN"/>
        </w:rPr>
        <w:t>二是其他收入增减，2023年对外投资公司正常进行投资分红。从支出方面看，</w:t>
      </w:r>
      <w:r>
        <w:rPr>
          <w:rFonts w:hint="eastAsia" w:ascii="仿宋_GB2312" w:hAnsi="仿宋_GB2312" w:eastAsia="仿宋_GB2312" w:cs="仿宋_GB2312"/>
          <w:b w:val="0"/>
          <w:bCs w:val="0"/>
          <w:color w:val="auto"/>
          <w:kern w:val="2"/>
          <w:sz w:val="32"/>
          <w:szCs w:val="32"/>
          <w:lang w:val="en-US" w:eastAsia="zh-CN" w:bidi="ar-SA"/>
        </w:rPr>
        <w:t>一是人员工</w:t>
      </w:r>
      <w:r>
        <w:rPr>
          <w:rFonts w:hint="eastAsia" w:ascii="仿宋_GB2312" w:hAnsi="仿宋_GB2312" w:eastAsia="仿宋_GB2312" w:cs="仿宋_GB2312"/>
          <w:color w:val="auto"/>
          <w:kern w:val="2"/>
          <w:sz w:val="32"/>
          <w:szCs w:val="32"/>
          <w:lang w:val="en-US" w:eastAsia="zh-CN" w:bidi="ar-SA"/>
        </w:rPr>
        <w:t>资调整导致各项经费增加。二是</w:t>
      </w:r>
      <w:r>
        <w:rPr>
          <w:rFonts w:hint="eastAsia" w:ascii="仿宋_GB2312" w:hAnsi="仿宋_GB2312" w:eastAsia="仿宋_GB2312" w:cs="仿宋_GB2312"/>
          <w:sz w:val="32"/>
          <w:szCs w:val="32"/>
          <w:highlight w:val="none"/>
          <w:lang w:val="en-US" w:eastAsia="zh-CN"/>
        </w:rPr>
        <w:t>新增2023年自治区中小企业发展专项资金项目，</w:t>
      </w:r>
      <w:r>
        <w:rPr>
          <w:rFonts w:hint="eastAsia" w:ascii="仿宋_GB2312" w:hAnsi="仿宋_GB2312" w:eastAsia="仿宋_GB2312" w:cs="仿宋_GB2312"/>
          <w:sz w:val="32"/>
          <w:szCs w:val="32"/>
          <w:highlight w:val="none"/>
          <w:lang w:eastAsia="zh-CN"/>
        </w:rPr>
        <w:t>增加财政拨款预算</w:t>
      </w:r>
      <w:r>
        <w:rPr>
          <w:rFonts w:hint="eastAsia" w:ascii="仿宋_GB2312" w:hAnsi="仿宋_GB2312" w:eastAsia="仿宋_GB2312" w:cs="仿宋_GB2312"/>
          <w:sz w:val="32"/>
          <w:szCs w:val="32"/>
          <w:highlight w:val="none"/>
          <w:lang w:val="en-US" w:eastAsia="zh-CN"/>
        </w:rPr>
        <w:t>金额2</w:t>
      </w:r>
      <w:r>
        <w:rPr>
          <w:rFonts w:hint="eastAsia" w:ascii="仿宋_GB2312" w:hAnsi="仿宋_GB2312" w:eastAsia="仿宋_GB2312" w:cs="仿宋_GB2312"/>
          <w:sz w:val="32"/>
          <w:szCs w:val="32"/>
          <w:highlight w:val="none"/>
          <w:lang w:eastAsia="zh-CN"/>
        </w:rPr>
        <w:t>50.00万元</w:t>
      </w:r>
      <w:r>
        <w:rPr>
          <w:rFonts w:hint="eastAsia" w:ascii="仿宋_GB2312" w:hAnsi="仿宋_GB2312" w:eastAsia="仿宋_GB2312" w:cs="仿宋_GB2312"/>
          <w:color w:val="auto"/>
          <w:kern w:val="2"/>
          <w:sz w:val="32"/>
          <w:szCs w:val="32"/>
          <w:lang w:val="en-US" w:eastAsia="zh-CN" w:bidi="ar-SA"/>
        </w:rPr>
        <w:t>。三是根据业务需要，打造线下服务大厅，平台运营维护项目资金增加。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rPr>
      </w:pPr>
      <w:bookmarkStart w:id="10" w:name="_Toc1979"/>
      <w:bookmarkStart w:id="11" w:name="_Toc12142"/>
      <w:r>
        <w:rPr>
          <w:rFonts w:hint="eastAsia" w:ascii="黑体" w:hAnsi="黑体" w:eastAsia="黑体" w:cs="黑体"/>
          <w:bCs/>
          <w:kern w:val="0"/>
          <w:sz w:val="32"/>
          <w:szCs w:val="32"/>
          <w:highlight w:val="none"/>
          <w:lang w:eastAsia="zh-CN"/>
        </w:rPr>
        <w:t>二、</w:t>
      </w:r>
      <w:r>
        <w:rPr>
          <w:rFonts w:hint="eastAsia" w:ascii="黑体" w:hAnsi="黑体" w:eastAsia="黑体" w:cs="黑体"/>
          <w:bCs/>
          <w:kern w:val="0"/>
          <w:sz w:val="32"/>
          <w:szCs w:val="32"/>
          <w:highlight w:val="none"/>
        </w:rPr>
        <w:t>收入</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本年收入</w:t>
      </w:r>
      <w:r>
        <w:rPr>
          <w:rFonts w:hint="eastAsia" w:ascii="仿宋_GB2312" w:hAnsi="仿宋_GB2312" w:eastAsia="仿宋_GB2312" w:cs="仿宋_GB2312"/>
          <w:b/>
          <w:bCs/>
          <w:sz w:val="32"/>
          <w:szCs w:val="32"/>
          <w:highlight w:val="none"/>
          <w:lang w:eastAsia="zh-CN"/>
        </w:rPr>
        <w:t>1,120.99</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sz w:val="32"/>
          <w:szCs w:val="32"/>
          <w:highlight w:val="none"/>
        </w:rPr>
        <w:t>其中：财政拨款收入</w:t>
      </w:r>
      <w:r>
        <w:rPr>
          <w:rFonts w:hint="eastAsia" w:ascii="仿宋_GB2312" w:hAnsi="仿宋_GB2312" w:eastAsia="仿宋_GB2312" w:cs="仿宋_GB2312"/>
          <w:sz w:val="32"/>
          <w:szCs w:val="32"/>
          <w:highlight w:val="none"/>
          <w:lang w:val="zh-CN"/>
        </w:rPr>
        <w:t>640.19</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57.11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w:t>
      </w:r>
      <w:r>
        <w:rPr>
          <w:rFonts w:hint="eastAsia" w:ascii="仿宋_GB2312" w:hAnsi="仿宋_GB2312" w:eastAsia="仿宋_GB2312" w:cs="仿宋_GB2312"/>
          <w:sz w:val="32"/>
          <w:szCs w:val="32"/>
          <w:highlight w:val="none"/>
          <w:lang w:val="zh-CN"/>
        </w:rPr>
        <w:t>17.04</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1.52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附属单位上缴收入</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；其他收入</w:t>
      </w:r>
      <w:r>
        <w:rPr>
          <w:rFonts w:hint="eastAsia" w:ascii="仿宋_GB2312" w:hAnsi="仿宋_GB2312" w:eastAsia="仿宋_GB2312" w:cs="仿宋_GB2312"/>
          <w:sz w:val="32"/>
          <w:szCs w:val="32"/>
          <w:highlight w:val="none"/>
          <w:lang w:val="zh-CN"/>
        </w:rPr>
        <w:t>463.7</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zh-CN"/>
        </w:rPr>
        <w:t>41.37</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2" w:name="_Toc13201"/>
      <w:bookmarkStart w:id="13" w:name="_Toc27961"/>
      <w:r>
        <w:rPr>
          <w:rFonts w:hint="eastAsia" w:ascii="黑体" w:hAnsi="黑体" w:eastAsia="黑体" w:cs="黑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本年支出</w:t>
      </w:r>
      <w:r>
        <w:rPr>
          <w:rFonts w:hint="eastAsia" w:ascii="仿宋_GB2312" w:hAnsi="仿宋_GB2312" w:eastAsia="仿宋_GB2312" w:cs="仿宋_GB2312"/>
          <w:b/>
          <w:bCs/>
          <w:sz w:val="32"/>
          <w:szCs w:val="32"/>
          <w:highlight w:val="none"/>
          <w:lang w:eastAsia="zh-CN"/>
        </w:rPr>
        <w:t>1,527.47万元</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val="0"/>
          <w:bCs w:val="0"/>
          <w:sz w:val="32"/>
          <w:szCs w:val="32"/>
          <w:highlight w:val="none"/>
        </w:rPr>
        <w:t>其中</w:t>
      </w:r>
      <w:r>
        <w:rPr>
          <w:rFonts w:hint="eastAsia" w:ascii="仿宋_GB2312" w:hAnsi="仿宋_GB2312" w:eastAsia="仿宋_GB2312" w:cs="仿宋_GB2312"/>
          <w:sz w:val="32"/>
          <w:szCs w:val="32"/>
          <w:highlight w:val="none"/>
        </w:rPr>
        <w:t>：基本支出</w:t>
      </w:r>
      <w:r>
        <w:rPr>
          <w:rFonts w:hint="eastAsia" w:ascii="仿宋_GB2312" w:hAnsi="仿宋_GB2312" w:eastAsia="仿宋_GB2312" w:cs="仿宋_GB2312"/>
          <w:sz w:val="32"/>
          <w:szCs w:val="32"/>
          <w:highlight w:val="none"/>
          <w:lang w:eastAsia="zh-CN"/>
        </w:rPr>
        <w:t>523.28万元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占34.26%；</w:t>
      </w:r>
      <w:r>
        <w:rPr>
          <w:rFonts w:hint="eastAsia" w:ascii="仿宋_GB2312" w:hAnsi="仿宋_GB2312" w:eastAsia="仿宋_GB2312" w:cs="仿宋_GB2312"/>
          <w:sz w:val="32"/>
          <w:szCs w:val="32"/>
          <w:highlight w:val="none"/>
        </w:rPr>
        <w:t>项目支出</w:t>
      </w:r>
      <w:r>
        <w:rPr>
          <w:rFonts w:hint="eastAsia" w:ascii="仿宋_GB2312" w:hAnsi="仿宋_GB2312" w:eastAsia="仿宋_GB2312" w:cs="仿宋_GB2312"/>
          <w:sz w:val="32"/>
          <w:szCs w:val="32"/>
          <w:highlight w:val="none"/>
          <w:lang w:eastAsia="zh-CN"/>
        </w:rPr>
        <w:t>989.44万元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占64.7</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上缴上级支出</w:t>
      </w:r>
      <w:r>
        <w:rPr>
          <w:rFonts w:hint="eastAsia" w:ascii="仿宋_GB2312" w:hAnsi="仿宋_GB2312" w:eastAsia="仿宋_GB2312" w:cs="仿宋_GB2312"/>
          <w:sz w:val="32"/>
          <w:szCs w:val="32"/>
          <w:highlight w:val="none"/>
          <w:lang w:eastAsia="zh-CN"/>
        </w:rPr>
        <w:t>0.00万元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经营支出</w:t>
      </w:r>
      <w:r>
        <w:rPr>
          <w:rFonts w:hint="eastAsia" w:ascii="仿宋_GB2312" w:hAnsi="仿宋_GB2312" w:eastAsia="仿宋_GB2312" w:cs="仿宋_GB2312"/>
          <w:sz w:val="32"/>
          <w:szCs w:val="32"/>
          <w:highlight w:val="none"/>
          <w:lang w:eastAsia="zh-CN"/>
        </w:rPr>
        <w:t>14.75万元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占0.97%；</w:t>
      </w:r>
      <w:r>
        <w:rPr>
          <w:rFonts w:hint="eastAsia" w:ascii="仿宋_GB2312" w:hAnsi="仿宋_GB2312" w:eastAsia="仿宋_GB2312" w:cs="仿宋_GB2312"/>
          <w:sz w:val="32"/>
          <w:szCs w:val="32"/>
          <w:highlight w:val="none"/>
        </w:rPr>
        <w:t>对附属单位补助支出</w:t>
      </w:r>
      <w:r>
        <w:rPr>
          <w:rFonts w:hint="eastAsia" w:ascii="仿宋_GB2312" w:hAnsi="仿宋_GB2312" w:eastAsia="仿宋_GB2312" w:cs="仿宋_GB2312"/>
          <w:sz w:val="32"/>
          <w:szCs w:val="32"/>
          <w:highlight w:val="none"/>
          <w:lang w:eastAsia="zh-CN"/>
        </w:rPr>
        <w:t>0.00万元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占0.00</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4" w:name="_Toc26564"/>
      <w:bookmarkStart w:id="15" w:name="_Toc4393"/>
      <w:r>
        <w:rPr>
          <w:rFonts w:hint="eastAsia" w:ascii="黑体" w:hAnsi="黑体" w:eastAsia="黑体" w:cs="黑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bCs/>
          <w:spacing w:val="0"/>
          <w:sz w:val="32"/>
          <w:szCs w:val="32"/>
          <w:highlight w:val="none"/>
          <w:lang w:eastAsia="zh-CN"/>
        </w:rPr>
        <w:t>2023年度</w:t>
      </w:r>
      <w:r>
        <w:rPr>
          <w:rFonts w:hint="eastAsia" w:ascii="仿宋_GB2312" w:hAnsi="仿宋_GB2312" w:eastAsia="仿宋_GB2312" w:cs="仿宋_GB2312"/>
          <w:b/>
          <w:bCs/>
          <w:sz w:val="32"/>
          <w:szCs w:val="32"/>
          <w:highlight w:val="none"/>
        </w:rPr>
        <w:t>财政拨款收入</w:t>
      </w:r>
      <w:r>
        <w:rPr>
          <w:rFonts w:hint="eastAsia" w:ascii="仿宋_GB2312" w:hAnsi="仿宋_GB2312" w:eastAsia="仿宋_GB2312" w:cs="仿宋_GB2312"/>
          <w:b/>
          <w:bCs/>
          <w:sz w:val="32"/>
          <w:szCs w:val="32"/>
          <w:highlight w:val="none"/>
          <w:lang w:val="en-US" w:eastAsia="zh-CN"/>
        </w:rPr>
        <w:t>总计</w:t>
      </w:r>
      <w:r>
        <w:rPr>
          <w:rFonts w:hint="eastAsia" w:ascii="仿宋_GB2312" w:hAnsi="仿宋_GB2312" w:eastAsia="仿宋_GB2312" w:cs="仿宋_GB2312"/>
          <w:b/>
          <w:bCs/>
          <w:sz w:val="32"/>
          <w:szCs w:val="32"/>
          <w:highlight w:val="none"/>
          <w:lang w:val="zh-CN"/>
        </w:rPr>
        <w:t>640.19</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val="0"/>
          <w:bCs w:val="0"/>
          <w:sz w:val="32"/>
          <w:szCs w:val="32"/>
          <w:highlight w:val="none"/>
          <w:lang w:val="en-US" w:eastAsia="zh-CN"/>
        </w:rPr>
        <w:t>其中：年初财政拨款结转和结余</w:t>
      </w:r>
      <w:r>
        <w:rPr>
          <w:rFonts w:hint="eastAsia" w:ascii="仿宋_GB2312" w:hAnsi="仿宋_GB2312" w:eastAsia="仿宋_GB2312" w:cs="仿宋_GB2312"/>
          <w:b w:val="0"/>
          <w:bCs w:val="0"/>
          <w:sz w:val="32"/>
          <w:szCs w:val="32"/>
          <w:highlight w:val="none"/>
          <w:lang w:val="zh-CN"/>
        </w:rPr>
        <w:t>0.00</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本年财政拨款收入</w:t>
      </w:r>
      <w:r>
        <w:rPr>
          <w:rFonts w:hint="eastAsia" w:ascii="仿宋_GB2312" w:hAnsi="仿宋_GB2312" w:eastAsia="仿宋_GB2312" w:cs="仿宋_GB2312"/>
          <w:b w:val="0"/>
          <w:bCs w:val="0"/>
          <w:sz w:val="32"/>
          <w:szCs w:val="32"/>
          <w:highlight w:val="none"/>
          <w:lang w:val="zh-CN"/>
        </w:rPr>
        <w:t>640.19</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bCs/>
          <w:sz w:val="32"/>
          <w:szCs w:val="32"/>
          <w:highlight w:val="none"/>
        </w:rPr>
        <w:t>财政拨款支出</w:t>
      </w:r>
      <w:r>
        <w:rPr>
          <w:rFonts w:hint="eastAsia" w:ascii="仿宋_GB2312" w:hAnsi="仿宋_GB2312" w:eastAsia="仿宋_GB2312" w:cs="仿宋_GB2312"/>
          <w:b/>
          <w:bCs/>
          <w:sz w:val="32"/>
          <w:szCs w:val="32"/>
          <w:highlight w:val="none"/>
          <w:lang w:val="en-US" w:eastAsia="zh-CN"/>
        </w:rPr>
        <w:t>总计</w:t>
      </w:r>
      <w:r>
        <w:rPr>
          <w:rFonts w:hint="eastAsia" w:ascii="仿宋_GB2312" w:hAnsi="仿宋_GB2312" w:eastAsia="仿宋_GB2312" w:cs="仿宋_GB2312"/>
          <w:b/>
          <w:bCs/>
          <w:sz w:val="32"/>
          <w:szCs w:val="32"/>
          <w:highlight w:val="none"/>
          <w:lang w:val="zh-CN"/>
        </w:rPr>
        <w:t>640.19</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val="0"/>
          <w:bCs w:val="0"/>
          <w:sz w:val="32"/>
          <w:szCs w:val="32"/>
          <w:highlight w:val="none"/>
          <w:lang w:val="en-US" w:eastAsia="zh-CN"/>
        </w:rPr>
        <w:t>其中：年末财政拨款结转和结余</w:t>
      </w:r>
      <w:r>
        <w:rPr>
          <w:rFonts w:hint="eastAsia" w:ascii="仿宋_GB2312" w:hAnsi="仿宋_GB2312" w:eastAsia="仿宋_GB2312" w:cs="仿宋_GB2312"/>
          <w:b w:val="0"/>
          <w:bCs w:val="0"/>
          <w:sz w:val="32"/>
          <w:szCs w:val="32"/>
          <w:highlight w:val="none"/>
          <w:lang w:val="zh-CN"/>
        </w:rPr>
        <w:t>0.00</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本年财政拨款支出</w:t>
      </w:r>
      <w:r>
        <w:rPr>
          <w:rFonts w:hint="eastAsia" w:ascii="仿宋_GB2312" w:hAnsi="仿宋_GB2312" w:eastAsia="仿宋_GB2312" w:cs="仿宋_GB2312"/>
          <w:b w:val="0"/>
          <w:bCs w:val="0"/>
          <w:sz w:val="32"/>
          <w:szCs w:val="32"/>
          <w:highlight w:val="none"/>
          <w:lang w:val="zh-CN"/>
        </w:rPr>
        <w:t>640.19</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财政拨款</w:t>
      </w:r>
      <w:r>
        <w:rPr>
          <w:rFonts w:hint="eastAsia" w:ascii="仿宋_GB2312" w:hAnsi="仿宋_GB2312" w:eastAsia="仿宋_GB2312" w:cs="仿宋_GB2312"/>
          <w:b/>
          <w:bCs/>
          <w:sz w:val="32"/>
          <w:szCs w:val="32"/>
          <w:highlight w:val="none"/>
          <w:lang w:val="en-US" w:eastAsia="zh-CN"/>
        </w:rPr>
        <w:t>收入支出总体</w:t>
      </w:r>
      <w:r>
        <w:rPr>
          <w:rFonts w:hint="eastAsia" w:ascii="仿宋_GB2312" w:hAnsi="仿宋_GB2312" w:eastAsia="仿宋_GB2312" w:cs="仿宋_GB2312"/>
          <w:b/>
          <w:bCs/>
          <w:sz w:val="32"/>
          <w:szCs w:val="32"/>
          <w:highlight w:val="none"/>
        </w:rPr>
        <w:t>与上年相比，</w:t>
      </w:r>
      <w:r>
        <w:rPr>
          <w:rFonts w:hint="eastAsia" w:ascii="仿宋_GB2312" w:hAnsi="仿宋_GB2312" w:eastAsia="仿宋_GB2312" w:cs="仿宋_GB2312"/>
          <w:b w:val="0"/>
          <w:bCs w:val="0"/>
          <w:sz w:val="32"/>
          <w:szCs w:val="32"/>
          <w:highlight w:val="none"/>
          <w:lang w:val="zh-CN"/>
        </w:rPr>
        <w:t>增加282.</w:t>
      </w:r>
      <w:r>
        <w:rPr>
          <w:rFonts w:hint="eastAsia" w:ascii="仿宋_GB2312" w:hAnsi="仿宋_GB2312" w:eastAsia="仿宋_GB2312" w:cs="仿宋_GB2312"/>
          <w:b w:val="0"/>
          <w:bCs w:val="0"/>
          <w:sz w:val="32"/>
          <w:szCs w:val="32"/>
          <w:highlight w:val="none"/>
          <w:lang w:val="en-US" w:eastAsia="zh-CN"/>
        </w:rPr>
        <w:t>29</w:t>
      </w:r>
      <w:r>
        <w:rPr>
          <w:rFonts w:hint="eastAsia" w:ascii="仿宋_GB2312" w:hAnsi="仿宋_GB2312" w:eastAsia="仿宋_GB2312" w:cs="仿宋_GB2312"/>
          <w:b w:val="0"/>
          <w:bCs w:val="0"/>
          <w:sz w:val="32"/>
          <w:szCs w:val="32"/>
          <w:highlight w:val="none"/>
          <w:lang w:val="zh-CN"/>
        </w:rPr>
        <w:t>万元</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zh-CN"/>
        </w:rPr>
        <w:t>增长78.8</w:t>
      </w:r>
      <w:r>
        <w:rPr>
          <w:rFonts w:hint="eastAsia" w:ascii="仿宋_GB2312" w:hAnsi="仿宋_GB2312" w:eastAsia="仿宋_GB2312" w:cs="仿宋_GB2312"/>
          <w:b w:val="0"/>
          <w:bCs w:val="0"/>
          <w:sz w:val="32"/>
          <w:szCs w:val="32"/>
          <w:highlight w:val="none"/>
          <w:lang w:val="en-US" w:eastAsia="zh-CN"/>
        </w:rPr>
        <w:t>7</w:t>
      </w:r>
      <w:r>
        <w:rPr>
          <w:rFonts w:hint="eastAsia" w:ascii="仿宋_GB2312" w:hAnsi="仿宋_GB2312" w:eastAsia="仿宋_GB2312" w:cs="仿宋_GB2312"/>
          <w:b w:val="0"/>
          <w:bCs w:val="0"/>
          <w:sz w:val="32"/>
          <w:szCs w:val="32"/>
          <w:highlight w:val="none"/>
          <w:lang w:val="zh-CN"/>
        </w:rPr>
        <w:t>%，</w:t>
      </w:r>
      <w:r>
        <w:rPr>
          <w:rFonts w:hint="eastAsia" w:ascii="仿宋_GB2312" w:hAnsi="仿宋_GB2312" w:eastAsia="仿宋_GB2312" w:cs="仿宋_GB2312"/>
          <w:b w:val="0"/>
          <w:bCs w:val="0"/>
          <w:sz w:val="32"/>
          <w:szCs w:val="32"/>
          <w:highlight w:val="none"/>
          <w:lang w:eastAsia="zh-CN"/>
        </w:rPr>
        <w:t>主要原因是</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为2023年自治区中小企业发展专项资金项目，</w:t>
      </w:r>
      <w:r>
        <w:rPr>
          <w:rFonts w:hint="eastAsia" w:ascii="仿宋_GB2312" w:hAnsi="仿宋_GB2312" w:eastAsia="仿宋_GB2312" w:cs="仿宋_GB2312"/>
          <w:b w:val="0"/>
          <w:bCs w:val="0"/>
          <w:sz w:val="32"/>
          <w:szCs w:val="32"/>
          <w:highlight w:val="none"/>
          <w:lang w:eastAsia="zh-CN"/>
        </w:rPr>
        <w:t>增加财政拨款预算</w:t>
      </w:r>
      <w:r>
        <w:rPr>
          <w:rFonts w:hint="eastAsia" w:ascii="仿宋_GB2312" w:hAnsi="仿宋_GB2312" w:eastAsia="仿宋_GB2312" w:cs="仿宋_GB2312"/>
          <w:b w:val="0"/>
          <w:bCs w:val="0"/>
          <w:sz w:val="32"/>
          <w:szCs w:val="32"/>
          <w:highlight w:val="none"/>
          <w:lang w:val="en-US" w:eastAsia="zh-CN"/>
        </w:rPr>
        <w:t>金额2</w:t>
      </w:r>
      <w:r>
        <w:rPr>
          <w:rFonts w:hint="eastAsia" w:ascii="仿宋_GB2312" w:hAnsi="仿宋_GB2312" w:eastAsia="仿宋_GB2312" w:cs="仿宋_GB2312"/>
          <w:b w:val="0"/>
          <w:bCs w:val="0"/>
          <w:sz w:val="32"/>
          <w:szCs w:val="32"/>
          <w:highlight w:val="none"/>
          <w:lang w:eastAsia="zh-CN"/>
        </w:rPr>
        <w:t>50.00万元。</w:t>
      </w:r>
      <w:r>
        <w:rPr>
          <w:rFonts w:hint="eastAsia" w:ascii="仿宋_GB2312" w:hAnsi="仿宋_GB2312" w:eastAsia="仿宋_GB2312" w:cs="仿宋_GB2312"/>
          <w:b/>
          <w:bCs w:val="0"/>
          <w:color w:val="auto"/>
          <w:kern w:val="0"/>
          <w:sz w:val="32"/>
          <w:szCs w:val="32"/>
          <w:highlight w:val="none"/>
          <w:lang w:val="en-US" w:eastAsia="zh-CN"/>
        </w:rPr>
        <w:t>与年初预算相比</w:t>
      </w:r>
      <w:r>
        <w:rPr>
          <w:rFonts w:hint="eastAsia" w:ascii="仿宋_GB2312" w:hAnsi="仿宋_GB2312" w:eastAsia="仿宋_GB2312" w:cs="仿宋_GB2312"/>
          <w:bCs/>
          <w:color w:val="auto"/>
          <w:kern w:val="0"/>
          <w:sz w:val="32"/>
          <w:szCs w:val="32"/>
          <w:highlight w:val="none"/>
          <w:lang w:val="en-US" w:eastAsia="zh-CN"/>
        </w:rPr>
        <w:t>，年初预算数</w:t>
      </w:r>
      <w:r>
        <w:rPr>
          <w:rFonts w:hint="eastAsia" w:ascii="仿宋_GB2312" w:hAnsi="仿宋_GB2312" w:eastAsia="仿宋_GB2312" w:cs="仿宋_GB2312"/>
          <w:bCs/>
          <w:color w:val="auto"/>
          <w:kern w:val="0"/>
          <w:sz w:val="32"/>
          <w:szCs w:val="32"/>
          <w:highlight w:val="none"/>
          <w:lang w:val="zh-CN" w:eastAsia="zh-CN"/>
        </w:rPr>
        <w:t>624.32</w:t>
      </w:r>
      <w:r>
        <w:rPr>
          <w:rFonts w:hint="eastAsia" w:ascii="仿宋_GB2312" w:hAnsi="仿宋_GB2312" w:eastAsia="仿宋_GB2312" w:cs="仿宋_GB2312"/>
          <w:bCs/>
          <w:color w:val="auto"/>
          <w:kern w:val="0"/>
          <w:sz w:val="32"/>
          <w:szCs w:val="32"/>
          <w:highlight w:val="none"/>
          <w:lang w:val="en-US" w:eastAsia="zh-CN"/>
        </w:rPr>
        <w:t>万元</w:t>
      </w:r>
      <w:r>
        <w:rPr>
          <w:rFonts w:hint="eastAsia" w:ascii="仿宋_GB2312" w:hAnsi="仿宋_GB2312" w:eastAsia="仿宋_GB2312" w:cs="仿宋_GB2312"/>
          <w:b w:val="0"/>
          <w:bCs w:val="0"/>
          <w:sz w:val="32"/>
          <w:szCs w:val="32"/>
          <w:highlight w:val="none"/>
        </w:rPr>
        <w:t>，决算数</w:t>
      </w:r>
      <w:r>
        <w:rPr>
          <w:rFonts w:hint="eastAsia" w:ascii="仿宋_GB2312" w:hAnsi="仿宋_GB2312" w:eastAsia="仿宋_GB2312" w:cs="仿宋_GB2312"/>
          <w:b w:val="0"/>
          <w:bCs w:val="0"/>
          <w:sz w:val="32"/>
          <w:szCs w:val="32"/>
          <w:highlight w:val="none"/>
          <w:lang w:val="zh-CN"/>
        </w:rPr>
        <w:t>640.19</w:t>
      </w:r>
      <w:r>
        <w:rPr>
          <w:rFonts w:hint="eastAsia" w:ascii="仿宋_GB2312" w:hAnsi="仿宋_GB2312" w:eastAsia="仿宋_GB2312" w:cs="仿宋_GB2312"/>
          <w:b w:val="0"/>
          <w:bCs w:val="0"/>
          <w:sz w:val="32"/>
          <w:szCs w:val="32"/>
          <w:highlight w:val="none"/>
        </w:rPr>
        <w:t>万元，预</w:t>
      </w:r>
      <w:r>
        <w:rPr>
          <w:rFonts w:hint="eastAsia" w:ascii="仿宋_GB2312" w:hAnsi="仿宋_GB2312" w:eastAsia="仿宋_GB2312" w:cs="仿宋_GB2312"/>
          <w:sz w:val="32"/>
          <w:szCs w:val="32"/>
          <w:highlight w:val="none"/>
        </w:rPr>
        <w:t>决算差异率</w:t>
      </w:r>
      <w:r>
        <w:rPr>
          <w:rFonts w:hint="eastAsia" w:ascii="仿宋_GB2312" w:hAnsi="仿宋_GB2312" w:eastAsia="仿宋_GB2312" w:cs="仿宋_GB2312"/>
          <w:sz w:val="32"/>
          <w:szCs w:val="32"/>
          <w:highlight w:val="none"/>
          <w:lang w:eastAsia="zh-CN"/>
        </w:rPr>
        <w:t>2.54%，主要原因是：</w:t>
      </w:r>
      <w:r>
        <w:rPr>
          <w:rFonts w:hint="eastAsia" w:ascii="仿宋_GB2312" w:hAnsi="仿宋_GB2312" w:eastAsia="仿宋_GB2312" w:cs="仿宋_GB2312"/>
          <w:color w:val="auto"/>
          <w:kern w:val="2"/>
          <w:sz w:val="32"/>
          <w:szCs w:val="32"/>
          <w:lang w:val="en-US" w:eastAsia="zh-CN" w:bidi="ar-SA"/>
        </w:rPr>
        <w:t>一是2023年人员非统发工资调整，导致人员工资薪金财政拨款增加。二是2023年一名退休人员去世，增加丧葬费抚恤金财政拨款。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16" w:name="_Toc13833"/>
      <w:bookmarkStart w:id="17" w:name="_Toc20360"/>
      <w:r>
        <w:rPr>
          <w:rFonts w:hint="eastAsia" w:ascii="黑体" w:hAnsi="黑体" w:eastAsia="黑体" w:cs="黑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b/>
          <w:bCs/>
          <w:spacing w:val="0"/>
          <w:sz w:val="32"/>
          <w:szCs w:val="32"/>
          <w:highlight w:val="none"/>
          <w:lang w:eastAsia="zh-CN"/>
        </w:rPr>
        <w:t>2023年度一般公共预算财政拨款支出</w:t>
      </w:r>
      <w:r>
        <w:rPr>
          <w:rFonts w:hint="eastAsia" w:ascii="仿宋_GB2312" w:hAnsi="仿宋_GB2312" w:eastAsia="仿宋_GB2312" w:cs="仿宋_GB2312"/>
          <w:b/>
          <w:bCs/>
          <w:sz w:val="32"/>
          <w:szCs w:val="32"/>
          <w:highlight w:val="none"/>
          <w:lang w:eastAsia="zh-CN"/>
        </w:rPr>
        <w:t>640.19</w:t>
      </w:r>
      <w:r>
        <w:rPr>
          <w:rFonts w:hint="eastAsia" w:ascii="仿宋_GB2312" w:hAnsi="仿宋_GB2312" w:eastAsia="仿宋_GB2312" w:cs="仿宋_GB2312"/>
          <w:b/>
          <w:bCs/>
          <w:spacing w:val="0"/>
          <w:sz w:val="32"/>
          <w:szCs w:val="32"/>
          <w:highlight w:val="none"/>
          <w:lang w:eastAsia="zh-CN"/>
        </w:rPr>
        <w:t>万元，</w:t>
      </w:r>
      <w:r>
        <w:rPr>
          <w:rFonts w:hint="eastAsia" w:ascii="仿宋_GB2312" w:hAnsi="仿宋_GB2312" w:eastAsia="仿宋_GB2312" w:cs="仿宋_GB2312"/>
          <w:b w:val="0"/>
          <w:bCs w:val="0"/>
          <w:spacing w:val="0"/>
          <w:sz w:val="32"/>
          <w:szCs w:val="32"/>
          <w:highlight w:val="none"/>
          <w:lang w:eastAsia="zh-CN"/>
        </w:rPr>
        <w:t>占本年支出合计的</w:t>
      </w:r>
      <w:r>
        <w:rPr>
          <w:rFonts w:hint="eastAsia" w:ascii="仿宋_GB2312" w:hAnsi="仿宋_GB2312" w:eastAsia="仿宋_GB2312" w:cs="仿宋_GB2312"/>
          <w:b w:val="0"/>
          <w:bCs w:val="0"/>
          <w:sz w:val="32"/>
          <w:szCs w:val="32"/>
          <w:highlight w:val="none"/>
          <w:lang w:val="zh-CN"/>
        </w:rPr>
        <w:t>41.91%</w:t>
      </w:r>
      <w:r>
        <w:rPr>
          <w:rFonts w:hint="eastAsia" w:ascii="仿宋_GB2312" w:hAnsi="仿宋_GB2312" w:eastAsia="仿宋_GB2312" w:cs="仿宋_GB2312"/>
          <w:b w:val="0"/>
          <w:bCs w:val="0"/>
          <w:spacing w:val="0"/>
          <w:sz w:val="32"/>
          <w:szCs w:val="32"/>
          <w:highlight w:val="none"/>
          <w:lang w:eastAsia="zh-CN"/>
        </w:rPr>
        <w:t>，</w:t>
      </w:r>
      <w:r>
        <w:rPr>
          <w:rFonts w:hint="eastAsia" w:ascii="仿宋_GB2312" w:hAnsi="仿宋_GB2312" w:eastAsia="仿宋_GB2312" w:cs="仿宋_GB2312"/>
          <w:b/>
          <w:bCs/>
          <w:spacing w:val="0"/>
          <w:sz w:val="32"/>
          <w:szCs w:val="32"/>
          <w:highlight w:val="none"/>
        </w:rPr>
        <w:t>与上年相比，</w:t>
      </w:r>
      <w:r>
        <w:rPr>
          <w:rFonts w:hint="eastAsia" w:ascii="仿宋_GB2312" w:hAnsi="仿宋_GB2312" w:eastAsia="仿宋_GB2312" w:cs="仿宋_GB2312"/>
          <w:b w:val="0"/>
          <w:bCs w:val="0"/>
          <w:sz w:val="32"/>
          <w:szCs w:val="32"/>
          <w:highlight w:val="none"/>
          <w:lang w:val="zh-CN"/>
        </w:rPr>
        <w:t>增加282.</w:t>
      </w:r>
      <w:r>
        <w:rPr>
          <w:rFonts w:hint="eastAsia" w:ascii="仿宋_GB2312" w:hAnsi="仿宋_GB2312" w:eastAsia="仿宋_GB2312" w:cs="仿宋_GB2312"/>
          <w:b w:val="0"/>
          <w:bCs w:val="0"/>
          <w:sz w:val="32"/>
          <w:szCs w:val="32"/>
          <w:highlight w:val="none"/>
          <w:lang w:val="en-US" w:eastAsia="zh-CN"/>
        </w:rPr>
        <w:t>29</w:t>
      </w:r>
      <w:r>
        <w:rPr>
          <w:rFonts w:hint="eastAsia" w:ascii="仿宋_GB2312" w:hAnsi="仿宋_GB2312" w:eastAsia="仿宋_GB2312" w:cs="仿宋_GB2312"/>
          <w:b w:val="0"/>
          <w:bCs w:val="0"/>
          <w:sz w:val="32"/>
          <w:szCs w:val="32"/>
          <w:highlight w:val="none"/>
          <w:lang w:val="zh-CN"/>
        </w:rPr>
        <w:t>万元</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zh-CN"/>
        </w:rPr>
        <w:t>增长78.8</w:t>
      </w:r>
      <w:r>
        <w:rPr>
          <w:rFonts w:hint="eastAsia" w:ascii="仿宋_GB2312" w:hAnsi="仿宋_GB2312" w:eastAsia="仿宋_GB2312" w:cs="仿宋_GB2312"/>
          <w:b w:val="0"/>
          <w:bCs w:val="0"/>
          <w:sz w:val="32"/>
          <w:szCs w:val="32"/>
          <w:highlight w:val="none"/>
          <w:lang w:val="en-US" w:eastAsia="zh-CN"/>
        </w:rPr>
        <w:t>7</w:t>
      </w:r>
      <w:r>
        <w:rPr>
          <w:rFonts w:hint="eastAsia" w:ascii="仿宋_GB2312" w:hAnsi="仿宋_GB2312" w:eastAsia="仿宋_GB2312" w:cs="仿宋_GB2312"/>
          <w:b w:val="0"/>
          <w:bCs w:val="0"/>
          <w:sz w:val="32"/>
          <w:szCs w:val="32"/>
          <w:highlight w:val="none"/>
          <w:lang w:val="zh-CN"/>
        </w:rPr>
        <w:t>%，</w:t>
      </w:r>
      <w:r>
        <w:rPr>
          <w:rFonts w:hint="eastAsia" w:ascii="仿宋_GB2312" w:hAnsi="仿宋_GB2312" w:eastAsia="仿宋_GB2312" w:cs="仿宋_GB2312"/>
          <w:b w:val="0"/>
          <w:bCs w:val="0"/>
          <w:spacing w:val="0"/>
          <w:sz w:val="32"/>
          <w:szCs w:val="32"/>
          <w:highlight w:val="none"/>
        </w:rPr>
        <w:t>主要原因是：</w:t>
      </w:r>
      <w:r>
        <w:rPr>
          <w:rFonts w:hint="eastAsia" w:ascii="仿宋_GB2312" w:hAnsi="仿宋_GB2312" w:eastAsia="仿宋_GB2312" w:cs="仿宋_GB2312"/>
          <w:b w:val="0"/>
          <w:bCs w:val="0"/>
          <w:sz w:val="32"/>
          <w:szCs w:val="32"/>
          <w:highlight w:val="none"/>
          <w:lang w:val="en-US" w:eastAsia="zh-CN"/>
        </w:rPr>
        <w:t>新增2023年自治区中小企业发展专项资金项目，</w:t>
      </w:r>
      <w:r>
        <w:rPr>
          <w:rFonts w:hint="eastAsia" w:ascii="仿宋_GB2312" w:hAnsi="仿宋_GB2312" w:eastAsia="仿宋_GB2312" w:cs="仿宋_GB2312"/>
          <w:b w:val="0"/>
          <w:bCs w:val="0"/>
          <w:sz w:val="32"/>
          <w:szCs w:val="32"/>
          <w:highlight w:val="none"/>
          <w:lang w:eastAsia="zh-CN"/>
        </w:rPr>
        <w:t>增加财政拨款预算</w:t>
      </w:r>
      <w:r>
        <w:rPr>
          <w:rFonts w:hint="eastAsia" w:ascii="仿宋_GB2312" w:hAnsi="仿宋_GB2312" w:eastAsia="仿宋_GB2312" w:cs="仿宋_GB2312"/>
          <w:b w:val="0"/>
          <w:bCs w:val="0"/>
          <w:sz w:val="32"/>
          <w:szCs w:val="32"/>
          <w:highlight w:val="none"/>
          <w:lang w:val="en-US" w:eastAsia="zh-CN"/>
        </w:rPr>
        <w:t>金额2</w:t>
      </w:r>
      <w:r>
        <w:rPr>
          <w:rFonts w:hint="eastAsia" w:ascii="仿宋_GB2312" w:hAnsi="仿宋_GB2312" w:eastAsia="仿宋_GB2312" w:cs="仿宋_GB2312"/>
          <w:b w:val="0"/>
          <w:bCs w:val="0"/>
          <w:sz w:val="32"/>
          <w:szCs w:val="32"/>
          <w:highlight w:val="none"/>
          <w:lang w:eastAsia="zh-CN"/>
        </w:rPr>
        <w:t>50.00万元</w:t>
      </w:r>
      <w:r>
        <w:rPr>
          <w:rFonts w:hint="eastAsia" w:ascii="仿宋_GB2312" w:hAnsi="仿宋_GB2312" w:eastAsia="仿宋_GB2312" w:cs="仿宋_GB2312"/>
          <w:b w:val="0"/>
          <w:bCs w:val="0"/>
          <w:spacing w:val="0"/>
          <w:sz w:val="32"/>
          <w:szCs w:val="32"/>
          <w:highlight w:val="none"/>
        </w:rPr>
        <w:t>。</w:t>
      </w:r>
      <w:r>
        <w:rPr>
          <w:rFonts w:hint="eastAsia" w:ascii="仿宋_GB2312" w:hAnsi="仿宋_GB2312" w:eastAsia="仿宋_GB2312" w:cs="仿宋_GB2312"/>
          <w:bCs/>
          <w:color w:val="auto"/>
          <w:kern w:val="0"/>
          <w:sz w:val="32"/>
          <w:szCs w:val="32"/>
          <w:highlight w:val="none"/>
          <w:lang w:val="en-US" w:eastAsia="zh-CN"/>
        </w:rPr>
        <w:t>与年初预算相比，年初预算数</w:t>
      </w:r>
      <w:r>
        <w:rPr>
          <w:rFonts w:hint="eastAsia" w:ascii="仿宋_GB2312" w:hAnsi="仿宋_GB2312" w:eastAsia="仿宋_GB2312" w:cs="仿宋_GB2312"/>
          <w:bCs/>
          <w:color w:val="auto"/>
          <w:kern w:val="0"/>
          <w:sz w:val="32"/>
          <w:szCs w:val="32"/>
          <w:highlight w:val="none"/>
          <w:lang w:val="zh-CN" w:eastAsia="zh-CN"/>
        </w:rPr>
        <w:t>624.32</w:t>
      </w:r>
      <w:r>
        <w:rPr>
          <w:rFonts w:hint="eastAsia" w:ascii="仿宋_GB2312" w:hAnsi="仿宋_GB2312" w:eastAsia="仿宋_GB2312" w:cs="仿宋_GB2312"/>
          <w:bCs/>
          <w:color w:val="auto"/>
          <w:kern w:val="0"/>
          <w:sz w:val="32"/>
          <w:szCs w:val="32"/>
          <w:highlight w:val="none"/>
          <w:lang w:val="en-US" w:eastAsia="zh-CN"/>
        </w:rPr>
        <w:t>万元</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val="zh-CN"/>
        </w:rPr>
        <w:t>640.19</w:t>
      </w:r>
      <w:r>
        <w:rPr>
          <w:rFonts w:hint="eastAsia" w:ascii="仿宋_GB2312" w:hAnsi="仿宋_GB2312" w:eastAsia="仿宋_GB2312" w:cs="仿宋_GB2312"/>
          <w:sz w:val="32"/>
          <w:szCs w:val="32"/>
          <w:highlight w:val="none"/>
        </w:rPr>
        <w:t>万元，预决算差异率</w:t>
      </w:r>
      <w:r>
        <w:rPr>
          <w:rFonts w:hint="eastAsia" w:ascii="仿宋_GB2312" w:hAnsi="仿宋_GB2312" w:eastAsia="仿宋_GB2312" w:cs="仿宋_GB2312"/>
          <w:sz w:val="32"/>
          <w:szCs w:val="32"/>
          <w:highlight w:val="none"/>
          <w:lang w:val="zh-CN"/>
        </w:rPr>
        <w:t>2.54%</w:t>
      </w:r>
      <w:r>
        <w:rPr>
          <w:rFonts w:hint="eastAsia" w:ascii="仿宋_GB2312" w:hAnsi="仿宋_GB2312" w:eastAsia="仿宋_GB2312" w:cs="仿宋_GB2312"/>
          <w:sz w:val="32"/>
          <w:szCs w:val="32"/>
          <w:highlight w:val="none"/>
          <w:lang w:eastAsia="zh-CN"/>
        </w:rPr>
        <w:t>，主要原因是：</w:t>
      </w:r>
      <w:r>
        <w:rPr>
          <w:rFonts w:hint="eastAsia" w:ascii="仿宋_GB2312" w:hAnsi="仿宋_GB2312" w:eastAsia="仿宋_GB2312" w:cs="仿宋_GB2312"/>
          <w:color w:val="auto"/>
          <w:kern w:val="2"/>
          <w:sz w:val="32"/>
          <w:szCs w:val="32"/>
          <w:lang w:val="en-US" w:eastAsia="zh-CN" w:bidi="ar-SA"/>
        </w:rPr>
        <w:t>一是2023年人员非统发工资调整，导致导致人员工资薪金财政拨款增加。二是2023年一名退休人员去世，增加丧葬费抚恤金财政拨款</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一般公共预算</w:t>
      </w:r>
      <w:r>
        <w:rPr>
          <w:rFonts w:hint="eastAsia" w:ascii="黑体" w:hAnsi="黑体" w:eastAsia="黑体" w:cs="黑体"/>
          <w:b w:val="0"/>
          <w:bCs w:val="0"/>
          <w:sz w:val="32"/>
          <w:szCs w:val="32"/>
          <w:highlight w:val="none"/>
          <w:lang w:val="en-US" w:eastAsia="zh-CN"/>
        </w:rPr>
        <w:t>财政拨款支出决算</w:t>
      </w:r>
      <w:r>
        <w:rPr>
          <w:rFonts w:hint="eastAsia" w:ascii="黑体" w:hAnsi="黑体" w:eastAsia="黑体" w:cs="黑体"/>
          <w:b w:val="0"/>
          <w:bCs w:val="0"/>
          <w:sz w:val="32"/>
          <w:szCs w:val="32"/>
          <w:highlight w:val="none"/>
          <w:lang w:eastAsia="zh-CN"/>
        </w:rPr>
        <w:t>结构情况</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社会保障和就业支出（类）64.41万元，占10.06%；</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卫生健康支出（类）30.31万元，占 4.73%；</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资源勘探信息等支出（类） 520.39万元，占81.29%；</w:t>
      </w:r>
    </w:p>
    <w:p>
      <w:pPr>
        <w:pStyle w:val="9"/>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住房保障支出（类）25.08万元，占3.92%；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jc w:val="left"/>
        <w:textAlignment w:val="auto"/>
        <w:outlineLvl w:val="2"/>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lang w:val="en-US" w:eastAsia="zh-CN"/>
        </w:rPr>
        <w:t>三</w:t>
      </w:r>
      <w:r>
        <w:rPr>
          <w:rFonts w:hint="eastAsia" w:ascii="黑体" w:hAnsi="黑体" w:eastAsia="黑体" w:cs="黑体"/>
          <w:sz w:val="32"/>
          <w:szCs w:val="32"/>
          <w:highlight w:val="none"/>
          <w:lang w:eastAsia="zh-CN"/>
        </w:rPr>
        <w:t>）一般公共预算财政拨款支出决算具体情况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.社会保障和就业支出(类)行政事业单位养老支出(款)事业单位离退休(项)</w:t>
      </w:r>
      <w:r>
        <w:rPr>
          <w:rFonts w:hint="eastAsia" w:ascii="仿宋_GB2312" w:hAnsi="仿宋_GB2312" w:eastAsia="仿宋_GB2312" w:cs="仿宋_GB2312"/>
          <w:kern w:val="2"/>
          <w:sz w:val="32"/>
          <w:szCs w:val="32"/>
          <w:highlight w:val="none"/>
          <w:lang w:val="zh-CN" w:eastAsia="zh-CN" w:bidi="ar-SA"/>
        </w:rPr>
        <w:t>：支出</w:t>
      </w:r>
      <w:r>
        <w:rPr>
          <w:rFonts w:hint="eastAsia" w:ascii="仿宋_GB2312" w:hAnsi="仿宋_GB2312" w:eastAsia="仿宋_GB2312" w:cs="仿宋_GB2312"/>
          <w:kern w:val="2"/>
          <w:sz w:val="32"/>
          <w:szCs w:val="32"/>
          <w:highlight w:val="none"/>
          <w:lang w:val="en-US" w:eastAsia="zh-CN" w:bidi="ar-SA"/>
        </w:rPr>
        <w:t>决算数为14.25</w:t>
      </w:r>
      <w:r>
        <w:rPr>
          <w:rFonts w:hint="eastAsia" w:ascii="仿宋_GB2312" w:hAnsi="仿宋_GB2312" w:eastAsia="仿宋_GB2312" w:cs="仿宋_GB2312"/>
          <w:kern w:val="2"/>
          <w:sz w:val="32"/>
          <w:szCs w:val="32"/>
          <w:highlight w:val="none"/>
          <w:lang w:val="zh-CN" w:eastAsia="zh-CN" w:bidi="ar-SA"/>
        </w:rPr>
        <w:t>万元，</w:t>
      </w:r>
      <w:r>
        <w:rPr>
          <w:rFonts w:hint="eastAsia" w:ascii="仿宋_GB2312" w:hAnsi="仿宋_GB2312" w:eastAsia="仿宋_GB2312" w:cs="仿宋_GB2312"/>
          <w:kern w:val="2"/>
          <w:sz w:val="32"/>
          <w:szCs w:val="32"/>
          <w:highlight w:val="none"/>
          <w:lang w:val="en-US" w:eastAsia="zh-CN" w:bidi="ar-SA"/>
        </w:rPr>
        <w:t>比上年决算数增加5.32万元，增长59.57%，主要原因是：</w:t>
      </w:r>
      <w:r>
        <w:rPr>
          <w:rFonts w:hint="eastAsia" w:ascii="仿宋_GB2312" w:eastAsia="仿宋_GB2312"/>
          <w:sz w:val="32"/>
          <w:szCs w:val="32"/>
        </w:rPr>
        <w:t>退休人员待遇增长</w:t>
      </w:r>
      <w:r>
        <w:rPr>
          <w:rFonts w:hint="eastAsia" w:ascii="仿宋_GB2312" w:eastAsia="仿宋_GB2312"/>
          <w:sz w:val="32"/>
          <w:szCs w:val="32"/>
          <w:lang w:eastAsia="zh-CN"/>
        </w:rPr>
        <w:t>；</w:t>
      </w:r>
    </w:p>
    <w:p>
      <w:pPr>
        <w:keepNext w:val="0"/>
        <w:keepLines w:val="0"/>
        <w:pageBreakBefore w:val="0"/>
        <w:kinsoku/>
        <w:wordWrap/>
        <w:overflowPunct/>
        <w:topLinePunct w:val="0"/>
        <w:bidi w:val="0"/>
        <w:adjustRightInd/>
        <w:snapToGrid/>
        <w:spacing w:before="240" w:line="560" w:lineRule="exact"/>
        <w:ind w:right="137" w:firstLine="577"/>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社会保障和就业支出(类)行政事业单位养老支出(款)机关事业单位基本养老保险缴费支出(项):支出决算数为</w:t>
      </w:r>
      <w:r>
        <w:rPr>
          <w:rFonts w:hint="eastAsia" w:ascii="仿宋_GB2312" w:eastAsia="仿宋_GB2312"/>
          <w:sz w:val="32"/>
          <w:szCs w:val="32"/>
          <w:lang w:val="en-US" w:eastAsia="zh-CN"/>
        </w:rPr>
        <w:t>33.44</w:t>
      </w:r>
      <w:r>
        <w:rPr>
          <w:rFonts w:hint="eastAsia" w:ascii="仿宋_GB2312" w:eastAsia="仿宋_GB2312"/>
          <w:sz w:val="32"/>
          <w:szCs w:val="32"/>
        </w:rPr>
        <w:t>万元，比上年决算增加</w:t>
      </w:r>
      <w:r>
        <w:rPr>
          <w:rFonts w:hint="eastAsia" w:ascii="仿宋_GB2312" w:eastAsia="仿宋_GB2312"/>
          <w:sz w:val="32"/>
          <w:szCs w:val="32"/>
          <w:lang w:val="en-US" w:eastAsia="zh-CN"/>
        </w:rPr>
        <w:t>3.31</w:t>
      </w:r>
      <w:r>
        <w:rPr>
          <w:rFonts w:hint="eastAsia" w:ascii="仿宋_GB2312" w:eastAsia="仿宋_GB2312"/>
          <w:sz w:val="32"/>
          <w:szCs w:val="32"/>
        </w:rPr>
        <w:t>万元，增长</w:t>
      </w:r>
      <w:r>
        <w:rPr>
          <w:rFonts w:hint="eastAsia" w:ascii="仿宋_GB2312" w:eastAsia="仿宋_GB2312"/>
          <w:sz w:val="32"/>
          <w:szCs w:val="32"/>
          <w:lang w:val="en-US" w:eastAsia="zh-CN"/>
        </w:rPr>
        <w:t>10.99</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主要原因是:工资调标使社保基数增加。</w:t>
      </w:r>
    </w:p>
    <w:p>
      <w:pPr>
        <w:keepNext w:val="0"/>
        <w:keepLines w:val="0"/>
        <w:pageBreakBefore w:val="0"/>
        <w:kinsoku/>
        <w:wordWrap/>
        <w:overflowPunct/>
        <w:topLinePunct w:val="0"/>
        <w:bidi w:val="0"/>
        <w:adjustRightInd/>
        <w:snapToGrid/>
        <w:spacing w:before="57" w:line="560" w:lineRule="exact"/>
        <w:ind w:firstLine="588"/>
        <w:textAlignment w:val="auto"/>
        <w:rPr>
          <w:rFonts w:hint="eastAsia" w:ascii="仿宋_GB2312" w:eastAsia="仿宋_GB2312"/>
          <w:sz w:val="32"/>
          <w:szCs w:val="32"/>
          <w:highlight w:val="none"/>
        </w:rPr>
      </w:pPr>
      <w:r>
        <w:rPr>
          <w:rFonts w:hint="eastAsia" w:ascii="仿宋_GB2312" w:eastAsia="仿宋_GB2312"/>
          <w:sz w:val="32"/>
          <w:szCs w:val="32"/>
        </w:rPr>
        <w:t>3.社会保障和就业支出(类)行政事业单位养老支出(款)机关事业单位职业年金缴费支出(项):支出决算数为</w:t>
      </w:r>
      <w:r>
        <w:rPr>
          <w:rFonts w:hint="eastAsia" w:ascii="仿宋_GB2312" w:eastAsia="仿宋_GB2312"/>
          <w:sz w:val="32"/>
          <w:szCs w:val="32"/>
          <w:lang w:val="en-US" w:eastAsia="zh-CN"/>
        </w:rPr>
        <w:t>16.72</w:t>
      </w:r>
      <w:r>
        <w:rPr>
          <w:rFonts w:hint="eastAsia" w:ascii="仿宋_GB2312" w:eastAsia="仿宋_GB2312"/>
          <w:sz w:val="32"/>
          <w:szCs w:val="32"/>
        </w:rPr>
        <w:t>万元，比上年决算增加2.</w:t>
      </w:r>
      <w:r>
        <w:rPr>
          <w:rFonts w:hint="eastAsia" w:ascii="仿宋_GB2312" w:eastAsia="仿宋_GB2312"/>
          <w:sz w:val="32"/>
          <w:szCs w:val="32"/>
          <w:lang w:val="en-US" w:eastAsia="zh-CN"/>
        </w:rPr>
        <w:t>28</w:t>
      </w:r>
      <w:r>
        <w:rPr>
          <w:rFonts w:hint="eastAsia" w:ascii="仿宋_GB2312" w:eastAsia="仿宋_GB2312"/>
          <w:sz w:val="32"/>
          <w:szCs w:val="32"/>
        </w:rPr>
        <w:t>万元，增长</w:t>
      </w:r>
      <w:r>
        <w:rPr>
          <w:rFonts w:hint="eastAsia" w:ascii="仿宋_GB2312" w:eastAsia="仿宋_GB2312"/>
          <w:sz w:val="32"/>
          <w:szCs w:val="32"/>
          <w:lang w:val="en-US" w:eastAsia="zh-CN"/>
        </w:rPr>
        <w:t>15.79</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中小企业服务中心为差额拨款事业单位，</w:t>
      </w:r>
      <w:r>
        <w:rPr>
          <w:rFonts w:hint="eastAsia" w:ascii="仿宋_GB2312" w:eastAsia="仿宋_GB2312"/>
          <w:sz w:val="32"/>
          <w:szCs w:val="32"/>
          <w:highlight w:val="none"/>
        </w:rPr>
        <w:t>工资</w:t>
      </w:r>
      <w:r>
        <w:rPr>
          <w:rFonts w:hint="eastAsia" w:ascii="仿宋_GB2312" w:eastAsia="仿宋_GB2312"/>
          <w:sz w:val="32"/>
          <w:szCs w:val="32"/>
          <w:highlight w:val="none"/>
          <w:lang w:val="en-US" w:eastAsia="zh-CN"/>
        </w:rPr>
        <w:t>非统发，工资</w:t>
      </w:r>
      <w:r>
        <w:rPr>
          <w:rFonts w:hint="eastAsia" w:ascii="仿宋_GB2312" w:eastAsia="仿宋_GB2312"/>
          <w:sz w:val="32"/>
          <w:szCs w:val="32"/>
          <w:highlight w:val="none"/>
        </w:rPr>
        <w:t>调标使社保基数增加。</w:t>
      </w:r>
    </w:p>
    <w:p>
      <w:pPr>
        <w:keepNext w:val="0"/>
        <w:keepLines w:val="0"/>
        <w:pageBreakBefore w:val="0"/>
        <w:kinsoku/>
        <w:wordWrap/>
        <w:overflowPunct/>
        <w:topLinePunct w:val="0"/>
        <w:bidi w:val="0"/>
        <w:adjustRightInd/>
        <w:snapToGrid/>
        <w:spacing w:before="57" w:line="560" w:lineRule="exact"/>
        <w:ind w:firstLine="588"/>
        <w:textAlignment w:val="auto"/>
        <w:rPr>
          <w:rFonts w:hint="eastAsia" w:ascii="仿宋_GB2312" w:eastAsia="仿宋_GB2312"/>
          <w:sz w:val="32"/>
          <w:szCs w:val="32"/>
          <w:lang w:eastAsia="zh-CN"/>
        </w:rPr>
      </w:pPr>
      <w:r>
        <w:rPr>
          <w:rFonts w:hint="eastAsia" w:ascii="仿宋_GB2312" w:eastAsia="仿宋_GB2312"/>
          <w:sz w:val="32"/>
          <w:szCs w:val="32"/>
        </w:rPr>
        <w:t>4.卫生健康支出(类)行政事业单位医疗(款)事业单位医疗(项):支出决算数为</w:t>
      </w:r>
      <w:r>
        <w:rPr>
          <w:rFonts w:hint="eastAsia" w:ascii="仿宋_GB2312" w:eastAsia="仿宋_GB2312"/>
          <w:sz w:val="32"/>
          <w:szCs w:val="32"/>
          <w:lang w:val="en-US" w:eastAsia="zh-CN"/>
        </w:rPr>
        <w:t>15.68</w:t>
      </w:r>
      <w:r>
        <w:rPr>
          <w:rFonts w:hint="eastAsia" w:ascii="仿宋_GB2312" w:eastAsia="仿宋_GB2312"/>
          <w:sz w:val="32"/>
          <w:szCs w:val="32"/>
        </w:rPr>
        <w:t>万元，比上年决算</w:t>
      </w:r>
      <w:r>
        <w:rPr>
          <w:rFonts w:hint="eastAsia" w:ascii="仿宋_GB2312" w:eastAsia="仿宋_GB2312"/>
          <w:sz w:val="32"/>
          <w:szCs w:val="32"/>
          <w:lang w:val="en-US" w:eastAsia="zh-CN"/>
        </w:rPr>
        <w:t>减少0.56</w:t>
      </w:r>
      <w:r>
        <w:rPr>
          <w:rFonts w:hint="eastAsia" w:ascii="仿宋_GB2312" w:eastAsia="仿宋_GB2312"/>
          <w:sz w:val="32"/>
          <w:szCs w:val="32"/>
        </w:rPr>
        <w:t>万元，</w:t>
      </w:r>
      <w:r>
        <w:rPr>
          <w:rFonts w:hint="eastAsia" w:ascii="仿宋_GB2312" w:eastAsia="仿宋_GB2312"/>
          <w:sz w:val="32"/>
          <w:szCs w:val="32"/>
          <w:lang w:val="en-US" w:eastAsia="zh-CN"/>
        </w:rPr>
        <w:t>降低3.45</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主要原因是:在职</w:t>
      </w:r>
      <w:r>
        <w:rPr>
          <w:rFonts w:hint="eastAsia" w:ascii="仿宋_GB2312" w:eastAsia="仿宋_GB2312"/>
          <w:sz w:val="32"/>
          <w:szCs w:val="32"/>
          <w:lang w:val="en-US" w:eastAsia="zh-CN"/>
        </w:rPr>
        <w:t>人员变动</w:t>
      </w:r>
      <w:r>
        <w:rPr>
          <w:rFonts w:hint="eastAsia" w:ascii="仿宋_GB2312" w:eastAsia="仿宋_GB2312"/>
          <w:sz w:val="32"/>
          <w:szCs w:val="32"/>
        </w:rPr>
        <w:t>，一般公共预算当年拨款安排支出减少</w:t>
      </w:r>
      <w:r>
        <w:rPr>
          <w:rFonts w:hint="eastAsia" w:ascii="仿宋_GB2312" w:eastAsia="仿宋_GB2312"/>
          <w:sz w:val="32"/>
          <w:szCs w:val="32"/>
          <w:lang w:eastAsia="zh-CN"/>
        </w:rPr>
        <w:t>。</w:t>
      </w:r>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仿宋_GB2312" w:hAnsi="Times New Roman" w:eastAsia="仿宋_GB2312" w:cs="Times New Roman"/>
          <w:sz w:val="32"/>
          <w:szCs w:val="32"/>
        </w:rPr>
      </w:pPr>
      <w:r>
        <w:rPr>
          <w:rFonts w:hint="eastAsia" w:ascii="仿宋_GB2312" w:eastAsia="仿宋_GB2312"/>
          <w:sz w:val="32"/>
          <w:szCs w:val="32"/>
        </w:rPr>
        <w:t>5.</w:t>
      </w:r>
      <w:r>
        <w:rPr>
          <w:rFonts w:hint="eastAsia" w:ascii="仿宋_GB2312" w:hAnsi="Times New Roman" w:eastAsia="仿宋_GB2312" w:cs="Times New Roman"/>
          <w:sz w:val="32"/>
          <w:szCs w:val="32"/>
        </w:rPr>
        <w:t>卫生健康支出(类)行政事业单位医疗(款)公务员医疗补助(项):支出决算数为1</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.63万元，比上年决算增加</w:t>
      </w:r>
      <w:r>
        <w:rPr>
          <w:rFonts w:hint="eastAsia" w:ascii="仿宋_GB2312" w:hAnsi="Times New Roman" w:eastAsia="仿宋_GB2312" w:cs="Times New Roman"/>
          <w:sz w:val="32"/>
          <w:szCs w:val="32"/>
          <w:lang w:val="en-US" w:eastAsia="zh-CN"/>
        </w:rPr>
        <w:t>2.00</w:t>
      </w:r>
      <w:r>
        <w:rPr>
          <w:rFonts w:hint="eastAsia" w:ascii="仿宋_GB2312" w:hAnsi="Times New Roman" w:eastAsia="仿宋_GB2312" w:cs="Times New Roman"/>
          <w:sz w:val="32"/>
          <w:szCs w:val="32"/>
        </w:rPr>
        <w:t>万元，增长</w:t>
      </w:r>
      <w:r>
        <w:rPr>
          <w:rFonts w:hint="eastAsia" w:ascii="仿宋_GB2312" w:hAnsi="Times New Roman" w:eastAsia="仿宋_GB2312" w:cs="Times New Roman"/>
          <w:sz w:val="32"/>
          <w:szCs w:val="32"/>
          <w:lang w:val="en-US" w:eastAsia="zh-CN"/>
        </w:rPr>
        <w:t>15.84</w:t>
      </w:r>
      <w:r>
        <w:rPr>
          <w:rFonts w:hint="eastAsia" w:ascii="仿宋_GB2312" w:hAnsi="Times New Roman" w:eastAsia="仿宋_GB2312" w:cs="Times New Roman"/>
          <w:sz w:val="32"/>
          <w:szCs w:val="32"/>
        </w:rPr>
        <w:t>%,主要原因是:工资调标使社保基数增加。</w:t>
      </w:r>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仿宋_GB2312" w:eastAsia="仿宋_GB2312"/>
          <w:sz w:val="32"/>
          <w:szCs w:val="32"/>
          <w:lang w:val="en-US" w:eastAsia="zh-CN"/>
        </w:rPr>
      </w:pPr>
      <w:r>
        <w:rPr>
          <w:rFonts w:hint="eastAsia" w:ascii="仿宋_GB2312" w:eastAsia="仿宋_GB2312"/>
          <w:sz w:val="32"/>
          <w:szCs w:val="32"/>
        </w:rPr>
        <w:t>6.资源勘探工业信息等支出(类)支持中小企业发展和管理支出(款)中小企业发展专项(项):支出决算数为</w:t>
      </w:r>
      <w:r>
        <w:rPr>
          <w:rFonts w:hint="eastAsia" w:ascii="仿宋_GB2312" w:eastAsia="仿宋_GB2312"/>
          <w:sz w:val="32"/>
          <w:szCs w:val="32"/>
          <w:lang w:val="en-US" w:eastAsia="zh-CN"/>
        </w:rPr>
        <w:t>250.00</w:t>
      </w:r>
      <w:r>
        <w:rPr>
          <w:rFonts w:hint="eastAsia" w:ascii="仿宋_GB2312" w:eastAsia="仿宋_GB2312"/>
          <w:sz w:val="32"/>
          <w:szCs w:val="32"/>
        </w:rPr>
        <w:t>万元，比上年决算</w:t>
      </w:r>
      <w:r>
        <w:rPr>
          <w:rFonts w:hint="eastAsia" w:ascii="仿宋_GB2312" w:eastAsia="仿宋_GB2312"/>
          <w:sz w:val="32"/>
          <w:szCs w:val="32"/>
          <w:lang w:val="en-US" w:eastAsia="zh-CN"/>
        </w:rPr>
        <w:t>增加238.94</w:t>
      </w:r>
      <w:r>
        <w:rPr>
          <w:rFonts w:hint="eastAsia" w:ascii="仿宋_GB2312" w:eastAsia="仿宋_GB2312"/>
          <w:sz w:val="32"/>
          <w:szCs w:val="32"/>
        </w:rPr>
        <w:t>万元，</w:t>
      </w:r>
      <w:r>
        <w:rPr>
          <w:rFonts w:hint="eastAsia" w:ascii="仿宋_GB2312" w:eastAsia="仿宋_GB2312"/>
          <w:sz w:val="32"/>
          <w:szCs w:val="32"/>
          <w:lang w:val="en-US" w:eastAsia="zh-CN"/>
        </w:rPr>
        <w:t>增长2,160.40</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新增2023年自治区中小企业发展专项资金。</w:t>
      </w:r>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.资源勘探工业信息等支出(类)支持中小企业发展和管理支出(款)其他支持中小企业发展和管理支出(项):支出决算数为</w:t>
      </w:r>
      <w:r>
        <w:rPr>
          <w:rFonts w:hint="eastAsia" w:ascii="仿宋_GB2312" w:eastAsia="仿宋_GB2312"/>
          <w:sz w:val="32"/>
          <w:szCs w:val="32"/>
          <w:lang w:val="en-US" w:eastAsia="zh-CN"/>
        </w:rPr>
        <w:t>270.39</w:t>
      </w:r>
      <w:r>
        <w:rPr>
          <w:rFonts w:hint="eastAsia" w:ascii="仿宋_GB2312" w:eastAsia="仿宋_GB2312"/>
          <w:sz w:val="32"/>
          <w:szCs w:val="32"/>
        </w:rPr>
        <w:t>万元，比上年决算增加</w:t>
      </w:r>
      <w:r>
        <w:rPr>
          <w:rFonts w:hint="eastAsia" w:ascii="仿宋_GB2312" w:eastAsia="仿宋_GB2312"/>
          <w:sz w:val="32"/>
          <w:szCs w:val="32"/>
          <w:lang w:val="en-US" w:eastAsia="zh-CN"/>
        </w:rPr>
        <w:t>28.53</w:t>
      </w:r>
      <w:r>
        <w:rPr>
          <w:rFonts w:hint="eastAsia" w:ascii="仿宋_GB2312" w:eastAsia="仿宋_GB2312"/>
          <w:sz w:val="32"/>
          <w:szCs w:val="32"/>
        </w:rPr>
        <w:t>万元，增长</w:t>
      </w:r>
      <w:r>
        <w:rPr>
          <w:rFonts w:hint="eastAsia" w:ascii="仿宋_GB2312" w:eastAsia="仿宋_GB2312"/>
          <w:sz w:val="32"/>
          <w:szCs w:val="32"/>
          <w:lang w:val="en-US" w:eastAsia="zh-CN"/>
        </w:rPr>
        <w:t>11.80</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主要原因是:主要是人员工资薪级调整。</w:t>
      </w:r>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仿宋_GB2312" w:eastAsia="仿宋_GB2312"/>
          <w:sz w:val="32"/>
          <w:szCs w:val="32"/>
        </w:rPr>
      </w:pPr>
      <w:r>
        <w:rPr>
          <w:rFonts w:hint="eastAsia" w:ascii="仿宋_GB2312" w:eastAsia="仿宋_GB2312"/>
          <w:sz w:val="32"/>
          <w:szCs w:val="32"/>
        </w:rPr>
        <w:t>8.住房保障支出(类)住房改革支出(款)住房公积金(项):支出决算数为</w:t>
      </w:r>
      <w:r>
        <w:rPr>
          <w:rFonts w:hint="eastAsia" w:ascii="仿宋_GB2312" w:eastAsia="仿宋_GB2312"/>
          <w:sz w:val="32"/>
          <w:szCs w:val="32"/>
          <w:lang w:val="en-US" w:eastAsia="zh-CN"/>
        </w:rPr>
        <w:t>25.08</w:t>
      </w:r>
      <w:r>
        <w:rPr>
          <w:rFonts w:hint="eastAsia" w:ascii="仿宋_GB2312" w:eastAsia="仿宋_GB2312"/>
          <w:sz w:val="32"/>
          <w:szCs w:val="32"/>
        </w:rPr>
        <w:t>万元，比上年决算增加</w:t>
      </w:r>
      <w:r>
        <w:rPr>
          <w:rFonts w:hint="eastAsia" w:ascii="仿宋_GB2312" w:eastAsia="仿宋_GB2312"/>
          <w:sz w:val="32"/>
          <w:szCs w:val="32"/>
          <w:lang w:val="en-US" w:eastAsia="zh-CN"/>
        </w:rPr>
        <w:t>2.48</w:t>
      </w:r>
      <w:r>
        <w:rPr>
          <w:rFonts w:hint="eastAsia" w:ascii="仿宋_GB2312" w:eastAsia="仿宋_GB2312"/>
          <w:sz w:val="32"/>
          <w:szCs w:val="32"/>
        </w:rPr>
        <w:t>万元，增长</w:t>
      </w:r>
      <w:r>
        <w:rPr>
          <w:rFonts w:hint="eastAsia" w:ascii="仿宋_GB2312" w:eastAsia="仿宋_GB2312"/>
          <w:sz w:val="32"/>
          <w:szCs w:val="32"/>
          <w:lang w:val="en-US" w:eastAsia="zh-CN"/>
        </w:rPr>
        <w:t>10.97</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主要原因是:工资调标使</w:t>
      </w:r>
      <w:r>
        <w:rPr>
          <w:rFonts w:hint="eastAsia" w:ascii="仿宋_GB2312" w:eastAsia="仿宋_GB2312"/>
          <w:sz w:val="32"/>
          <w:szCs w:val="32"/>
          <w:lang w:val="en-US" w:eastAsia="zh-CN"/>
        </w:rPr>
        <w:t>公积金</w:t>
      </w:r>
      <w:r>
        <w:rPr>
          <w:rFonts w:hint="eastAsia" w:ascii="仿宋_GB2312" w:eastAsia="仿宋_GB2312"/>
          <w:sz w:val="32"/>
          <w:szCs w:val="32"/>
        </w:rPr>
        <w:t>基数增加。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jc w:val="left"/>
        <w:textAlignment w:val="auto"/>
        <w:outlineLvl w:val="1"/>
        <w:rPr>
          <w:rFonts w:hint="eastAsia" w:ascii="黑体" w:hAnsi="黑体" w:eastAsia="黑体" w:cs="黑体"/>
          <w:bCs/>
          <w:kern w:val="0"/>
          <w:sz w:val="32"/>
          <w:szCs w:val="32"/>
          <w:highlight w:val="none"/>
          <w:lang w:eastAsia="zh-CN"/>
        </w:rPr>
      </w:pPr>
      <w:bookmarkStart w:id="18" w:name="_Toc30870"/>
      <w:bookmarkStart w:id="19" w:name="_Toc11146"/>
      <w:r>
        <w:rPr>
          <w:rFonts w:hint="eastAsia" w:ascii="黑体" w:hAnsi="黑体" w:eastAsia="黑体" w:cs="黑体"/>
          <w:bCs/>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pacing w:val="0"/>
          <w:sz w:val="32"/>
          <w:szCs w:val="32"/>
          <w:highlight w:val="none"/>
          <w:lang w:eastAsia="zh-CN"/>
        </w:rPr>
        <w:t>2023年度</w:t>
      </w:r>
      <w:r>
        <w:rPr>
          <w:rFonts w:hint="eastAsia" w:ascii="仿宋_GB2312" w:hAnsi="仿宋_GB2312" w:eastAsia="仿宋_GB2312" w:cs="仿宋_GB2312"/>
          <w:b w:val="0"/>
          <w:bCs w:val="0"/>
          <w:sz w:val="32"/>
          <w:szCs w:val="32"/>
          <w:highlight w:val="none"/>
        </w:rPr>
        <w:t>一般公共预算财政拨款基本支出</w:t>
      </w:r>
      <w:r>
        <w:rPr>
          <w:rFonts w:hint="eastAsia" w:ascii="仿宋_GB2312" w:hAnsi="仿宋_GB2312" w:eastAsia="仿宋_GB2312" w:cs="仿宋_GB2312"/>
          <w:b w:val="0"/>
          <w:bCs w:val="0"/>
          <w:sz w:val="32"/>
          <w:szCs w:val="32"/>
          <w:highlight w:val="none"/>
          <w:lang w:eastAsia="zh-CN"/>
        </w:rPr>
        <w:t>390.19</w:t>
      </w:r>
      <w:r>
        <w:rPr>
          <w:rFonts w:hint="eastAsia" w:ascii="仿宋_GB2312" w:hAnsi="仿宋_GB2312" w:eastAsia="仿宋_GB2312" w:cs="仿宋_GB2312"/>
          <w:b w:val="0"/>
          <w:bCs w:val="0"/>
          <w:sz w:val="32"/>
          <w:szCs w:val="32"/>
          <w:highlight w:val="none"/>
        </w:rPr>
        <w:t>万元，其中：</w:t>
      </w:r>
      <w:r>
        <w:rPr>
          <w:rFonts w:hint="eastAsia" w:ascii="仿宋_GB2312" w:hAnsi="仿宋_GB2312" w:eastAsia="仿宋_GB2312" w:cs="仿宋_GB2312"/>
          <w:b/>
          <w:bCs/>
          <w:sz w:val="32"/>
          <w:szCs w:val="32"/>
          <w:highlight w:val="none"/>
        </w:rPr>
        <w:t>人员经费</w:t>
      </w:r>
      <w:r>
        <w:rPr>
          <w:rFonts w:hint="eastAsia" w:ascii="仿宋_GB2312" w:hAnsi="仿宋_GB2312" w:eastAsia="仿宋_GB2312" w:cs="仿宋_GB2312"/>
          <w:b/>
          <w:bCs/>
          <w:sz w:val="32"/>
          <w:szCs w:val="32"/>
          <w:highlight w:val="none"/>
          <w:lang w:eastAsia="zh-CN"/>
        </w:rPr>
        <w:t>366.6</w:t>
      </w:r>
      <w:r>
        <w:rPr>
          <w:rFonts w:hint="eastAsia" w:ascii="仿宋_GB2312" w:hAnsi="仿宋_GB2312" w:eastAsia="仿宋_GB2312" w:cs="仿宋_GB2312"/>
          <w:b/>
          <w:bCs/>
          <w:sz w:val="32"/>
          <w:szCs w:val="32"/>
          <w:highlight w:val="none"/>
          <w:lang w:val="en-US" w:eastAsia="zh-CN"/>
        </w:rPr>
        <w:t>6</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val="0"/>
          <w:bCs w:val="0"/>
          <w:sz w:val="32"/>
          <w:szCs w:val="32"/>
          <w:highlight w:val="none"/>
        </w:rPr>
        <w:t>包括：基本工资</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津贴补贴</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奖金</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绩效工资</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机关事业单位基本养老保险缴费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职业年金缴费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职工基本医疗保险缴费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公务员医疗补助缴费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其他社会保障缴费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住房公积金</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其他工资福利支出</w:t>
      </w:r>
      <w:r>
        <w:rPr>
          <w:rFonts w:hint="eastAsia" w:ascii="仿宋_GB2312" w:hAnsi="仿宋_GB2312" w:eastAsia="仿宋_GB2312" w:cs="仿宋_GB2312"/>
          <w:b w:val="0"/>
          <w:bCs w:val="0"/>
          <w:sz w:val="32"/>
          <w:szCs w:val="32"/>
          <w:highlight w:val="none"/>
          <w:lang w:eastAsia="zh-CN"/>
        </w:rPr>
        <w:t>、退休费、抚恤金、其他对个人和家庭的补助。</w:t>
      </w:r>
    </w:p>
    <w:p>
      <w:pPr>
        <w:keepNext w:val="0"/>
        <w:keepLines w:val="0"/>
        <w:pageBreakBefore w:val="0"/>
        <w:widowControl w:val="0"/>
        <w:kinsoku/>
        <w:wordWrap/>
        <w:overflowPunct/>
        <w:topLinePunct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公用经费</w:t>
      </w:r>
      <w:r>
        <w:rPr>
          <w:rFonts w:hint="eastAsia" w:ascii="仿宋_GB2312" w:hAnsi="仿宋_GB2312" w:eastAsia="仿宋_GB2312" w:cs="仿宋_GB2312"/>
          <w:b/>
          <w:bCs/>
          <w:sz w:val="32"/>
          <w:szCs w:val="32"/>
          <w:highlight w:val="none"/>
          <w:lang w:eastAsia="zh-CN"/>
        </w:rPr>
        <w:t>23.54</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val="0"/>
          <w:bCs w:val="0"/>
          <w:sz w:val="32"/>
          <w:szCs w:val="32"/>
          <w:highlight w:val="none"/>
        </w:rPr>
        <w:t>包括：办公费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水费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邮电费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取暖费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差旅费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工会经费</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福利</w:t>
      </w:r>
      <w:r>
        <w:rPr>
          <w:rFonts w:hint="eastAsia" w:ascii="仿宋_GB2312" w:hAnsi="仿宋_GB2312" w:eastAsia="仿宋_GB2312" w:cs="仿宋_GB2312"/>
          <w:sz w:val="32"/>
          <w:szCs w:val="32"/>
          <w:highlight w:val="none"/>
        </w:rPr>
        <w:t>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其他商品和服务支出</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20" w:name="_Toc7190"/>
      <w:bookmarkStart w:id="21" w:name="_Toc21518"/>
      <w:r>
        <w:rPr>
          <w:rFonts w:hint="eastAsia" w:ascii="黑体" w:hAnsi="黑体" w:eastAsia="黑体" w:cs="黑体"/>
          <w:bCs/>
          <w:kern w:val="0"/>
          <w:sz w:val="32"/>
          <w:szCs w:val="32"/>
          <w:highlight w:val="none"/>
          <w:lang w:val="en-US" w:eastAsia="zh-CN"/>
        </w:rPr>
        <w:t>七、</w:t>
      </w:r>
      <w:r>
        <w:rPr>
          <w:rFonts w:hint="eastAsia" w:ascii="黑体" w:hAnsi="黑体" w:eastAsia="黑体" w:cs="黑体"/>
          <w:bCs/>
          <w:kern w:val="0"/>
          <w:sz w:val="32"/>
          <w:szCs w:val="32"/>
          <w:highlight w:val="none"/>
          <w:lang w:eastAsia="zh-CN"/>
        </w:rPr>
        <w:t>财政拨款</w:t>
      </w:r>
      <w:r>
        <w:rPr>
          <w:rFonts w:hint="eastAsia" w:ascii="黑体" w:hAnsi="黑体" w:eastAsia="黑体" w:cs="黑体"/>
          <w:bCs/>
          <w:kern w:val="0"/>
          <w:sz w:val="32"/>
          <w:szCs w:val="32"/>
          <w:highlight w:val="none"/>
        </w:rPr>
        <w:t>“三公”经费支出</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w:t>
      </w:r>
      <w:r>
        <w:rPr>
          <w:rFonts w:hint="eastAsia" w:ascii="黑体" w:hAnsi="黑体" w:eastAsia="黑体" w:cs="黑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eastAsia="仿宋_GB2312"/>
          <w:sz w:val="32"/>
          <w:szCs w:val="32"/>
          <w:lang w:val="en-US" w:eastAsia="zh-CN"/>
        </w:rPr>
      </w:pPr>
      <w:r>
        <w:rPr>
          <w:rFonts w:hint="eastAsia" w:ascii="仿宋_GB2312" w:eastAsia="仿宋_GB2312"/>
          <w:b/>
          <w:bCs/>
          <w:sz w:val="32"/>
          <w:szCs w:val="32"/>
          <w:lang w:val="zh-CN" w:eastAsia="zh-CN"/>
        </w:rPr>
        <w:t>2023年度</w:t>
      </w:r>
      <w:r>
        <w:rPr>
          <w:rFonts w:hint="eastAsia" w:ascii="仿宋_GB2312" w:eastAsia="仿宋_GB2312"/>
          <w:b/>
          <w:bCs/>
          <w:sz w:val="32"/>
          <w:szCs w:val="32"/>
          <w:lang w:val="en-US" w:eastAsia="zh-CN"/>
        </w:rPr>
        <w:t>财政拨款</w:t>
      </w:r>
      <w:r>
        <w:rPr>
          <w:rFonts w:hint="eastAsia" w:ascii="仿宋_GB2312" w:eastAsia="仿宋_GB2312"/>
          <w:b/>
          <w:bCs/>
          <w:sz w:val="32"/>
          <w:szCs w:val="32"/>
          <w:lang w:val="zh-CN"/>
        </w:rPr>
        <w:t>“三公”经费支出</w:t>
      </w:r>
      <w:r>
        <w:rPr>
          <w:rFonts w:hint="eastAsia" w:ascii="仿宋_GB2312" w:eastAsia="仿宋_GB2312"/>
          <w:b/>
          <w:bCs/>
          <w:sz w:val="32"/>
          <w:szCs w:val="32"/>
          <w:lang w:val="zh-CN" w:eastAsia="zh-CN"/>
        </w:rPr>
        <w:t>0.00</w:t>
      </w:r>
      <w:r>
        <w:rPr>
          <w:rFonts w:hint="eastAsia" w:ascii="仿宋_GB2312" w:eastAsia="仿宋_GB2312"/>
          <w:b/>
          <w:bCs/>
          <w:sz w:val="32"/>
          <w:szCs w:val="32"/>
          <w:lang w:val="zh-CN"/>
        </w:rPr>
        <w:t>万元，</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w:t>
      </w:r>
      <w:r>
        <w:rPr>
          <w:rFonts w:hint="eastAsia" w:ascii="仿宋_GB2312"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仿宋_GB2312" w:hAnsi="仿宋_GB2312" w:eastAsia="仿宋_GB2312" w:cs="仿宋_GB2312"/>
          <w:b/>
          <w:bCs/>
          <w:sz w:val="32"/>
          <w:szCs w:val="32"/>
          <w:highlight w:val="none"/>
          <w:lang w:val="zh-CN"/>
        </w:rPr>
      </w:pPr>
      <w:r>
        <w:rPr>
          <w:rFonts w:hint="eastAsia" w:ascii="仿宋_GB2312" w:hAnsi="Times New Roman" w:eastAsia="仿宋_GB2312" w:cs="Times New Roman"/>
          <w:b/>
          <w:bCs/>
          <w:sz w:val="32"/>
          <w:szCs w:val="32"/>
          <w:lang w:val="zh-CN"/>
        </w:rPr>
        <w:t>具体情况如下：</w:t>
      </w:r>
    </w:p>
    <w:p>
      <w:pPr>
        <w:keepNext w:val="0"/>
        <w:keepLines w:val="0"/>
        <w:pageBreakBefore w:val="0"/>
        <w:kinsoku/>
        <w:wordWrap/>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仿宋_GB2312" w:eastAsia="仿宋_GB2312"/>
          <w:sz w:val="32"/>
          <w:szCs w:val="32"/>
          <w:highlight w:val="yellow"/>
          <w:lang w:val="en-US" w:eastAsia="zh-CN"/>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国有资产占用情况中固定资产车辆1辆，与公务用车保养量差异原因是：</w:t>
      </w:r>
      <w:r>
        <w:rPr>
          <w:rFonts w:hint="eastAsia" w:ascii="仿宋_GB2312" w:eastAsia="仿宋_GB2312"/>
          <w:sz w:val="32"/>
          <w:szCs w:val="32"/>
        </w:rPr>
        <w:t>用于企业走访、机构调研等业务用车</w:t>
      </w:r>
      <w:r>
        <w:rPr>
          <w:rFonts w:hint="eastAsia" w:ascii="仿宋_GB2312" w:eastAsia="仿宋_GB2312"/>
          <w:sz w:val="32"/>
          <w:szCs w:val="32"/>
          <w:lang w:val="en-US" w:eastAsia="zh-CN"/>
        </w:rPr>
        <w:t>1辆，</w:t>
      </w:r>
      <w:r>
        <w:rPr>
          <w:rFonts w:hint="eastAsia" w:ascii="仿宋_GB2312" w:eastAsia="仿宋_GB2312"/>
          <w:sz w:val="32"/>
          <w:szCs w:val="32"/>
          <w:highlight w:val="none"/>
          <w:lang w:val="en-US" w:eastAsia="zh-CN"/>
        </w:rPr>
        <w:t>支出来源为对外投资收益费用。</w:t>
      </w:r>
    </w:p>
    <w:p>
      <w:pPr>
        <w:keepNext w:val="0"/>
        <w:keepLines w:val="0"/>
        <w:pageBreakBefore w:val="0"/>
        <w:kinsoku/>
        <w:wordWrap/>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kinsoku/>
        <w:wordWrap/>
        <w:overflowPunct/>
        <w:topLinePunct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hAnsi="仿宋_GB2312" w:eastAsia="仿宋_GB2312" w:cs="仿宋_GB2312"/>
          <w:b/>
          <w:bCs/>
          <w:sz w:val="32"/>
          <w:szCs w:val="32"/>
          <w:highlight w:val="none"/>
          <w:lang w:val="zh-CN"/>
        </w:rPr>
        <w:t>与</w:t>
      </w:r>
      <w:r>
        <w:rPr>
          <w:rFonts w:hint="eastAsia" w:ascii="仿宋_GB2312" w:hAnsi="仿宋_GB2312" w:eastAsia="仿宋_GB2312" w:cs="仿宋_GB2312"/>
          <w:b/>
          <w:bCs/>
          <w:sz w:val="32"/>
          <w:szCs w:val="32"/>
          <w:highlight w:val="none"/>
          <w:lang w:val="en-US" w:eastAsia="zh-CN"/>
        </w:rPr>
        <w:t>全年</w:t>
      </w:r>
      <w:r>
        <w:rPr>
          <w:rFonts w:hint="eastAsia" w:ascii="仿宋_GB2312" w:hAnsi="仿宋_GB2312" w:eastAsia="仿宋_GB2312" w:cs="仿宋_GB2312"/>
          <w:b/>
          <w:bCs/>
          <w:sz w:val="32"/>
          <w:szCs w:val="32"/>
          <w:highlight w:val="none"/>
          <w:lang w:val="zh-CN" w:eastAsia="zh-CN"/>
        </w:rPr>
        <w:t>预算</w:t>
      </w:r>
      <w:r>
        <w:rPr>
          <w:rFonts w:hint="eastAsia" w:ascii="仿宋_GB2312" w:hAnsi="仿宋_GB2312" w:eastAsia="仿宋_GB2312" w:cs="仿宋_GB2312"/>
          <w:b/>
          <w:bCs/>
          <w:sz w:val="32"/>
          <w:szCs w:val="32"/>
          <w:highlight w:val="none"/>
          <w:lang w:val="zh-CN"/>
        </w:rPr>
        <w:t>相比，</w:t>
      </w:r>
      <w:r>
        <w:rPr>
          <w:rFonts w:hint="eastAsia" w:ascii="仿宋_GB2312" w:hAnsi="仿宋_GB2312" w:eastAsia="仿宋_GB2312" w:cs="仿宋_GB2312"/>
          <w:b w:val="0"/>
          <w:bCs w:val="0"/>
          <w:sz w:val="32"/>
          <w:szCs w:val="32"/>
          <w:highlight w:val="none"/>
          <w:lang w:val="zh-CN" w:eastAsia="zh-CN"/>
        </w:rPr>
        <w:t>财政拨款</w:t>
      </w:r>
      <w:r>
        <w:rPr>
          <w:rFonts w:hint="eastAsia" w:ascii="仿宋_GB2312" w:eastAsia="仿宋_GB2312"/>
          <w:b w:val="0"/>
          <w:bCs w:val="0"/>
          <w:sz w:val="32"/>
          <w:szCs w:val="32"/>
        </w:rPr>
        <w:t>“三公”经费支出全年预算数0.00万元，决算数</w:t>
      </w:r>
      <w:r>
        <w:rPr>
          <w:rFonts w:ascii="仿宋_GB2312" w:eastAsia="仿宋_GB2312"/>
          <w:b w:val="0"/>
          <w:bCs w:val="0"/>
          <w:sz w:val="32"/>
          <w:szCs w:val="32"/>
        </w:rPr>
        <w:t>0.00</w:t>
      </w:r>
      <w:r>
        <w:rPr>
          <w:rFonts w:hint="eastAsia" w:ascii="仿宋_GB2312" w:eastAsia="仿宋_GB2312"/>
          <w:b w:val="0"/>
          <w:bCs w:val="0"/>
          <w:sz w:val="32"/>
          <w:szCs w:val="32"/>
        </w:rPr>
        <w:t>万元，预决算差异率0.00%，主要原因是：我单位无财政拨款</w:t>
      </w:r>
      <w:r>
        <w:rPr>
          <w:rFonts w:hint="eastAsia" w:ascii="仿宋_GB2312" w:eastAsia="仿宋_GB2312"/>
          <w:sz w:val="32"/>
          <w:szCs w:val="32"/>
        </w:rPr>
        <w:t>“三公”经费支出。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2" w:name="_Toc7927"/>
      <w:bookmarkStart w:id="23" w:name="_Toc5810"/>
      <w:r>
        <w:rPr>
          <w:rFonts w:hint="eastAsia" w:ascii="黑体" w:hAnsi="黑体" w:eastAsia="黑体" w:cs="黑体"/>
          <w:bCs/>
          <w:kern w:val="0"/>
          <w:sz w:val="32"/>
          <w:szCs w:val="32"/>
          <w:highlight w:val="none"/>
          <w:lang w:val="en-US" w:eastAsia="zh-CN"/>
        </w:rPr>
        <w:t>八</w:t>
      </w:r>
      <w:r>
        <w:rPr>
          <w:rFonts w:hint="eastAsia" w:ascii="黑体" w:hAnsi="黑体" w:eastAsia="黑体" w:cs="黑体"/>
          <w:bCs/>
          <w:kern w:val="0"/>
          <w:sz w:val="32"/>
          <w:szCs w:val="32"/>
          <w:highlight w:val="none"/>
          <w:lang w:eastAsia="zh-CN"/>
        </w:rPr>
        <w:t>、政府性基金预算财政拨款收入支出决算情况说明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本年度无政府性基金预算财政拨款收入、支出</w:t>
      </w:r>
      <w:r>
        <w:rPr>
          <w:rFonts w:hint="eastAsia" w:ascii="仿宋_GB2312" w:hAnsi="仿宋_GB2312" w:eastAsia="仿宋_GB2312" w:cs="仿宋_GB2312"/>
          <w:sz w:val="32"/>
          <w:szCs w:val="32"/>
          <w:highlight w:val="none"/>
          <w:lang w:val="en-US" w:eastAsia="zh-CN"/>
        </w:rPr>
        <w:t>及结转和结余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val="en-US" w:eastAsia="zh-CN"/>
        </w:rPr>
        <w:t>九</w:t>
      </w:r>
      <w:r>
        <w:rPr>
          <w:rFonts w:hint="eastAsia" w:ascii="黑体" w:hAnsi="黑体" w:eastAsia="黑体" w:cs="黑体"/>
          <w:bCs/>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本年度无国有资本经营预算财政拨款收入、支出</w:t>
      </w:r>
      <w:r>
        <w:rPr>
          <w:rFonts w:hint="eastAsia" w:ascii="仿宋_GB2312" w:hAnsi="仿宋_GB2312" w:eastAsia="仿宋_GB2312" w:cs="仿宋_GB2312"/>
          <w:sz w:val="32"/>
          <w:szCs w:val="32"/>
          <w:highlight w:val="none"/>
          <w:lang w:val="en-US" w:eastAsia="zh-CN"/>
        </w:rPr>
        <w:t>及结转和结余</w:t>
      </w:r>
      <w:r>
        <w:rPr>
          <w:rFonts w:hint="eastAsia" w:ascii="仿宋_GB2312" w:hAnsi="仿宋_GB2312" w:eastAsia="仿宋_GB2312" w:cs="仿宋_GB2312"/>
          <w:sz w:val="32"/>
          <w:szCs w:val="32"/>
          <w:highlight w:val="none"/>
          <w:lang w:eastAsia="zh-CN"/>
        </w:rPr>
        <w:t>，国有资本经营</w:t>
      </w:r>
      <w:r>
        <w:rPr>
          <w:rFonts w:hint="eastAsia" w:ascii="仿宋_GB2312" w:hAnsi="仿宋_GB2312" w:eastAsia="仿宋_GB2312" w:cs="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4" w:name="_Toc7314"/>
      <w:bookmarkStart w:id="25" w:name="_Toc1235"/>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rPr>
        <w:t>、其他重要事项的情况</w:t>
      </w:r>
      <w:r>
        <w:rPr>
          <w:rFonts w:hint="eastAsia" w:ascii="黑体" w:hAnsi="黑体" w:eastAsia="黑体" w:cs="黑体"/>
          <w:bCs/>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黑体" w:hAnsi="黑体" w:eastAsia="黑体" w:cs="黑体"/>
          <w:sz w:val="32"/>
          <w:szCs w:val="32"/>
          <w:highlight w:val="none"/>
        </w:rPr>
      </w:pPr>
      <w:bookmarkStart w:id="26" w:name="_Toc14519"/>
      <w:bookmarkStart w:id="27" w:name="_Toc13105"/>
      <w:r>
        <w:rPr>
          <w:rFonts w:hint="eastAsia" w:ascii="黑体" w:hAnsi="黑体" w:eastAsia="黑体" w:cs="黑体"/>
          <w:sz w:val="32"/>
          <w:szCs w:val="32"/>
          <w:highlight w:val="none"/>
          <w:lang w:eastAsia="zh-CN"/>
        </w:rPr>
        <w:t>（一）</w:t>
      </w:r>
      <w:r>
        <w:rPr>
          <w:rFonts w:hint="eastAsia" w:ascii="黑体" w:hAnsi="黑体" w:eastAsia="黑体" w:cs="黑体"/>
          <w:sz w:val="32"/>
          <w:szCs w:val="32"/>
          <w:highlight w:val="none"/>
        </w:rPr>
        <w:t>机关运行经费支出情况</w:t>
      </w:r>
      <w:bookmarkEnd w:id="26"/>
      <w:bookmarkEnd w:id="27"/>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pacing w:val="0"/>
          <w:sz w:val="32"/>
          <w:szCs w:val="32"/>
          <w:highlight w:val="none"/>
          <w:lang w:val="en-US" w:eastAsia="zh-CN"/>
        </w:rPr>
        <w:t>2023年度新疆维吾尔自治区中小企业服务中心</w:t>
      </w:r>
      <w:r>
        <w:rPr>
          <w:rFonts w:hint="eastAsia" w:ascii="仿宋_GB2312" w:hAnsi="仿宋_GB2312" w:eastAsia="仿宋_GB2312" w:cs="仿宋_GB2312"/>
          <w:sz w:val="32"/>
          <w:szCs w:val="32"/>
          <w:highlight w:val="none"/>
        </w:rPr>
        <w:t>（事业单位）</w:t>
      </w:r>
      <w:r>
        <w:rPr>
          <w:rFonts w:hint="eastAsia" w:ascii="仿宋_GB2312" w:hAnsi="仿宋_GB2312" w:eastAsia="仿宋_GB2312" w:cs="仿宋_GB2312"/>
          <w:sz w:val="32"/>
          <w:szCs w:val="32"/>
          <w:highlight w:val="none"/>
          <w:lang w:eastAsia="zh-CN"/>
        </w:rPr>
        <w:t>公用经费</w:t>
      </w:r>
      <w:r>
        <w:rPr>
          <w:rFonts w:hint="eastAsia" w:ascii="仿宋_GB2312" w:hAnsi="仿宋_GB2312" w:eastAsia="仿宋_GB2312" w:cs="仿宋_GB2312"/>
          <w:sz w:val="32"/>
          <w:szCs w:val="32"/>
          <w:highlight w:val="none"/>
          <w:lang w:val="en-US" w:eastAsia="zh-CN"/>
        </w:rPr>
        <w:t>23.54</w:t>
      </w:r>
      <w:r>
        <w:rPr>
          <w:rFonts w:hint="eastAsia" w:ascii="仿宋_GB2312" w:hAnsi="仿宋_GB2312" w:eastAsia="仿宋_GB2312" w:cs="仿宋_GB2312"/>
          <w:sz w:val="32"/>
          <w:szCs w:val="32"/>
          <w:highlight w:val="none"/>
        </w:rPr>
        <w:t>万元，比上年增加</w:t>
      </w:r>
      <w:r>
        <w:rPr>
          <w:rFonts w:hint="eastAsia" w:ascii="仿宋_GB2312" w:hAnsi="仿宋_GB2312" w:eastAsia="仿宋_GB2312" w:cs="仿宋_GB2312"/>
          <w:sz w:val="32"/>
          <w:szCs w:val="32"/>
          <w:highlight w:val="none"/>
          <w:lang w:val="en-US" w:eastAsia="zh-CN"/>
        </w:rPr>
        <w:t>0.33</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1.42</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工资调标，工会经费支出增加</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黑体" w:hAnsi="黑体" w:eastAsia="黑体" w:cs="黑体"/>
          <w:sz w:val="32"/>
          <w:szCs w:val="32"/>
          <w:highlight w:val="none"/>
          <w:lang w:eastAsia="zh-CN"/>
        </w:rPr>
      </w:pPr>
      <w:bookmarkStart w:id="28" w:name="_Toc227"/>
      <w:bookmarkStart w:id="29" w:name="_Toc26704"/>
      <w:r>
        <w:rPr>
          <w:rFonts w:hint="eastAsia" w:ascii="黑体" w:hAnsi="黑体" w:eastAsia="黑体" w:cs="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zh-CN"/>
        </w:rPr>
      </w:pPr>
      <w:r>
        <w:rPr>
          <w:rFonts w:hint="eastAsia" w:ascii="仿宋_GB2312" w:hAnsi="仿宋_GB2312" w:eastAsia="仿宋_GB2312" w:cs="仿宋_GB2312"/>
          <w:sz w:val="32"/>
          <w:szCs w:val="32"/>
          <w:highlight w:val="none"/>
          <w:lang w:val="zh-CN" w:eastAsia="zh-CN"/>
        </w:rPr>
        <w:t>2023年度</w:t>
      </w:r>
      <w:r>
        <w:rPr>
          <w:rFonts w:hint="eastAsia" w:ascii="仿宋_GB2312" w:hAnsi="仿宋_GB2312" w:eastAsia="仿宋_GB2312" w:cs="仿宋_GB2312"/>
          <w:sz w:val="32"/>
          <w:szCs w:val="32"/>
          <w:highlight w:val="none"/>
          <w:lang w:val="zh-CN"/>
        </w:rPr>
        <w:t>政府采购支出总额</w:t>
      </w:r>
      <w:r>
        <w:rPr>
          <w:rFonts w:hint="eastAsia" w:ascii="仿宋_GB2312" w:hAnsi="仿宋_GB2312" w:eastAsia="仿宋_GB2312" w:cs="仿宋_GB2312"/>
          <w:sz w:val="32"/>
          <w:szCs w:val="32"/>
          <w:highlight w:val="none"/>
          <w:lang w:val="zh-CN" w:eastAsia="zh-CN"/>
        </w:rPr>
        <w:t>656.45</w:t>
      </w:r>
      <w:r>
        <w:rPr>
          <w:rFonts w:hint="eastAsia" w:ascii="仿宋_GB2312" w:hAnsi="仿宋_GB2312" w:eastAsia="仿宋_GB2312" w:cs="仿宋_GB2312"/>
          <w:sz w:val="32"/>
          <w:szCs w:val="32"/>
          <w:highlight w:val="none"/>
          <w:lang w:val="zh-CN"/>
        </w:rPr>
        <w:t>万元，其中：政府采购货物支出</w:t>
      </w:r>
      <w:r>
        <w:rPr>
          <w:rFonts w:hint="eastAsia" w:ascii="仿宋_GB2312" w:hAnsi="仿宋_GB2312" w:eastAsia="仿宋_GB2312" w:cs="仿宋_GB2312"/>
          <w:sz w:val="32"/>
          <w:szCs w:val="32"/>
          <w:highlight w:val="none"/>
          <w:lang w:val="zh-CN" w:eastAsia="zh-CN"/>
        </w:rPr>
        <w:t>64.74</w:t>
      </w:r>
      <w:r>
        <w:rPr>
          <w:rFonts w:hint="eastAsia" w:ascii="仿宋_GB2312" w:hAnsi="仿宋_GB2312" w:eastAsia="仿宋_GB2312" w:cs="仿宋_GB2312"/>
          <w:sz w:val="32"/>
          <w:szCs w:val="32"/>
          <w:highlight w:val="none"/>
          <w:lang w:val="zh-CN"/>
        </w:rPr>
        <w:t>万元、政府采购工程支出</w:t>
      </w:r>
      <w:r>
        <w:rPr>
          <w:rFonts w:hint="eastAsia" w:ascii="仿宋_GB2312" w:hAnsi="仿宋_GB2312" w:eastAsia="仿宋_GB2312" w:cs="仿宋_GB2312"/>
          <w:sz w:val="32"/>
          <w:szCs w:val="32"/>
          <w:highlight w:val="none"/>
          <w:lang w:val="zh-CN" w:eastAsia="zh-CN"/>
        </w:rPr>
        <w:t>101.66</w:t>
      </w:r>
      <w:r>
        <w:rPr>
          <w:rFonts w:hint="eastAsia" w:ascii="仿宋_GB2312" w:hAnsi="仿宋_GB2312" w:eastAsia="仿宋_GB2312" w:cs="仿宋_GB2312"/>
          <w:sz w:val="32"/>
          <w:szCs w:val="32"/>
          <w:highlight w:val="none"/>
          <w:lang w:val="zh-CN"/>
        </w:rPr>
        <w:t>万元、政府采购服务支出</w:t>
      </w:r>
      <w:r>
        <w:rPr>
          <w:rFonts w:hint="eastAsia" w:ascii="仿宋_GB2312" w:hAnsi="仿宋_GB2312" w:eastAsia="仿宋_GB2312" w:cs="仿宋_GB2312"/>
          <w:sz w:val="32"/>
          <w:szCs w:val="32"/>
          <w:highlight w:val="none"/>
          <w:lang w:val="zh-CN" w:eastAsia="zh-CN"/>
        </w:rPr>
        <w:t>490.04</w:t>
      </w:r>
      <w:r>
        <w:rPr>
          <w:rFonts w:hint="eastAsia" w:ascii="仿宋_GB2312" w:hAnsi="仿宋_GB2312" w:eastAsia="仿宋_GB2312" w:cs="仿宋_GB2312"/>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zh-CN"/>
        </w:rPr>
        <w:t>授予中小企业合同金额</w:t>
      </w:r>
      <w:r>
        <w:rPr>
          <w:rFonts w:hint="eastAsia" w:ascii="仿宋_GB2312" w:hAnsi="仿宋_GB2312" w:eastAsia="仿宋_GB2312" w:cs="仿宋_GB2312"/>
          <w:sz w:val="32"/>
          <w:szCs w:val="32"/>
          <w:highlight w:val="none"/>
          <w:lang w:val="zh-CN" w:eastAsia="zh-CN"/>
        </w:rPr>
        <w:t>656.16</w:t>
      </w:r>
      <w:r>
        <w:rPr>
          <w:rFonts w:hint="eastAsia" w:ascii="仿宋_GB2312" w:hAnsi="仿宋_GB2312" w:eastAsia="仿宋_GB2312" w:cs="仿宋_GB2312"/>
          <w:sz w:val="32"/>
          <w:szCs w:val="32"/>
          <w:highlight w:val="none"/>
          <w:lang w:val="zh-CN"/>
        </w:rPr>
        <w:t>万元，占政府采购支出总额的</w:t>
      </w:r>
      <w:r>
        <w:rPr>
          <w:rFonts w:hint="eastAsia" w:ascii="仿宋_GB2312" w:hAnsi="仿宋_GB2312" w:eastAsia="仿宋_GB2312" w:cs="仿宋_GB2312"/>
          <w:sz w:val="32"/>
          <w:szCs w:val="32"/>
          <w:highlight w:val="none"/>
          <w:lang w:val="zh-CN" w:eastAsia="zh-CN"/>
        </w:rPr>
        <w:t>99.96%</w:t>
      </w:r>
      <w:r>
        <w:rPr>
          <w:rFonts w:hint="eastAsia" w:ascii="仿宋_GB2312" w:hAnsi="仿宋_GB2312" w:eastAsia="仿宋_GB2312" w:cs="仿宋_GB2312"/>
          <w:sz w:val="32"/>
          <w:szCs w:val="32"/>
          <w:highlight w:val="none"/>
          <w:lang w:val="zh-CN"/>
        </w:rPr>
        <w:t>，其中：授予小微企业合同金额</w:t>
      </w:r>
      <w:r>
        <w:rPr>
          <w:rFonts w:hint="eastAsia" w:ascii="仿宋_GB2312" w:hAnsi="仿宋_GB2312" w:eastAsia="仿宋_GB2312" w:cs="仿宋_GB2312"/>
          <w:sz w:val="32"/>
          <w:szCs w:val="32"/>
          <w:highlight w:val="none"/>
          <w:lang w:val="zh-CN" w:eastAsia="zh-CN"/>
        </w:rPr>
        <w:t>634.37</w:t>
      </w:r>
      <w:r>
        <w:rPr>
          <w:rFonts w:hint="eastAsia" w:ascii="仿宋_GB2312" w:hAnsi="仿宋_GB2312" w:eastAsia="仿宋_GB2312" w:cs="仿宋_GB2312"/>
          <w:sz w:val="32"/>
          <w:szCs w:val="32"/>
          <w:highlight w:val="none"/>
          <w:lang w:val="zh-CN"/>
        </w:rPr>
        <w:t>万元，占政府采购支出总额的</w:t>
      </w:r>
      <w:r>
        <w:rPr>
          <w:rFonts w:hint="eastAsia" w:ascii="仿宋_GB2312" w:hAnsi="仿宋_GB2312" w:eastAsia="仿宋_GB2312" w:cs="仿宋_GB2312"/>
          <w:sz w:val="32"/>
          <w:szCs w:val="32"/>
          <w:highlight w:val="none"/>
          <w:lang w:val="zh-CN" w:eastAsia="zh-CN"/>
        </w:rPr>
        <w:t>96.64%</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highlight w:val="none"/>
          <w:lang w:val="zh-CN" w:eastAsia="zh-CN"/>
        </w:rPr>
      </w:pPr>
      <w:bookmarkStart w:id="30" w:name="_Toc8391"/>
      <w:bookmarkStart w:id="31" w:name="_Toc4591"/>
      <w:r>
        <w:rPr>
          <w:rFonts w:hint="eastAsia" w:ascii="黑体" w:hAnsi="黑体" w:eastAsia="黑体" w:cs="黑体"/>
          <w:b w:val="0"/>
          <w:bCs w:val="0"/>
          <w:sz w:val="32"/>
          <w:szCs w:val="32"/>
          <w:highlight w:val="none"/>
          <w:lang w:val="zh-CN" w:eastAsia="zh-CN"/>
        </w:rPr>
        <w:t>（三）国有资产占用情况说明</w:t>
      </w:r>
      <w:bookmarkEnd w:id="30"/>
      <w:bookmarkEnd w:id="31"/>
    </w:p>
    <w:p>
      <w:pPr>
        <w:keepNext w:val="0"/>
        <w:keepLines w:val="0"/>
        <w:pageBreakBefore w:val="0"/>
        <w:kinsoku/>
        <w:wordWrap/>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hAnsi="仿宋_GB2312" w:eastAsia="仿宋_GB2312" w:cs="仿宋_GB2312"/>
          <w:sz w:val="32"/>
          <w:szCs w:val="32"/>
          <w:highlight w:val="none"/>
          <w:lang w:val="en-US" w:eastAsia="zh-CN"/>
        </w:rPr>
        <w:t>截至2023</w:t>
      </w:r>
      <w:r>
        <w:rPr>
          <w:rFonts w:hint="eastAsia" w:ascii="仿宋_GB2312" w:hAnsi="仿宋_GB2312" w:eastAsia="仿宋_GB2312" w:cs="仿宋_GB2312"/>
          <w:sz w:val="32"/>
          <w:szCs w:val="32"/>
          <w:highlight w:val="none"/>
          <w:lang w:val="zh-CN" w:eastAsia="zh-CN"/>
        </w:rPr>
        <w:t>年</w:t>
      </w:r>
      <w:r>
        <w:rPr>
          <w:rFonts w:hint="eastAsia" w:ascii="仿宋_GB2312" w:hAnsi="仿宋_GB2312" w:eastAsia="仿宋_GB2312" w:cs="仿宋_GB2312"/>
          <w:sz w:val="32"/>
          <w:szCs w:val="32"/>
          <w:highlight w:val="none"/>
          <w:lang w:val="en-US" w:eastAsia="zh-CN"/>
        </w:rPr>
        <w:t>12月31日</w:t>
      </w:r>
      <w:r>
        <w:rPr>
          <w:rFonts w:hint="eastAsia" w:ascii="仿宋_GB2312" w:hAnsi="仿宋_GB2312" w:eastAsia="仿宋_GB2312" w:cs="仿宋_GB2312"/>
          <w:sz w:val="32"/>
          <w:szCs w:val="32"/>
          <w:highlight w:val="none"/>
          <w:lang w:val="zh-CN" w:eastAsia="zh-CN"/>
        </w:rPr>
        <w:t>，</w:t>
      </w:r>
      <w:r>
        <w:rPr>
          <w:rFonts w:hint="eastAsia" w:ascii="仿宋_GB2312" w:eastAsia="仿宋_GB2312"/>
          <w:sz w:val="32"/>
          <w:szCs w:val="32"/>
        </w:rPr>
        <w:t>固定资产原值1,</w:t>
      </w:r>
      <w:r>
        <w:rPr>
          <w:rFonts w:hint="default" w:ascii="仿宋_GB2312" w:eastAsia="仿宋_GB2312"/>
          <w:sz w:val="32"/>
          <w:szCs w:val="32"/>
          <w:lang w:val="en"/>
        </w:rPr>
        <w:t>226.86</w:t>
      </w:r>
      <w:bookmarkStart w:id="52" w:name="_GoBack"/>
      <w:bookmarkEnd w:id="52"/>
      <w:r>
        <w:rPr>
          <w:rFonts w:hint="eastAsia" w:ascii="仿宋_GB2312" w:eastAsia="仿宋_GB2312"/>
          <w:sz w:val="32"/>
          <w:szCs w:val="32"/>
        </w:rPr>
        <w:t>万元，房屋</w:t>
      </w:r>
      <w:r>
        <w:rPr>
          <w:rFonts w:ascii="仿宋_GB2312" w:eastAsia="仿宋_GB2312"/>
          <w:sz w:val="32"/>
          <w:szCs w:val="32"/>
        </w:rPr>
        <w:t>3,577.48</w:t>
      </w:r>
      <w:r>
        <w:rPr>
          <w:rFonts w:hint="eastAsia" w:ascii="仿宋_GB2312" w:eastAsia="仿宋_GB2312"/>
          <w:sz w:val="32"/>
          <w:szCs w:val="32"/>
        </w:rPr>
        <w:t>平方米，价值</w:t>
      </w:r>
      <w:r>
        <w:rPr>
          <w:rFonts w:ascii="仿宋_GB2312" w:eastAsia="仿宋_GB2312"/>
          <w:sz w:val="32"/>
          <w:szCs w:val="32"/>
        </w:rPr>
        <w:t>821.79</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27.46</w:t>
      </w:r>
      <w:r>
        <w:rPr>
          <w:rFonts w:hint="eastAsia" w:ascii="仿宋_GB2312" w:eastAsia="仿宋_GB2312"/>
          <w:sz w:val="32"/>
          <w:szCs w:val="32"/>
        </w:rPr>
        <w:t>万元，其中：副部（省）级及以上领导用车0辆、</w:t>
      </w:r>
      <w:r>
        <w:rPr>
          <w:rFonts w:hint="eastAsia" w:ascii="仿宋_GB2312" w:hAnsi="仿宋_GB2312" w:eastAsia="仿宋_GB2312" w:cs="仿宋_GB2312"/>
          <w:bCs/>
          <w:color w:val="auto"/>
          <w:kern w:val="0"/>
          <w:sz w:val="32"/>
          <w:szCs w:val="32"/>
          <w:highlight w:val="none"/>
          <w:lang w:val="en-US" w:eastAsia="zh-CN"/>
        </w:rPr>
        <w:t>主要负责人</w:t>
      </w:r>
      <w:r>
        <w:rPr>
          <w:rFonts w:hint="eastAsia" w:ascii="仿宋_GB2312" w:eastAsia="仿宋_GB2312"/>
          <w:sz w:val="32"/>
          <w:szCs w:val="32"/>
        </w:rPr>
        <w:t>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辆，其他用车主要是：用于企业走访、机构调研等业务用车；单价100万元（含）以上设备（不含车辆）</w:t>
      </w:r>
      <w:r>
        <w:rPr>
          <w:rFonts w:ascii="仿宋_GB2312" w:eastAsia="仿宋_GB2312"/>
          <w:sz w:val="32"/>
          <w:szCs w:val="32"/>
        </w:rPr>
        <w:t>0</w:t>
      </w:r>
      <w:r>
        <w:rPr>
          <w:rFonts w:hint="eastAsia" w:ascii="仿宋_GB2312" w:eastAsia="仿宋_GB2312"/>
          <w:sz w:val="32"/>
          <w:szCs w:val="32"/>
        </w:rPr>
        <w:t>台（套）。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_GB2312" w:hAnsi="仿宋_GB2312" w:eastAsia="仿宋_GB2312" w:cs="仿宋_GB2312"/>
          <w:bCs/>
          <w:kern w:val="0"/>
          <w:sz w:val="32"/>
          <w:szCs w:val="32"/>
          <w:highlight w:val="none"/>
          <w:lang w:eastAsia="zh-CN"/>
        </w:rPr>
      </w:pPr>
      <w:bookmarkStart w:id="32" w:name="_Toc435"/>
      <w:bookmarkStart w:id="33" w:name="_Toc11283"/>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lang w:val="en-US" w:eastAsia="zh-CN"/>
        </w:rPr>
        <w:t>一</w:t>
      </w:r>
      <w:r>
        <w:rPr>
          <w:rFonts w:hint="eastAsia" w:ascii="黑体" w:hAnsi="黑体" w:eastAsia="黑体" w:cs="黑体"/>
          <w:bCs/>
          <w:kern w:val="0"/>
          <w:sz w:val="32"/>
          <w:szCs w:val="32"/>
          <w:highlight w:val="none"/>
          <w:lang w:eastAsia="zh-CN"/>
        </w:rPr>
        <w:t>、预算绩效的情况说明</w:t>
      </w:r>
      <w:bookmarkEnd w:id="32"/>
      <w:bookmarkEnd w:id="33"/>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根据预算绩效管理要求，我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sz w:val="32"/>
          <w:szCs w:val="32"/>
          <w:highlight w:val="none"/>
          <w:lang w:val="en-US" w:eastAsia="zh-CN"/>
        </w:rPr>
        <w:t>预算总额0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实际执行总额0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我单位整体支出绩效自评表由主管部门编报并公开</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sz w:val="32"/>
          <w:szCs w:val="32"/>
          <w:highlight w:val="none"/>
          <w:lang w:eastAsia="zh-CN"/>
        </w:rPr>
        <w:t>预算绩效评价项目</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个，</w:t>
      </w:r>
      <w:r>
        <w:rPr>
          <w:rFonts w:hint="eastAsia" w:ascii="仿宋_GB2312" w:hAnsi="仿宋_GB2312" w:eastAsia="仿宋_GB2312" w:cs="仿宋_GB2312"/>
          <w:sz w:val="32"/>
          <w:szCs w:val="32"/>
          <w:highlight w:val="none"/>
          <w:lang w:val="en-US" w:eastAsia="zh-CN"/>
        </w:rPr>
        <w:t>全年预算数839.00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全年执行数</w:t>
      </w:r>
      <w:r>
        <w:rPr>
          <w:rFonts w:hint="eastAsia" w:ascii="仿宋_GB2312" w:eastAsia="仿宋_GB2312"/>
          <w:sz w:val="32"/>
          <w:szCs w:val="32"/>
          <w:lang w:val="en-US" w:eastAsia="zh-CN"/>
        </w:rPr>
        <w:t>739.44</w:t>
      </w:r>
      <w:r>
        <w:rPr>
          <w:rFonts w:hint="eastAsia" w:ascii="仿宋_GB2312" w:eastAsia="仿宋_GB2312"/>
          <w:sz w:val="32"/>
          <w:szCs w:val="32"/>
        </w:rPr>
        <w:t>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。预算绩效管理取得的成效：</w:t>
      </w:r>
      <w:r>
        <w:rPr>
          <w:rFonts w:ascii="仿宋_GB2312" w:eastAsia="仿宋_GB2312"/>
          <w:sz w:val="32"/>
          <w:szCs w:val="32"/>
        </w:rPr>
        <w:t>一是严格执行《工信厅全面预算绩效管理办法》，规范和加快预算执行，积极做好绩效监控和绩效评价工作，确保预算执行的准确性、及时性和规范性,切实发挥财政资金最大效用；二是各项工作实施及资金使用情况均在绩效目标设定时限完成，在项目经费的使用上，在保证各项任务顺利完成的同时，严格落实厉行节约原则；三是继续发挥新疆中小企业公共服务平台枢纽作用，强化完善核心服务功能</w:t>
      </w:r>
      <w:r>
        <w:rPr>
          <w:rFonts w:hint="eastAsia" w:ascii="仿宋_GB2312" w:eastAsia="仿宋_GB2312"/>
          <w:sz w:val="32"/>
          <w:szCs w:val="32"/>
        </w:rPr>
        <w:t>。发现的问题及原因：</w:t>
      </w:r>
      <w:r>
        <w:rPr>
          <w:rFonts w:ascii="仿宋_GB2312" w:eastAsia="仿宋_GB2312"/>
          <w:sz w:val="32"/>
          <w:szCs w:val="32"/>
        </w:rPr>
        <w:t>根据重点工作安排，在项目支出绩效监控工作中，存在预算整体支出绩效目标与产出的数量指标、质量指标缺乏对应性，关联性和可操作性不强。存在对项目绩效目标的设定和各项指标的理解、认识不到位，导致项目绩效目标不够明确、不够细化、不够量化、缺乏可衡量性和可实现性。执行周期较长，影响了预算执行率，降低了绩效监控及绩效评价报告工作质量</w:t>
      </w:r>
      <w:r>
        <w:rPr>
          <w:rFonts w:hint="eastAsia" w:ascii="仿宋_GB2312" w:eastAsia="仿宋_GB2312"/>
          <w:sz w:val="32"/>
          <w:szCs w:val="32"/>
        </w:rPr>
        <w:t>。下一步改进措施：</w:t>
      </w:r>
      <w:r>
        <w:rPr>
          <w:rFonts w:ascii="仿宋_GB2312" w:eastAsia="仿宋_GB2312"/>
          <w:sz w:val="32"/>
          <w:szCs w:val="32"/>
        </w:rPr>
        <w:t>一是建成单位系统内控体系，进一步规范资金使用管理全流程，依程序高质量完成各项工作任务。二是在今后的绩效目标设定过程中，注意考虑突发事件的影响，制定出更加符合实际的绩效目标，加强绩效目标对管理工作的指导作用。</w:t>
      </w:r>
      <w:r>
        <w:rPr>
          <w:rFonts w:hint="eastAsia" w:ascii="仿宋_GB2312" w:hAnsi="仿宋_GB2312" w:eastAsia="仿宋_GB2312" w:cs="仿宋_GB2312"/>
          <w:sz w:val="32"/>
          <w:szCs w:val="32"/>
          <w:highlight w:val="none"/>
          <w:lang w:eastAsia="zh-CN"/>
        </w:rPr>
        <w:t>具体</w:t>
      </w:r>
      <w:r>
        <w:rPr>
          <w:rFonts w:hint="eastAsia" w:ascii="仿宋_GB2312" w:hAnsi="仿宋_GB2312" w:eastAsia="仿宋_GB2312" w:cs="仿宋_GB2312"/>
          <w:sz w:val="32"/>
          <w:szCs w:val="32"/>
          <w:highlight w:val="none"/>
        </w:rPr>
        <w:t>项目自评情况附绩效自评表</w:t>
      </w:r>
      <w:r>
        <w:rPr>
          <w:rFonts w:hint="eastAsia" w:ascii="仿宋_GB2312" w:hAnsi="仿宋_GB2312" w:eastAsia="仿宋_GB2312" w:cs="仿宋_GB2312"/>
          <w:sz w:val="32"/>
          <w:szCs w:val="32"/>
          <w:highlight w:val="none"/>
          <w:lang w:val="en-US" w:eastAsia="zh-CN"/>
        </w:rPr>
        <w:t>及自评报告</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bCs/>
          <w:kern w:val="0"/>
          <w:sz w:val="32"/>
          <w:szCs w:val="32"/>
          <w:highlight w:val="none"/>
          <w:lang w:eastAsia="zh-CN"/>
        </w:rPr>
      </w:pPr>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lang w:val="en-US" w:eastAsia="zh-CN"/>
        </w:rPr>
        <w:t>二</w:t>
      </w:r>
      <w:r>
        <w:rPr>
          <w:rFonts w:hint="eastAsia" w:ascii="黑体" w:hAnsi="黑体" w:eastAsia="黑体" w:cs="黑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仿宋_GB2312" w:hAnsi="仿宋_GB2312" w:eastAsia="仿宋_GB2312" w:cs="仿宋_GB2312"/>
          <w:sz w:val="32"/>
          <w:szCs w:val="32"/>
          <w:highlight w:val="none"/>
        </w:rPr>
      </w:pPr>
      <w:bookmarkStart w:id="34" w:name="_Toc3250"/>
      <w:bookmarkStart w:id="35" w:name="_Toc24143"/>
      <w:r>
        <w:rPr>
          <w:rFonts w:hint="eastAsia" w:ascii="仿宋_GB2312" w:hAnsi="仿宋_GB2312" w:eastAsia="仿宋_GB2312" w:cs="仿宋_GB2312"/>
          <w:sz w:val="32"/>
          <w:szCs w:val="32"/>
          <w:highlight w:val="none"/>
        </w:rPr>
        <w:br w:type="page"/>
      </w:r>
      <w:r>
        <w:rPr>
          <w:rFonts w:hint="eastAsia" w:ascii="黑体" w:hAnsi="黑体" w:eastAsia="黑体" w:cs="黑体"/>
          <w:b w:val="0"/>
          <w:bCs w:val="0"/>
          <w:sz w:val="32"/>
          <w:szCs w:val="32"/>
          <w:highlight w:val="none"/>
        </w:rPr>
        <w:t>第</w:t>
      </w:r>
      <w:r>
        <w:rPr>
          <w:rFonts w:hint="eastAsia" w:ascii="黑体" w:hAnsi="黑体" w:eastAsia="黑体" w:cs="黑体"/>
          <w:b w:val="0"/>
          <w:bCs w:val="0"/>
          <w:sz w:val="32"/>
          <w:szCs w:val="32"/>
          <w:highlight w:val="none"/>
          <w:lang w:val="en-US" w:eastAsia="zh-CN"/>
        </w:rPr>
        <w:t>三</w:t>
      </w:r>
      <w:r>
        <w:rPr>
          <w:rFonts w:hint="eastAsia" w:ascii="黑体" w:hAnsi="黑体" w:eastAsia="黑体" w:cs="黑体"/>
          <w:b w:val="0"/>
          <w:bCs w:val="0"/>
          <w:sz w:val="32"/>
          <w:szCs w:val="32"/>
          <w:highlight w:val="none"/>
        </w:rPr>
        <w:t>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财政拨款收入：</w:t>
      </w:r>
      <w:r>
        <w:rPr>
          <w:rFonts w:hint="eastAsia" w:ascii="仿宋_GB2312" w:hAnsi="仿宋_GB2312" w:eastAsia="仿宋_GB2312" w:cs="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上级补助收入：</w:t>
      </w:r>
      <w:r>
        <w:rPr>
          <w:rFonts w:hint="eastAsia" w:ascii="仿宋_GB2312" w:hAnsi="仿宋_GB2312" w:eastAsia="仿宋_GB2312" w:cs="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事业收入：</w:t>
      </w:r>
      <w:r>
        <w:rPr>
          <w:rFonts w:hint="eastAsia" w:ascii="仿宋_GB2312" w:hAnsi="仿宋_GB2312" w:eastAsia="仿宋_GB2312" w:cs="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rPr>
        <w:t>经营收入：</w:t>
      </w:r>
      <w:r>
        <w:rPr>
          <w:rFonts w:hint="eastAsia" w:ascii="仿宋_GB2312" w:hAnsi="仿宋_GB2312" w:eastAsia="仿宋_GB2312" w:cs="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附属单位上缴收入：</w:t>
      </w:r>
      <w:r>
        <w:rPr>
          <w:rFonts w:hint="eastAsia" w:ascii="仿宋_GB2312" w:hAnsi="仿宋_GB2312" w:eastAsia="仿宋_GB2312" w:cs="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其他收入：</w:t>
      </w:r>
      <w:r>
        <w:rPr>
          <w:rFonts w:hint="eastAsia" w:ascii="仿宋_GB2312" w:hAnsi="仿宋_GB2312" w:eastAsia="仿宋_GB2312" w:cs="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七、</w:t>
      </w:r>
      <w:r>
        <w:rPr>
          <w:rFonts w:hint="eastAsia" w:ascii="仿宋_GB2312" w:hAnsi="仿宋_GB2312" w:eastAsia="仿宋_GB2312" w:cs="仿宋_GB2312"/>
          <w:b/>
          <w:bCs/>
          <w:sz w:val="32"/>
          <w:szCs w:val="32"/>
          <w:highlight w:val="none"/>
          <w:lang w:eastAsia="zh-CN"/>
        </w:rPr>
        <w:t>年初</w:t>
      </w:r>
      <w:r>
        <w:rPr>
          <w:rFonts w:hint="eastAsia" w:ascii="仿宋_GB2312" w:hAnsi="仿宋_GB2312" w:eastAsia="仿宋_GB2312" w:cs="仿宋_GB2312"/>
          <w:b/>
          <w:bCs/>
          <w:sz w:val="32"/>
          <w:szCs w:val="32"/>
          <w:highlight w:val="none"/>
        </w:rPr>
        <w:t>结转和结余：</w:t>
      </w:r>
      <w:r>
        <w:rPr>
          <w:rFonts w:hint="eastAsia" w:ascii="仿宋_GB2312" w:hAnsi="仿宋_GB2312" w:eastAsia="仿宋_GB2312" w:cs="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年末结转和结余：</w:t>
      </w:r>
      <w:r>
        <w:rPr>
          <w:rFonts w:hint="eastAsia" w:ascii="仿宋_GB2312" w:hAnsi="仿宋_GB2312" w:eastAsia="仿宋_GB2312" w:cs="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基本支出：</w:t>
      </w:r>
      <w:r>
        <w:rPr>
          <w:rFonts w:hint="eastAsia" w:ascii="仿宋_GB2312" w:hAnsi="仿宋_GB2312" w:eastAsia="仿宋_GB2312" w:cs="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w:t>
      </w:r>
      <w:r>
        <w:rPr>
          <w:rFonts w:hint="eastAsia" w:ascii="仿宋_GB2312" w:hAnsi="仿宋_GB2312" w:eastAsia="仿宋_GB2312" w:cs="仿宋_GB2312"/>
          <w:b/>
          <w:bCs/>
          <w:sz w:val="32"/>
          <w:szCs w:val="32"/>
          <w:highlight w:val="none"/>
        </w:rPr>
        <w:t>项目支出：</w:t>
      </w:r>
      <w:r>
        <w:rPr>
          <w:rFonts w:hint="eastAsia" w:ascii="仿宋_GB2312" w:hAnsi="仿宋_GB2312" w:eastAsia="仿宋_GB2312" w:cs="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十一、</w:t>
      </w:r>
      <w:r>
        <w:rPr>
          <w:rFonts w:hint="eastAsia" w:ascii="仿宋_GB2312" w:hAnsi="仿宋_GB2312" w:eastAsia="仿宋_GB2312" w:cs="仿宋_GB2312"/>
          <w:b/>
          <w:bCs/>
          <w:sz w:val="32"/>
          <w:szCs w:val="32"/>
          <w:highlight w:val="none"/>
        </w:rPr>
        <w:t>经营支出：</w:t>
      </w:r>
      <w:r>
        <w:rPr>
          <w:rFonts w:hint="eastAsia" w:ascii="仿宋_GB2312" w:hAnsi="仿宋_GB2312" w:eastAsia="仿宋_GB2312" w:cs="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十二、</w:t>
      </w:r>
      <w:r>
        <w:rPr>
          <w:rFonts w:hint="eastAsia" w:ascii="仿宋_GB2312" w:hAnsi="仿宋_GB2312" w:eastAsia="仿宋_GB2312" w:cs="仿宋_GB2312"/>
          <w:b/>
          <w:bCs/>
          <w:sz w:val="32"/>
          <w:szCs w:val="32"/>
          <w:highlight w:val="none"/>
        </w:rPr>
        <w:t>对附属单位补助支出：</w:t>
      </w:r>
      <w:r>
        <w:rPr>
          <w:rFonts w:hint="eastAsia" w:ascii="仿宋_GB2312" w:hAnsi="仿宋_GB2312" w:eastAsia="仿宋_GB2312" w:cs="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十三、</w:t>
      </w:r>
      <w:r>
        <w:rPr>
          <w:rFonts w:hint="eastAsia" w:ascii="仿宋_GB2312" w:hAnsi="仿宋_GB2312" w:eastAsia="仿宋_GB2312" w:cs="仿宋_GB2312"/>
          <w:b/>
          <w:bCs/>
          <w:sz w:val="32"/>
          <w:szCs w:val="32"/>
          <w:highlight w:val="none"/>
        </w:rPr>
        <w:t>“三公”经费：</w:t>
      </w:r>
      <w:r>
        <w:rPr>
          <w:rFonts w:hint="eastAsia" w:ascii="仿宋_GB2312" w:hAnsi="仿宋_GB2312" w:eastAsia="仿宋_GB2312" w:cs="仿宋_GB2312"/>
          <w:sz w:val="32"/>
          <w:szCs w:val="32"/>
          <w:highlight w:val="none"/>
        </w:rPr>
        <w:t>指用财政拨款安排的因公出国（境）费、公务用车购置及运行费和公务接待费。其中，因公出国（境）费反映单位公务出国（境）的</w:t>
      </w:r>
      <w:r>
        <w:rPr>
          <w:rFonts w:hint="eastAsia" w:ascii="仿宋_GB2312" w:hAnsi="仿宋_GB2312" w:eastAsia="仿宋_GB2312" w:cs="仿宋_GB2312"/>
          <w:sz w:val="32"/>
          <w:szCs w:val="32"/>
          <w:highlight w:val="none"/>
          <w:lang w:eastAsia="zh-CN"/>
        </w:rPr>
        <w:t>国际旅费、国外城市间交通费、</w:t>
      </w:r>
      <w:r>
        <w:rPr>
          <w:rFonts w:hint="eastAsia" w:ascii="仿宋_GB2312" w:hAnsi="仿宋_GB2312" w:eastAsia="仿宋_GB2312" w:cs="仿宋_GB2312"/>
          <w:sz w:val="32"/>
          <w:szCs w:val="32"/>
          <w:highlight w:val="none"/>
        </w:rPr>
        <w:t>住宿费、伙食费、培训费、</w:t>
      </w:r>
      <w:r>
        <w:rPr>
          <w:rFonts w:hint="eastAsia" w:ascii="仿宋_GB2312" w:hAnsi="仿宋_GB2312" w:eastAsia="仿宋_GB2312" w:cs="仿宋_GB2312"/>
          <w:sz w:val="32"/>
          <w:szCs w:val="32"/>
          <w:highlight w:val="none"/>
          <w:lang w:eastAsia="zh-CN"/>
        </w:rPr>
        <w:t>公</w:t>
      </w:r>
      <w:r>
        <w:rPr>
          <w:rFonts w:hint="eastAsia" w:ascii="仿宋_GB2312" w:hAnsi="仿宋_GB2312" w:eastAsia="仿宋_GB2312" w:cs="仿宋_GB2312"/>
          <w:sz w:val="32"/>
          <w:szCs w:val="32"/>
          <w:highlight w:val="none"/>
        </w:rPr>
        <w:t>杂费等支出；公务用车购置费</w:t>
      </w:r>
      <w:r>
        <w:rPr>
          <w:rFonts w:hint="eastAsia" w:ascii="仿宋_GB2312" w:hAnsi="仿宋_GB2312" w:eastAsia="仿宋_GB2312" w:cs="仿宋_GB2312"/>
          <w:sz w:val="32"/>
          <w:szCs w:val="32"/>
          <w:highlight w:val="none"/>
          <w:lang w:eastAsia="zh-CN"/>
        </w:rPr>
        <w:t>反映公务用车购置支出（含车辆购置税、牌照费）；</w:t>
      </w:r>
      <w:r>
        <w:rPr>
          <w:rFonts w:hint="eastAsia" w:ascii="仿宋_GB2312" w:hAnsi="仿宋_GB2312" w:eastAsia="仿宋_GB2312" w:cs="仿宋_GB2312"/>
          <w:sz w:val="32"/>
          <w:szCs w:val="32"/>
          <w:highlight w:val="none"/>
        </w:rPr>
        <w:t>公务用车运行</w:t>
      </w:r>
      <w:r>
        <w:rPr>
          <w:rFonts w:hint="eastAsia" w:ascii="仿宋_GB2312" w:hAnsi="仿宋_GB2312" w:eastAsia="仿宋_GB2312" w:cs="仿宋_GB2312"/>
          <w:sz w:val="32"/>
          <w:szCs w:val="32"/>
          <w:highlight w:val="none"/>
          <w:lang w:eastAsia="zh-CN"/>
        </w:rPr>
        <w:t>维护</w:t>
      </w:r>
      <w:r>
        <w:rPr>
          <w:rFonts w:hint="eastAsia" w:ascii="仿宋_GB2312" w:hAnsi="仿宋_GB2312" w:eastAsia="仿宋_GB2312" w:cs="仿宋_GB2312"/>
          <w:sz w:val="32"/>
          <w:szCs w:val="32"/>
          <w:highlight w:val="none"/>
        </w:rPr>
        <w:t>费反映</w:t>
      </w:r>
      <w:r>
        <w:rPr>
          <w:rFonts w:hint="eastAsia" w:ascii="仿宋_GB2312" w:hAnsi="仿宋_GB2312" w:eastAsia="仿宋_GB2312" w:cs="仿宋_GB2312"/>
          <w:sz w:val="32"/>
          <w:szCs w:val="32"/>
          <w:highlight w:val="none"/>
          <w:lang w:eastAsia="zh-CN"/>
        </w:rPr>
        <w:t>单位按规定保留的公务用车燃料费、维修费、</w:t>
      </w:r>
      <w:r>
        <w:rPr>
          <w:rFonts w:hint="eastAsia" w:ascii="仿宋_GB2312" w:hAnsi="仿宋_GB2312" w:eastAsia="仿宋_GB2312" w:cs="仿宋_GB2312"/>
          <w:sz w:val="32"/>
          <w:szCs w:val="32"/>
          <w:highlight w:val="none"/>
        </w:rPr>
        <w:t>过路过桥费、保险费、安全奖励费用等支出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公务接待费反映单位按规定开支的各类公务接待（含外宾接待）</w:t>
      </w:r>
      <w:r>
        <w:rPr>
          <w:rFonts w:hint="eastAsia" w:ascii="仿宋_GB2312" w:hAnsi="仿宋_GB2312" w:eastAsia="仿宋_GB2312" w:cs="仿宋_GB2312"/>
          <w:sz w:val="32"/>
          <w:szCs w:val="32"/>
          <w:highlight w:val="none"/>
          <w:lang w:eastAsia="zh-CN"/>
        </w:rPr>
        <w:t>费用</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十四、</w:t>
      </w:r>
      <w:r>
        <w:rPr>
          <w:rFonts w:hint="eastAsia" w:ascii="仿宋_GB2312" w:hAnsi="仿宋_GB2312" w:eastAsia="仿宋_GB2312" w:cs="仿宋_GB2312"/>
          <w:b/>
          <w:bCs/>
          <w:sz w:val="32"/>
          <w:szCs w:val="32"/>
          <w:highlight w:val="none"/>
        </w:rPr>
        <w:t>机关运行经费：</w:t>
      </w:r>
      <w:r>
        <w:rPr>
          <w:rFonts w:hint="eastAsia" w:ascii="仿宋_GB2312" w:hAnsi="仿宋_GB2312" w:eastAsia="仿宋_GB2312" w:cs="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6" w:name="_Toc2183"/>
      <w:bookmarkStart w:id="37" w:name="_Toc6062"/>
      <w:r>
        <w:rPr>
          <w:rFonts w:hint="eastAsia" w:ascii="仿宋_GB2312" w:hAnsi="仿宋_GB2312" w:eastAsia="仿宋_GB2312" w:cs="仿宋_GB2312"/>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8" w:name="_Toc24532"/>
      <w:bookmarkStart w:id="39" w:name="_Toc30364"/>
      <w:r>
        <w:rPr>
          <w:rFonts w:hint="eastAsia" w:ascii="仿宋_GB2312" w:hAnsi="仿宋_GB2312" w:eastAsia="仿宋_GB2312" w:cs="仿宋_GB2312"/>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0" w:name="_Toc21304"/>
      <w:bookmarkStart w:id="41" w:name="_Toc32434"/>
      <w:r>
        <w:rPr>
          <w:rFonts w:hint="eastAsia" w:ascii="仿宋_GB2312" w:hAnsi="仿宋_GB2312" w:eastAsia="仿宋_GB2312" w:cs="仿宋_GB2312"/>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2" w:name="_Toc14238"/>
      <w:bookmarkStart w:id="43" w:name="_Toc28786"/>
      <w:r>
        <w:rPr>
          <w:rFonts w:hint="eastAsia" w:ascii="仿宋_GB2312" w:hAnsi="仿宋_GB2312" w:eastAsia="仿宋_GB2312" w:cs="仿宋_GB2312"/>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4" w:name="_Toc10347"/>
      <w:bookmarkStart w:id="45" w:name="_Toc14869"/>
      <w:r>
        <w:rPr>
          <w:rFonts w:hint="eastAsia" w:ascii="仿宋_GB2312" w:hAnsi="仿宋_GB2312" w:eastAsia="仿宋_GB2312" w:cs="仿宋_GB2312"/>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6" w:name="_Toc5626"/>
      <w:bookmarkStart w:id="47" w:name="_Toc8884"/>
      <w:r>
        <w:rPr>
          <w:rFonts w:hint="eastAsia" w:ascii="仿宋_GB2312" w:hAnsi="仿宋_GB2312" w:eastAsia="仿宋_GB2312" w:cs="仿宋_GB2312"/>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七、</w:t>
      </w:r>
      <w:bookmarkStart w:id="48" w:name="_Toc32663"/>
      <w:bookmarkStart w:id="49" w:name="_Toc29106"/>
      <w:r>
        <w:rPr>
          <w:rFonts w:hint="eastAsia" w:ascii="仿宋_GB2312" w:hAnsi="仿宋_GB2312" w:eastAsia="仿宋_GB2312" w:cs="仿宋_GB2312"/>
          <w:bCs/>
          <w:kern w:val="0"/>
          <w:sz w:val="32"/>
          <w:szCs w:val="32"/>
          <w:highlight w:val="none"/>
        </w:rPr>
        <w:t>《财政拨款“三公”经费支出决算表》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0" w:name="_Toc5453"/>
      <w:bookmarkStart w:id="51" w:name="_Toc7643"/>
      <w:r>
        <w:rPr>
          <w:rFonts w:hint="eastAsia" w:ascii="仿宋_GB2312" w:hAnsi="仿宋_GB2312" w:eastAsia="仿宋_GB2312" w:cs="仿宋_GB2312"/>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89" w:lineRule="auto"/>
      <w:ind w:left="4717"/>
      <w:rPr>
        <w:sz w:val="18"/>
        <w:szCs w:val="18"/>
      </w:rPr>
    </w:pPr>
    <w:r>
      <w:rPr>
        <w:spacing w:val="3"/>
        <w:sz w:val="18"/>
        <w:szCs w:val="18"/>
      </w:rPr>
      <w:t>18</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1D815"/>
    <w:multiLevelType w:val="singleLevel"/>
    <w:tmpl w:val="1171D815"/>
    <w:lvl w:ilvl="0" w:tentative="0">
      <w:start w:val="2"/>
      <w:numFmt w:val="chineseCounting"/>
      <w:suff w:val="nothing"/>
      <w:lvlText w:val="（%1）"/>
      <w:lvlJc w:val="left"/>
      <w:rPr>
        <w:rFonts w:hint="eastAsia"/>
      </w:rPr>
    </w:lvl>
  </w:abstractNum>
  <w:abstractNum w:abstractNumId="1">
    <w:nsid w:val="636DF94E"/>
    <w:multiLevelType w:val="singleLevel"/>
    <w:tmpl w:val="636DF94E"/>
    <w:lvl w:ilvl="0" w:tentative="0">
      <w:start w:val="1"/>
      <w:numFmt w:val="decimal"/>
      <w:lvlText w:val="%1."/>
      <w:lvlJc w:val="left"/>
      <w:pPr>
        <w:tabs>
          <w:tab w:val="left" w:pos="312"/>
        </w:tabs>
      </w:pPr>
      <w:rPr>
        <w:rFonts w:hint="default"/>
        <w:highlight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2NzI0ZjUzODYxOWE1YWJiNjUyOWU0YzFkMzY5Y2YifQ=="/>
  </w:docVars>
  <w:rsids>
    <w:rsidRoot w:val="00000000"/>
    <w:rsid w:val="001662DA"/>
    <w:rsid w:val="00213C59"/>
    <w:rsid w:val="003210CE"/>
    <w:rsid w:val="02F73D26"/>
    <w:rsid w:val="034D4FEF"/>
    <w:rsid w:val="039F47CE"/>
    <w:rsid w:val="03E05CE8"/>
    <w:rsid w:val="03F973EE"/>
    <w:rsid w:val="043E5B56"/>
    <w:rsid w:val="04A34BC2"/>
    <w:rsid w:val="053F5AE6"/>
    <w:rsid w:val="057C0B0F"/>
    <w:rsid w:val="05EF4B48"/>
    <w:rsid w:val="05F76ECA"/>
    <w:rsid w:val="06792773"/>
    <w:rsid w:val="08422688"/>
    <w:rsid w:val="0879188F"/>
    <w:rsid w:val="08935EAF"/>
    <w:rsid w:val="08A0354D"/>
    <w:rsid w:val="096466E3"/>
    <w:rsid w:val="0968304D"/>
    <w:rsid w:val="09AF3D17"/>
    <w:rsid w:val="0A7B4867"/>
    <w:rsid w:val="0B8C3ECC"/>
    <w:rsid w:val="0B9C639D"/>
    <w:rsid w:val="0BB052B2"/>
    <w:rsid w:val="0BD33FFC"/>
    <w:rsid w:val="0BE97AC1"/>
    <w:rsid w:val="0C1C4780"/>
    <w:rsid w:val="0C3613A3"/>
    <w:rsid w:val="0C7227A7"/>
    <w:rsid w:val="0CA52EE8"/>
    <w:rsid w:val="0CBD6988"/>
    <w:rsid w:val="0E640559"/>
    <w:rsid w:val="0EDE1004"/>
    <w:rsid w:val="0F89358A"/>
    <w:rsid w:val="0F8C6D51"/>
    <w:rsid w:val="0F94469D"/>
    <w:rsid w:val="1031187C"/>
    <w:rsid w:val="112E58D0"/>
    <w:rsid w:val="11731CAC"/>
    <w:rsid w:val="11C0733B"/>
    <w:rsid w:val="120E0809"/>
    <w:rsid w:val="12586661"/>
    <w:rsid w:val="12F7068C"/>
    <w:rsid w:val="14B932DA"/>
    <w:rsid w:val="163563C0"/>
    <w:rsid w:val="16D50C50"/>
    <w:rsid w:val="16E120E1"/>
    <w:rsid w:val="17385A05"/>
    <w:rsid w:val="176747F9"/>
    <w:rsid w:val="17954A6E"/>
    <w:rsid w:val="17BEAF6A"/>
    <w:rsid w:val="184510FD"/>
    <w:rsid w:val="190648B0"/>
    <w:rsid w:val="19071D6C"/>
    <w:rsid w:val="19D26CD4"/>
    <w:rsid w:val="1AD807E5"/>
    <w:rsid w:val="1B39345B"/>
    <w:rsid w:val="1C317E4F"/>
    <w:rsid w:val="1C472464"/>
    <w:rsid w:val="1DAF458D"/>
    <w:rsid w:val="1E086ACE"/>
    <w:rsid w:val="1E97358B"/>
    <w:rsid w:val="1EAA4A5F"/>
    <w:rsid w:val="1EDD6BE3"/>
    <w:rsid w:val="2064678E"/>
    <w:rsid w:val="20DC1AB9"/>
    <w:rsid w:val="20DD6197"/>
    <w:rsid w:val="21A53757"/>
    <w:rsid w:val="2380045B"/>
    <w:rsid w:val="23BC04D2"/>
    <w:rsid w:val="24A32D55"/>
    <w:rsid w:val="25BA2154"/>
    <w:rsid w:val="25C8773F"/>
    <w:rsid w:val="27286E73"/>
    <w:rsid w:val="27416F96"/>
    <w:rsid w:val="27CF2642"/>
    <w:rsid w:val="27E777F5"/>
    <w:rsid w:val="27EA1D4C"/>
    <w:rsid w:val="282459E2"/>
    <w:rsid w:val="28DF2665"/>
    <w:rsid w:val="29072599"/>
    <w:rsid w:val="291029F3"/>
    <w:rsid w:val="2A053397"/>
    <w:rsid w:val="2A145E96"/>
    <w:rsid w:val="2AF5378F"/>
    <w:rsid w:val="2C6F314E"/>
    <w:rsid w:val="2CC206BE"/>
    <w:rsid w:val="2D1136DF"/>
    <w:rsid w:val="2D20606D"/>
    <w:rsid w:val="2DB93C54"/>
    <w:rsid w:val="2E074689"/>
    <w:rsid w:val="2E475BBA"/>
    <w:rsid w:val="2E762856"/>
    <w:rsid w:val="2E891204"/>
    <w:rsid w:val="2F3F0A28"/>
    <w:rsid w:val="2FD0187F"/>
    <w:rsid w:val="2FD27414"/>
    <w:rsid w:val="2FFE4BB0"/>
    <w:rsid w:val="314029C9"/>
    <w:rsid w:val="31C63837"/>
    <w:rsid w:val="33F36744"/>
    <w:rsid w:val="343642F2"/>
    <w:rsid w:val="343F3010"/>
    <w:rsid w:val="34AE6BFF"/>
    <w:rsid w:val="34C13589"/>
    <w:rsid w:val="35E00D72"/>
    <w:rsid w:val="36C549FD"/>
    <w:rsid w:val="37A755DD"/>
    <w:rsid w:val="37F94FA0"/>
    <w:rsid w:val="38115B1F"/>
    <w:rsid w:val="387D6B9E"/>
    <w:rsid w:val="38D45016"/>
    <w:rsid w:val="38D90432"/>
    <w:rsid w:val="3914510A"/>
    <w:rsid w:val="3926770B"/>
    <w:rsid w:val="398D3668"/>
    <w:rsid w:val="3A893816"/>
    <w:rsid w:val="3A893B6D"/>
    <w:rsid w:val="3AD1763A"/>
    <w:rsid w:val="3B6716E3"/>
    <w:rsid w:val="3B6C6B2D"/>
    <w:rsid w:val="3C242659"/>
    <w:rsid w:val="3CA72BE8"/>
    <w:rsid w:val="3CF37F8C"/>
    <w:rsid w:val="3D137554"/>
    <w:rsid w:val="3D5275AC"/>
    <w:rsid w:val="3DCC2473"/>
    <w:rsid w:val="3DEB0883"/>
    <w:rsid w:val="3E703177"/>
    <w:rsid w:val="3E950E30"/>
    <w:rsid w:val="3EA7725F"/>
    <w:rsid w:val="3EBF1A11"/>
    <w:rsid w:val="3F183429"/>
    <w:rsid w:val="3FB77A1D"/>
    <w:rsid w:val="3FED7F8A"/>
    <w:rsid w:val="40834692"/>
    <w:rsid w:val="414B3C0F"/>
    <w:rsid w:val="41900018"/>
    <w:rsid w:val="41CE128F"/>
    <w:rsid w:val="41DA6F12"/>
    <w:rsid w:val="42171FB1"/>
    <w:rsid w:val="425E4F69"/>
    <w:rsid w:val="434E6957"/>
    <w:rsid w:val="43C15147"/>
    <w:rsid w:val="43E14DD2"/>
    <w:rsid w:val="43F800E9"/>
    <w:rsid w:val="443A7E4B"/>
    <w:rsid w:val="453C26AA"/>
    <w:rsid w:val="454E7FD2"/>
    <w:rsid w:val="461404F8"/>
    <w:rsid w:val="464B7E04"/>
    <w:rsid w:val="468041AA"/>
    <w:rsid w:val="46901EEE"/>
    <w:rsid w:val="469C74D2"/>
    <w:rsid w:val="47445515"/>
    <w:rsid w:val="47AD0F98"/>
    <w:rsid w:val="48387FB0"/>
    <w:rsid w:val="483A6114"/>
    <w:rsid w:val="48406673"/>
    <w:rsid w:val="488727DB"/>
    <w:rsid w:val="493D58B5"/>
    <w:rsid w:val="494A7A04"/>
    <w:rsid w:val="4A2019A5"/>
    <w:rsid w:val="4A241A0B"/>
    <w:rsid w:val="4A7B2875"/>
    <w:rsid w:val="4AAA220A"/>
    <w:rsid w:val="4B4C0111"/>
    <w:rsid w:val="4BE74C86"/>
    <w:rsid w:val="4C200F7A"/>
    <w:rsid w:val="4CEE3180"/>
    <w:rsid w:val="4D775311"/>
    <w:rsid w:val="4E0A1DD5"/>
    <w:rsid w:val="4E8C6496"/>
    <w:rsid w:val="4EFD18DE"/>
    <w:rsid w:val="4F144236"/>
    <w:rsid w:val="4F663C87"/>
    <w:rsid w:val="4F9E1FFC"/>
    <w:rsid w:val="50447CC2"/>
    <w:rsid w:val="50833259"/>
    <w:rsid w:val="50895EE7"/>
    <w:rsid w:val="50921B9D"/>
    <w:rsid w:val="50DB5F45"/>
    <w:rsid w:val="51141503"/>
    <w:rsid w:val="52F92565"/>
    <w:rsid w:val="542F73CA"/>
    <w:rsid w:val="5430786D"/>
    <w:rsid w:val="55101B48"/>
    <w:rsid w:val="553E0E2F"/>
    <w:rsid w:val="556A442D"/>
    <w:rsid w:val="55DA564E"/>
    <w:rsid w:val="5604127D"/>
    <w:rsid w:val="56166703"/>
    <w:rsid w:val="56510474"/>
    <w:rsid w:val="56861525"/>
    <w:rsid w:val="56BD550C"/>
    <w:rsid w:val="56E07045"/>
    <w:rsid w:val="56FF28AF"/>
    <w:rsid w:val="57540E7D"/>
    <w:rsid w:val="577B4878"/>
    <w:rsid w:val="57926973"/>
    <w:rsid w:val="58175352"/>
    <w:rsid w:val="581F2200"/>
    <w:rsid w:val="583059FA"/>
    <w:rsid w:val="584A0929"/>
    <w:rsid w:val="59254A26"/>
    <w:rsid w:val="59326325"/>
    <w:rsid w:val="595C505B"/>
    <w:rsid w:val="595E55C3"/>
    <w:rsid w:val="5A60780B"/>
    <w:rsid w:val="5AB34579"/>
    <w:rsid w:val="5AFC6609"/>
    <w:rsid w:val="5B060C94"/>
    <w:rsid w:val="5C0D1F49"/>
    <w:rsid w:val="5CBB0CE2"/>
    <w:rsid w:val="5CF306BC"/>
    <w:rsid w:val="5D226501"/>
    <w:rsid w:val="5D833043"/>
    <w:rsid w:val="5DDB1CFD"/>
    <w:rsid w:val="5ED44800"/>
    <w:rsid w:val="5F2F7A5C"/>
    <w:rsid w:val="5F350BDE"/>
    <w:rsid w:val="5FA17648"/>
    <w:rsid w:val="5FE705CB"/>
    <w:rsid w:val="603D5080"/>
    <w:rsid w:val="604E08B3"/>
    <w:rsid w:val="60D0261B"/>
    <w:rsid w:val="61947DCA"/>
    <w:rsid w:val="61A46A97"/>
    <w:rsid w:val="61D1382F"/>
    <w:rsid w:val="61F114A2"/>
    <w:rsid w:val="625D7D1A"/>
    <w:rsid w:val="62DD7D21"/>
    <w:rsid w:val="63A5560B"/>
    <w:rsid w:val="63E9091F"/>
    <w:rsid w:val="64D82665"/>
    <w:rsid w:val="651E5741"/>
    <w:rsid w:val="658A4877"/>
    <w:rsid w:val="65A00902"/>
    <w:rsid w:val="65D44D97"/>
    <w:rsid w:val="65D97752"/>
    <w:rsid w:val="66085536"/>
    <w:rsid w:val="66105BF7"/>
    <w:rsid w:val="6628010D"/>
    <w:rsid w:val="669B4528"/>
    <w:rsid w:val="66A94886"/>
    <w:rsid w:val="67063259"/>
    <w:rsid w:val="67134CEF"/>
    <w:rsid w:val="67521A59"/>
    <w:rsid w:val="67C304AB"/>
    <w:rsid w:val="68DB0208"/>
    <w:rsid w:val="691B3D98"/>
    <w:rsid w:val="69846A0E"/>
    <w:rsid w:val="69AD798C"/>
    <w:rsid w:val="69D005C0"/>
    <w:rsid w:val="6B460505"/>
    <w:rsid w:val="6B68175F"/>
    <w:rsid w:val="6BFD799F"/>
    <w:rsid w:val="6C4A2E5A"/>
    <w:rsid w:val="6CEF0725"/>
    <w:rsid w:val="6D4B2604"/>
    <w:rsid w:val="6D8030E4"/>
    <w:rsid w:val="6E0F7A08"/>
    <w:rsid w:val="6E3947F5"/>
    <w:rsid w:val="6F7C1D2E"/>
    <w:rsid w:val="6F8E0407"/>
    <w:rsid w:val="6FDD069F"/>
    <w:rsid w:val="7111480F"/>
    <w:rsid w:val="71473612"/>
    <w:rsid w:val="714D0F73"/>
    <w:rsid w:val="71504F32"/>
    <w:rsid w:val="718F7F65"/>
    <w:rsid w:val="72290C3F"/>
    <w:rsid w:val="722C331C"/>
    <w:rsid w:val="727B234E"/>
    <w:rsid w:val="72D068C7"/>
    <w:rsid w:val="72E42ED8"/>
    <w:rsid w:val="735F4CB9"/>
    <w:rsid w:val="73674C62"/>
    <w:rsid w:val="73845865"/>
    <w:rsid w:val="73C368F5"/>
    <w:rsid w:val="73FB6630"/>
    <w:rsid w:val="74363F40"/>
    <w:rsid w:val="748D790E"/>
    <w:rsid w:val="749820CC"/>
    <w:rsid w:val="74CE04EC"/>
    <w:rsid w:val="74E76DCD"/>
    <w:rsid w:val="7616619B"/>
    <w:rsid w:val="76660D7C"/>
    <w:rsid w:val="766C5968"/>
    <w:rsid w:val="76BE0C8F"/>
    <w:rsid w:val="77A262E1"/>
    <w:rsid w:val="77B13C33"/>
    <w:rsid w:val="77ED6F44"/>
    <w:rsid w:val="77F45548"/>
    <w:rsid w:val="784E7CA6"/>
    <w:rsid w:val="795A0A34"/>
    <w:rsid w:val="79F00650"/>
    <w:rsid w:val="7A6242BF"/>
    <w:rsid w:val="7AE952D2"/>
    <w:rsid w:val="7C976D69"/>
    <w:rsid w:val="7CD752DA"/>
    <w:rsid w:val="7CDE40AB"/>
    <w:rsid w:val="7D1548B5"/>
    <w:rsid w:val="7DEEF9EE"/>
    <w:rsid w:val="7E207949"/>
    <w:rsid w:val="7E670C75"/>
    <w:rsid w:val="7EE24272"/>
    <w:rsid w:val="7F487C04"/>
    <w:rsid w:val="7FB45F21"/>
    <w:rsid w:val="7FE57088"/>
    <w:rsid w:val="B7FF2174"/>
    <w:rsid w:val="BAFF4E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5721</Words>
  <Characters>6432</Characters>
  <Lines>0</Lines>
  <Paragraphs>0</Paragraphs>
  <TotalTime>1</TotalTime>
  <ScaleCrop>false</ScaleCrop>
  <LinksUpToDate>false</LinksUpToDate>
  <CharactersWithSpaces>6447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GXR</dc:creator>
  <cp:lastModifiedBy>user</cp:lastModifiedBy>
  <cp:lastPrinted>2024-08-15T17:17:00Z</cp:lastPrinted>
  <dcterms:modified xsi:type="dcterms:W3CDTF">2024-11-04T17:55:15Z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7F1BA76700A04C6DA077E64EC2EDFE18_13</vt:lpwstr>
  </property>
</Properties>
</file>