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eastAsia="zh-CN"/>
        </w:rPr>
      </w:pPr>
      <w:r>
        <w:rPr>
          <w:rFonts w:hint="eastAsia" w:ascii="方正小标宋_GBK" w:hAnsi="宋体" w:eastAsia="方正小标宋_GBK"/>
          <w:color w:val="auto"/>
          <w:sz w:val="44"/>
          <w:szCs w:val="44"/>
          <w:highlight w:val="none"/>
          <w:lang w:val="en-US" w:eastAsia="zh-CN"/>
        </w:rPr>
        <w:t>新疆轻工职业技术学院</w:t>
      </w:r>
      <w:r>
        <w:rPr>
          <w:rFonts w:hint="eastAsia" w:ascii="方正小标宋_GBK" w:hAnsi="宋体" w:eastAsia="方正小标宋_GBK"/>
          <w:color w:val="auto"/>
          <w:sz w:val="44"/>
          <w:szCs w:val="44"/>
          <w:highlight w:val="none"/>
          <w:lang w:eastAsia="zh-CN"/>
        </w:rPr>
        <w:t>2023年度</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决算公开说明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第一部分</w:t>
      </w:r>
      <w:r>
        <w:rPr>
          <w:rFonts w:hint="eastAsia" w:ascii="仿宋_GB2312" w:hAnsi="仿宋_GB2312" w:eastAsia="仿宋_GB2312" w:cs="仿宋_GB2312"/>
          <w:b/>
          <w:bCs/>
          <w:color w:val="auto"/>
          <w:sz w:val="32"/>
          <w:szCs w:val="32"/>
          <w:highlight w:val="none"/>
          <w:lang w:eastAsia="zh-CN"/>
        </w:rPr>
        <w:t>　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w:t>
      </w:r>
      <w:r>
        <w:rPr>
          <w:rFonts w:hint="eastAsia" w:ascii="仿宋_GB2312" w:hAnsi="仿宋_GB2312" w:eastAsia="仿宋_GB2312" w:cs="仿宋_GB2312"/>
          <w:b/>
          <w:bCs/>
          <w:color w:val="auto"/>
          <w:sz w:val="32"/>
          <w:szCs w:val="32"/>
          <w:highlight w:val="none"/>
          <w:lang w:eastAsia="zh-CN"/>
        </w:rPr>
        <w:t>　</w:t>
      </w:r>
      <w:r>
        <w:rPr>
          <w:rFonts w:hint="eastAsia" w:ascii="仿宋_GB2312" w:hAnsi="仿宋_GB2312" w:eastAsia="仿宋_GB2312" w:cs="仿宋_GB2312"/>
          <w:b/>
          <w:bCs/>
          <w:color w:val="auto"/>
          <w:sz w:val="32"/>
          <w:szCs w:val="32"/>
          <w:highlight w:val="none"/>
        </w:rPr>
        <w:t>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w:t>
      </w:r>
      <w:r>
        <w:rPr>
          <w:rFonts w:hint="eastAsia" w:ascii="仿宋_GB2312" w:hAnsi="仿宋_GB2312" w:eastAsia="仿宋_GB2312" w:cs="仿宋_GB2312"/>
          <w:b/>
          <w:bCs/>
          <w:color w:val="auto"/>
          <w:sz w:val="32"/>
          <w:szCs w:val="32"/>
          <w:highlight w:val="none"/>
          <w:lang w:eastAsia="zh-CN"/>
        </w:rPr>
        <w:t>　</w:t>
      </w:r>
      <w:r>
        <w:rPr>
          <w:rFonts w:hint="eastAsia" w:ascii="仿宋_GB2312" w:hAnsi="仿宋_GB2312" w:eastAsia="仿宋_GB2312" w:cs="仿宋_GB2312"/>
          <w:b/>
          <w:bCs/>
          <w:color w:val="auto"/>
          <w:sz w:val="32"/>
          <w:szCs w:val="32"/>
          <w:highlight w:val="none"/>
        </w:rPr>
        <w:t>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w:t>
      </w:r>
      <w:r>
        <w:rPr>
          <w:rFonts w:hint="eastAsia" w:ascii="仿宋_GB2312" w:hAnsi="仿宋_GB2312" w:eastAsia="仿宋_GB2312" w:cs="仿宋_GB2312"/>
          <w:b/>
          <w:bCs/>
          <w:color w:val="auto"/>
          <w:sz w:val="32"/>
          <w:szCs w:val="32"/>
          <w:highlight w:val="none"/>
          <w:lang w:eastAsia="zh-CN"/>
        </w:rPr>
        <w:t>　</w:t>
      </w:r>
      <w:r>
        <w:rPr>
          <w:rFonts w:hint="eastAsia" w:ascii="仿宋_GB2312" w:hAnsi="仿宋_GB2312" w:eastAsia="仿宋_GB2312" w:cs="仿宋_GB2312"/>
          <w:b/>
          <w:bCs/>
          <w:color w:val="auto"/>
          <w:sz w:val="32"/>
          <w:szCs w:val="32"/>
          <w:highlight w:val="none"/>
        </w:rPr>
        <w:t>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第一部分</w:t>
      </w:r>
      <w:r>
        <w:rPr>
          <w:rFonts w:hint="eastAsia" w:ascii="黑体" w:hAnsi="黑体" w:eastAsia="黑体"/>
          <w:color w:val="auto"/>
          <w:sz w:val="32"/>
          <w:szCs w:val="32"/>
          <w:highlight w:val="none"/>
          <w:lang w:eastAsia="zh-CN"/>
        </w:rPr>
        <w:t>　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根据《关于整合组建新疆轻工职业技术学院的批复》(新编委</w:t>
      </w:r>
      <w:r>
        <w:rPr>
          <w:rFonts w:hint="eastAsia" w:ascii="宋体" w:hAnsi="宋体" w:eastAsia="宋体" w:cs="宋体"/>
          <w:color w:val="auto"/>
          <w:sz w:val="32"/>
          <w:szCs w:val="32"/>
          <w:highlight w:val="none"/>
        </w:rPr>
        <w:t>〔</w:t>
      </w:r>
      <w:r>
        <w:rPr>
          <w:rFonts w:hint="eastAsia" w:ascii="仿宋_GB2312" w:eastAsia="仿宋_GB2312"/>
          <w:color w:val="auto"/>
          <w:sz w:val="32"/>
          <w:szCs w:val="32"/>
          <w:highlight w:val="none"/>
        </w:rPr>
        <w:t>2012</w:t>
      </w:r>
      <w:r>
        <w:rPr>
          <w:rFonts w:hint="eastAsia" w:ascii="宋体" w:hAnsi="宋体" w:eastAsia="宋体" w:cs="宋体"/>
          <w:color w:val="auto"/>
          <w:sz w:val="32"/>
          <w:szCs w:val="32"/>
          <w:highlight w:val="none"/>
        </w:rPr>
        <w:t>〕</w:t>
      </w:r>
      <w:r>
        <w:rPr>
          <w:rFonts w:hint="eastAsia" w:ascii="仿宋_GB2312" w:eastAsia="仿宋_GB2312"/>
          <w:color w:val="auto"/>
          <w:sz w:val="32"/>
          <w:szCs w:val="32"/>
          <w:highlight w:val="none"/>
        </w:rPr>
        <w:t>31号)文件和《关于同意自治区经信委所属院校实施资源共享的批复》(新政函</w:t>
      </w:r>
      <w:r>
        <w:rPr>
          <w:rFonts w:hint="eastAsia" w:ascii="宋体" w:hAnsi="宋体" w:eastAsia="宋体" w:cs="宋体"/>
          <w:color w:val="auto"/>
          <w:sz w:val="32"/>
          <w:szCs w:val="32"/>
          <w:highlight w:val="none"/>
        </w:rPr>
        <w:t>〔</w:t>
      </w:r>
      <w:r>
        <w:rPr>
          <w:rFonts w:hint="eastAsia" w:ascii="仿宋_GB2312" w:eastAsia="仿宋_GB2312"/>
          <w:color w:val="auto"/>
          <w:sz w:val="32"/>
          <w:szCs w:val="32"/>
          <w:highlight w:val="none"/>
        </w:rPr>
        <w:t>201</w:t>
      </w:r>
      <w:r>
        <w:rPr>
          <w:rFonts w:hint="eastAsia" w:ascii="仿宋_GB2312" w:eastAsia="仿宋_GB2312"/>
          <w:color w:val="auto"/>
          <w:sz w:val="32"/>
          <w:szCs w:val="32"/>
          <w:highlight w:val="none"/>
          <w:lang w:val="en-US" w:eastAsia="zh-CN"/>
        </w:rPr>
        <w:t>1</w:t>
      </w:r>
      <w:r>
        <w:rPr>
          <w:rFonts w:hint="eastAsia" w:ascii="宋体" w:hAnsi="宋体" w:eastAsia="宋体" w:cs="宋体"/>
          <w:color w:val="auto"/>
          <w:sz w:val="32"/>
          <w:szCs w:val="32"/>
          <w:highlight w:val="none"/>
        </w:rPr>
        <w:t>〕</w:t>
      </w:r>
      <w:r>
        <w:rPr>
          <w:rFonts w:hint="eastAsia" w:ascii="仿宋_GB2312" w:eastAsia="仿宋_GB2312"/>
          <w:color w:val="auto"/>
          <w:sz w:val="32"/>
          <w:szCs w:val="32"/>
          <w:highlight w:val="none"/>
        </w:rPr>
        <w:t>324号)文件及《新疆维吾尔自治区经济和信息化委员会(新疆维吾尔自治区国防科学技术工业办公室)所属事业单位分类改革方案》(新事改办</w:t>
      </w:r>
      <w:r>
        <w:rPr>
          <w:rFonts w:hint="eastAsia" w:ascii="宋体" w:hAnsi="宋体" w:eastAsia="宋体" w:cs="宋体"/>
          <w:color w:val="auto"/>
          <w:sz w:val="32"/>
          <w:szCs w:val="32"/>
          <w:highlight w:val="none"/>
        </w:rPr>
        <w:t>〔</w:t>
      </w:r>
      <w:r>
        <w:rPr>
          <w:rFonts w:hint="eastAsia" w:ascii="仿宋_GB2312" w:eastAsia="仿宋_GB2312"/>
          <w:color w:val="auto"/>
          <w:sz w:val="32"/>
          <w:szCs w:val="32"/>
          <w:highlight w:val="none"/>
        </w:rPr>
        <w:t>201</w:t>
      </w:r>
      <w:r>
        <w:rPr>
          <w:rFonts w:hint="eastAsia" w:ascii="仿宋_GB2312" w:eastAsia="仿宋_GB2312"/>
          <w:color w:val="auto"/>
          <w:sz w:val="32"/>
          <w:szCs w:val="32"/>
          <w:highlight w:val="none"/>
          <w:lang w:val="en-US" w:eastAsia="zh-CN"/>
        </w:rPr>
        <w:t>4</w:t>
      </w:r>
      <w:r>
        <w:rPr>
          <w:rFonts w:hint="eastAsia" w:ascii="宋体" w:hAnsi="宋体" w:eastAsia="宋体" w:cs="宋体"/>
          <w:color w:val="auto"/>
          <w:sz w:val="32"/>
          <w:szCs w:val="32"/>
          <w:highlight w:val="none"/>
        </w:rPr>
        <w:t>〕</w:t>
      </w:r>
      <w:r>
        <w:rPr>
          <w:rFonts w:hint="eastAsia" w:ascii="仿宋_GB2312" w:eastAsia="仿宋_GB2312"/>
          <w:color w:val="auto"/>
          <w:sz w:val="32"/>
          <w:szCs w:val="32"/>
          <w:highlight w:val="none"/>
        </w:rPr>
        <w:t>11号)的通知,新疆轻工职业技术学院为公益二类事业单位，经费实行差额预算管理。主要职能有：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一)全面贯彻落实党中央决策部署，做好党建工作；强化党员干部教育管理，加强队伍建设；健全“三全育人”体系，培育和践行社会主义核心价值观，做好内外宣传工作，落实意识形态工作责任制；加强校园文化建设，开展文明校园创建；加强党风廉政建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(二)贯彻落实国家、自治区教育教学相关政策，开展职业教育改革；按照人才培养方案组织教学活动；完善教学条件；强化师资队伍建设；开展质量工程建设。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三)贯彻落实国家、自治区相关政策；做好招生工作；强化学生管理队伍建设和学生日常管理与服务；加强学生党团建设，提升学生综合素质；开展创新创业、就业指导与服务等；做好学生奖助贷、兵役、保险等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(四)负责开展教科研活动、职业技能培训和社会服务；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做好帮扶其他职业院校工作；开展扶贫(支教)与内地高校新疆籍学生管理等工作。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(五)负责开展平安校园建设；加强“三防”建设，强化队伍建设；做好安全生产风险防控和综治维稳工作。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(六)负责改善办学条件，靓化校园环境；做好后勤保障工作。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七)负责依法治校，校务公开，信访工作，综合事务服务，公务活动运转保障；完善发展规划；强化资产管理、出租房屋管理、聘用人员管理；做好群众工作，维护职工权益；完善激励机制，做好绩效考核。强化内控管理，保障学院正常运转。</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(八)负责质量保证，加强质量监控条件建设；强化队伍建设，完善质量保证体系；建立多元化评价机制，做好质量保证工作。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九)负责对外交流合作，加强校企、校校交流合作，丰富合作形式及载体；做好二产职教园区暨公共实训基地运行工作；深化国际交流，联合做好国际化人才培养工作；“走出去”、“引进来”，提升教师国际化视野和能力；拓展合作形式，丰富合作内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(十)完成新疆维吾尔自治区工业和信息化厅交办的其他任务。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新疆轻工职业技术学院</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972</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589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383</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单位无下属预算单位，学院机构规格相当县（处）级下设14个党政管理机构，分别是：办公室、组织部、宣传部、纪律检查委员会、团委、工会、发展规划处、学生处、教务处、科研处、招生与就业指导办公室、财务处、资产管理处、保卫处；下设教学教辅机构16个，分别是：食品与生物技术分院、纺织技术分院、化工技术分院、机械技术分院、电气技术分院、建筑与材料技术分院、信息与软件分院、经济与管理分院、语言与国际合作分院、环境与资源分院、人文与艺术分院、继续教育学院、公共基础部、预科部、思想政治理论教研部、图书馆；下设附属机构4个，分别是：培训与鉴定中心、第二产业职教园区公共实训基地、离退休人员管理服务中心、后勤服务中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eastAsia="仿宋_GB2312"/>
          <w:b/>
          <w:bCs/>
          <w:color w:val="auto"/>
          <w:spacing w:val="0"/>
          <w:sz w:val="32"/>
          <w:szCs w:val="32"/>
          <w:highlight w:val="none"/>
          <w:lang w:eastAsia="zh-CN"/>
        </w:rPr>
        <w:t>34,469.75万元，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32,964.49万元，使用非财政拨款结余180.91万元，年初结转和结余1,324.34万元。</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eastAsia="zh-CN"/>
        </w:rPr>
        <w:t>34,469.75万元，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33,225.28万元，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204.24万元，年末结转和结余1,040.23万元。</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b/>
          <w:bCs/>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增加6,166.40万元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增长21.79%</w:t>
      </w:r>
      <w:r>
        <w:rPr>
          <w:rFonts w:hint="eastAsia" w:ascii="仿宋_GB2312" w:eastAsia="仿宋_GB2312"/>
          <w:color w:val="auto"/>
          <w:spacing w:val="0"/>
          <w:sz w:val="32"/>
          <w:szCs w:val="32"/>
          <w:highlight w:val="none"/>
          <w:lang w:eastAsia="zh-CN"/>
        </w:rPr>
        <w:t>，主要原因是：</w:t>
      </w:r>
      <w:r>
        <w:rPr>
          <w:rFonts w:hint="eastAsia" w:ascii="仿宋_GB2312" w:eastAsia="仿宋_GB2312"/>
          <w:b/>
          <w:bCs/>
          <w:color w:val="auto"/>
          <w:spacing w:val="0"/>
          <w:sz w:val="32"/>
          <w:szCs w:val="32"/>
          <w:highlight w:val="none"/>
          <w:lang w:eastAsia="zh-CN"/>
        </w:rPr>
        <w:t>一是</w:t>
      </w:r>
      <w:r>
        <w:rPr>
          <w:rFonts w:hint="eastAsia" w:ascii="仿宋_GB2312" w:eastAsia="仿宋_GB2312"/>
          <w:color w:val="auto"/>
          <w:spacing w:val="0"/>
          <w:sz w:val="32"/>
          <w:szCs w:val="32"/>
          <w:highlight w:val="none"/>
          <w:lang w:eastAsia="zh-CN"/>
        </w:rPr>
        <w:t>本年收入增加5,726.86万元，增长21.03%。</w:t>
      </w:r>
      <w:r>
        <w:rPr>
          <w:rFonts w:hint="eastAsia" w:ascii="仿宋_GB2312" w:eastAsia="仿宋_GB2312"/>
          <w:b/>
          <w:bCs/>
          <w:color w:val="auto"/>
          <w:spacing w:val="0"/>
          <w:sz w:val="32"/>
          <w:szCs w:val="32"/>
          <w:highlight w:val="none"/>
          <w:lang w:eastAsia="zh-CN"/>
        </w:rPr>
        <w:t>1.</w:t>
      </w:r>
      <w:r>
        <w:rPr>
          <w:rFonts w:hint="eastAsia" w:ascii="仿宋_GB2312" w:eastAsia="仿宋_GB2312"/>
          <w:color w:val="auto"/>
          <w:spacing w:val="0"/>
          <w:sz w:val="32"/>
          <w:szCs w:val="32"/>
          <w:highlight w:val="none"/>
          <w:lang w:eastAsia="zh-CN"/>
        </w:rPr>
        <w:t>财政拨款</w:t>
      </w:r>
      <w:r>
        <w:rPr>
          <w:rFonts w:hint="eastAsia" w:ascii="仿宋_GB2312" w:eastAsia="仿宋_GB2312"/>
          <w:color w:val="auto"/>
          <w:spacing w:val="0"/>
          <w:sz w:val="32"/>
          <w:szCs w:val="32"/>
          <w:highlight w:val="none"/>
          <w:lang w:val="en-US" w:eastAsia="zh-CN"/>
        </w:rPr>
        <w:t>收入</w:t>
      </w:r>
      <w:r>
        <w:rPr>
          <w:rFonts w:hint="eastAsia" w:ascii="仿宋_GB2312" w:eastAsia="仿宋_GB2312"/>
          <w:color w:val="auto"/>
          <w:spacing w:val="0"/>
          <w:sz w:val="32"/>
          <w:szCs w:val="32"/>
          <w:highlight w:val="none"/>
          <w:lang w:eastAsia="zh-CN"/>
        </w:rPr>
        <w:t>较上年增加2,047.2万元，增长8.87%。其中：①基本支出</w:t>
      </w:r>
      <w:r>
        <w:rPr>
          <w:rFonts w:hint="eastAsia" w:ascii="仿宋_GB2312" w:eastAsia="仿宋_GB2312"/>
          <w:color w:val="auto"/>
          <w:spacing w:val="0"/>
          <w:sz w:val="32"/>
          <w:szCs w:val="32"/>
          <w:highlight w:val="none"/>
          <w:lang w:val="en-US" w:eastAsia="zh-CN"/>
        </w:rPr>
        <w:t>收入较上年增加，</w:t>
      </w:r>
      <w:r>
        <w:rPr>
          <w:rFonts w:hint="eastAsia" w:ascii="仿宋_GB2312" w:eastAsia="仿宋_GB2312"/>
          <w:color w:val="auto"/>
          <w:spacing w:val="0"/>
          <w:sz w:val="32"/>
          <w:szCs w:val="32"/>
          <w:highlight w:val="none"/>
          <w:lang w:eastAsia="zh-CN"/>
        </w:rPr>
        <w:t>原因是人员经费增加。②项目支出中教育补助类财政拨款项目较上年增加。</w:t>
      </w:r>
      <w:r>
        <w:rPr>
          <w:rFonts w:hint="eastAsia" w:ascii="仿宋_GB2312" w:eastAsia="仿宋_GB2312"/>
          <w:b/>
          <w:bCs/>
          <w:color w:val="auto"/>
          <w:spacing w:val="0"/>
          <w:sz w:val="32"/>
          <w:szCs w:val="32"/>
          <w:highlight w:val="none"/>
          <w:lang w:eastAsia="zh-CN"/>
        </w:rPr>
        <w:t>2.</w:t>
      </w:r>
      <w:r>
        <w:rPr>
          <w:rFonts w:hint="eastAsia" w:ascii="仿宋_GB2312" w:eastAsia="仿宋_GB2312"/>
          <w:color w:val="auto"/>
          <w:spacing w:val="0"/>
          <w:sz w:val="32"/>
          <w:szCs w:val="32"/>
          <w:highlight w:val="none"/>
          <w:lang w:eastAsia="zh-CN"/>
        </w:rPr>
        <w:t>非财政拨款收入较上年增</w:t>
      </w:r>
      <w:r>
        <w:rPr>
          <w:rFonts w:hint="eastAsia" w:ascii="仿宋_GB2312" w:eastAsia="仿宋_GB2312"/>
          <w:color w:val="auto"/>
          <w:spacing w:val="0"/>
          <w:sz w:val="32"/>
          <w:szCs w:val="32"/>
          <w:highlight w:val="none"/>
          <w:lang w:val="en-US" w:eastAsia="zh-CN"/>
        </w:rPr>
        <w:t>加</w:t>
      </w:r>
      <w:r>
        <w:rPr>
          <w:rFonts w:hint="eastAsia" w:ascii="仿宋_GB2312" w:eastAsia="仿宋_GB2312"/>
          <w:color w:val="auto"/>
          <w:spacing w:val="0"/>
          <w:sz w:val="32"/>
          <w:szCs w:val="32"/>
          <w:highlight w:val="none"/>
          <w:lang w:eastAsia="zh-CN"/>
        </w:rPr>
        <w:t>3,679.66万元，增长88.6%。其中事业收入（教育收费）较上年增加2,581.7万元，包括学费住宿费、考试考务费等，主要是加大力度收缴以前年度欠缴学费；经营收入较上年增加357.28万元，包括培训收入、房屋出租出借收入增加；其他收入较上年增加740.68万元，主要是食堂营业额收入、其他课题经费等增加。</w:t>
      </w:r>
      <w:r>
        <w:rPr>
          <w:rFonts w:hint="eastAsia" w:ascii="仿宋_GB2312" w:eastAsia="仿宋_GB2312"/>
          <w:b/>
          <w:bCs/>
          <w:color w:val="auto"/>
          <w:spacing w:val="0"/>
          <w:sz w:val="32"/>
          <w:szCs w:val="32"/>
          <w:highlight w:val="none"/>
          <w:lang w:eastAsia="zh-CN"/>
        </w:rPr>
        <w:t>二是</w:t>
      </w:r>
      <w:r>
        <w:rPr>
          <w:rFonts w:hint="eastAsia" w:ascii="仿宋_GB2312" w:eastAsia="仿宋_GB2312"/>
          <w:color w:val="auto"/>
          <w:spacing w:val="0"/>
          <w:sz w:val="32"/>
          <w:szCs w:val="32"/>
          <w:highlight w:val="none"/>
          <w:lang w:eastAsia="zh-CN"/>
        </w:rPr>
        <w:t>使用非财政拨款结余较上年增加180.92万元，增长100%，原因是使用事业基金弥补支出。</w:t>
      </w:r>
      <w:r>
        <w:rPr>
          <w:rFonts w:hint="eastAsia" w:ascii="仿宋_GB2312" w:eastAsia="仿宋_GB2312"/>
          <w:b/>
          <w:bCs/>
          <w:color w:val="auto"/>
          <w:spacing w:val="0"/>
          <w:sz w:val="32"/>
          <w:szCs w:val="32"/>
          <w:highlight w:val="none"/>
          <w:lang w:eastAsia="zh-CN"/>
        </w:rPr>
        <w:t>三是</w:t>
      </w:r>
      <w:r>
        <w:rPr>
          <w:rFonts w:hint="eastAsia" w:ascii="仿宋_GB2312" w:eastAsia="仿宋_GB2312"/>
          <w:color w:val="auto"/>
          <w:spacing w:val="0"/>
          <w:sz w:val="32"/>
          <w:szCs w:val="32"/>
          <w:highlight w:val="none"/>
          <w:lang w:eastAsia="zh-CN"/>
        </w:rPr>
        <w:t>年初结转和结余较上年增加258.62万元，消化了以往年度资金。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rPr>
        <w:t>本年收入</w:t>
      </w:r>
      <w:r>
        <w:rPr>
          <w:rFonts w:hint="eastAsia" w:ascii="仿宋_GB2312" w:eastAsia="仿宋_GB2312"/>
          <w:b/>
          <w:bCs/>
          <w:color w:val="auto"/>
          <w:sz w:val="32"/>
          <w:szCs w:val="32"/>
          <w:highlight w:val="none"/>
          <w:lang w:eastAsia="zh-CN"/>
        </w:rPr>
        <w:t>32,964.49</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其中：财政拨款收入</w:t>
      </w:r>
      <w:r>
        <w:rPr>
          <w:rFonts w:hint="eastAsia" w:ascii="仿宋_GB2312" w:eastAsia="仿宋_GB2312"/>
          <w:color w:val="auto"/>
          <w:sz w:val="32"/>
          <w:szCs w:val="32"/>
          <w:highlight w:val="none"/>
          <w:lang w:val="zh-CN"/>
        </w:rPr>
        <w:t>25,131.57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76.24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6,520.26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19.78</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365.69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1.11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946.97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2.87</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both"/>
        <w:textAlignment w:val="auto"/>
        <w:rPr>
          <w:rFonts w:hint="eastAsia" w:ascii="仿宋_GB2312" w:eastAsia="仿宋_GB2312"/>
          <w:color w:val="auto"/>
          <w:spacing w:val="0"/>
          <w:sz w:val="32"/>
          <w:szCs w:val="32"/>
          <w:highlight w:val="none"/>
          <w:lang w:val="zh-CN" w:eastAsia="zh-CN"/>
        </w:rPr>
      </w:pPr>
      <w:r>
        <w:rPr>
          <w:rFonts w:hint="eastAsia" w:ascii="仿宋_GB2312" w:eastAsia="仿宋_GB2312"/>
          <w:b/>
          <w:bCs/>
          <w:color w:val="auto"/>
          <w:spacing w:val="0"/>
          <w:sz w:val="32"/>
          <w:szCs w:val="32"/>
          <w:highlight w:val="none"/>
          <w:lang w:val="zh-CN" w:eastAsia="zh-CN"/>
        </w:rPr>
        <w:t>本年支出33,225.28万元，</w:t>
      </w:r>
      <w:r>
        <w:rPr>
          <w:rFonts w:hint="eastAsia" w:ascii="仿宋_GB2312" w:eastAsia="仿宋_GB2312"/>
          <w:color w:val="auto"/>
          <w:spacing w:val="0"/>
          <w:sz w:val="32"/>
          <w:szCs w:val="32"/>
          <w:highlight w:val="none"/>
          <w:lang w:val="zh-CN" w:eastAsia="zh-CN"/>
        </w:rPr>
        <w:t>其中：基本支出19,950.16万元，占60.05%；项目支出13,113.67万元，占39.47%；上缴上级支出0.00万元，占0.00%；经营支出161.45万元，占0.49%；对附属单位补助支出0.00万元，占0.00%。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2023年度财政拨款收入</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25,720.06</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588.49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25,131.57</w:t>
      </w:r>
      <w:r>
        <w:rPr>
          <w:rFonts w:hint="eastAsia" w:ascii="仿宋_GB2312" w:eastAsia="仿宋_GB2312"/>
          <w:color w:val="auto"/>
          <w:spacing w:val="0"/>
          <w:sz w:val="32"/>
          <w:szCs w:val="32"/>
          <w:highlight w:val="none"/>
          <w:lang w:eastAsia="zh-CN"/>
        </w:rPr>
        <w:t>万元。</w:t>
      </w:r>
      <w:r>
        <w:rPr>
          <w:rFonts w:hint="eastAsia" w:ascii="仿宋_GB2312" w:eastAsia="仿宋_GB2312"/>
          <w:b/>
          <w:bCs/>
          <w:color w:val="auto"/>
          <w:spacing w:val="0"/>
          <w:sz w:val="32"/>
          <w:szCs w:val="32"/>
          <w:highlight w:val="none"/>
          <w:lang w:eastAsia="zh-CN"/>
        </w:rPr>
        <w:t>财政拨款支出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25,720.06</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25,720.06</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财政拨款收入支出总体与上年相比</w:t>
      </w:r>
      <w:r>
        <w:rPr>
          <w:rFonts w:hint="eastAsia" w:ascii="仿宋_GB2312" w:eastAsia="仿宋_GB2312"/>
          <w:b/>
          <w:bCs/>
          <w:color w:val="auto"/>
          <w:spacing w:val="0"/>
          <w:sz w:val="32"/>
          <w:szCs w:val="32"/>
          <w:highlight w:val="none"/>
          <w:lang w:val="en-US" w:eastAsia="zh-CN"/>
        </w:rPr>
        <w:t>,</w:t>
      </w:r>
      <w:r>
        <w:rPr>
          <w:rFonts w:hint="eastAsia" w:ascii="仿宋_GB2312" w:eastAsia="仿宋_GB2312"/>
          <w:color w:val="auto"/>
          <w:spacing w:val="0"/>
          <w:sz w:val="32"/>
          <w:szCs w:val="32"/>
          <w:highlight w:val="none"/>
          <w:lang w:val="en-US" w:eastAsia="zh-CN"/>
        </w:rPr>
        <w:t>增</w:t>
      </w:r>
      <w:r>
        <w:rPr>
          <w:rFonts w:hint="eastAsia" w:ascii="仿宋_GB2312" w:eastAsia="仿宋_GB2312"/>
          <w:color w:val="auto"/>
          <w:spacing w:val="0"/>
          <w:sz w:val="32"/>
          <w:szCs w:val="32"/>
          <w:highlight w:val="none"/>
          <w:lang w:val="zh-CN" w:eastAsia="zh-CN"/>
        </w:rPr>
        <w:t>加</w:t>
      </w:r>
      <w:r>
        <w:rPr>
          <w:rFonts w:hint="eastAsia" w:ascii="仿宋_GB2312" w:eastAsia="仿宋_GB2312"/>
          <w:color w:val="auto"/>
          <w:spacing w:val="0"/>
          <w:sz w:val="32"/>
          <w:szCs w:val="32"/>
          <w:highlight w:val="none"/>
          <w:lang w:val="en-US" w:eastAsia="zh-CN"/>
        </w:rPr>
        <w:t>1,855.63</w:t>
      </w:r>
      <w:r>
        <w:rPr>
          <w:rFonts w:hint="eastAsia" w:ascii="仿宋_GB2312" w:eastAsia="仿宋_GB2312"/>
          <w:color w:val="auto"/>
          <w:spacing w:val="0"/>
          <w:sz w:val="32"/>
          <w:szCs w:val="32"/>
          <w:highlight w:val="none"/>
          <w:u w:val="none"/>
          <w:lang w:val="zh-CN" w:eastAsia="zh-CN"/>
        </w:rPr>
        <w:t>万元，增长</w:t>
      </w:r>
      <w:r>
        <w:rPr>
          <w:rFonts w:hint="eastAsia" w:ascii="仿宋_GB2312" w:eastAsia="仿宋_GB2312"/>
          <w:color w:val="auto"/>
          <w:spacing w:val="0"/>
          <w:sz w:val="32"/>
          <w:szCs w:val="32"/>
          <w:highlight w:val="none"/>
          <w:u w:val="none"/>
          <w:lang w:val="en-US" w:eastAsia="zh-CN"/>
        </w:rPr>
        <w:t>7.78</w:t>
      </w:r>
      <w:r>
        <w:rPr>
          <w:rFonts w:hint="eastAsia" w:ascii="仿宋_GB2312" w:eastAsia="仿宋_GB2312"/>
          <w:color w:val="auto"/>
          <w:spacing w:val="0"/>
          <w:sz w:val="32"/>
          <w:szCs w:val="32"/>
          <w:highlight w:val="none"/>
          <w:u w:val="none"/>
          <w:lang w:val="zh-CN" w:eastAsia="zh-CN"/>
        </w:rPr>
        <w:t>%，主要原因是：</w:t>
      </w:r>
      <w:r>
        <w:rPr>
          <w:rFonts w:hint="eastAsia" w:ascii="仿宋_GB2312" w:eastAsia="仿宋_GB2312"/>
          <w:b/>
          <w:bCs/>
          <w:color w:val="auto"/>
          <w:spacing w:val="0"/>
          <w:sz w:val="32"/>
          <w:szCs w:val="32"/>
          <w:highlight w:val="none"/>
          <w:u w:val="none"/>
          <w:lang w:val="zh-CN" w:eastAsia="zh-CN"/>
        </w:rPr>
        <w:t>1.</w:t>
      </w:r>
      <w:r>
        <w:rPr>
          <w:rFonts w:hint="eastAsia" w:ascii="仿宋_GB2312" w:eastAsia="仿宋_GB2312"/>
          <w:color w:val="auto"/>
          <w:spacing w:val="0"/>
          <w:sz w:val="32"/>
          <w:szCs w:val="32"/>
          <w:highlight w:val="none"/>
          <w:u w:val="none"/>
          <w:lang w:val="zh-CN" w:eastAsia="zh-CN"/>
        </w:rPr>
        <w:t>基本支出收入较上</w:t>
      </w:r>
      <w:r>
        <w:rPr>
          <w:rFonts w:hint="eastAsia" w:ascii="仿宋_GB2312" w:eastAsia="仿宋_GB2312"/>
          <w:color w:val="auto"/>
          <w:spacing w:val="0"/>
          <w:sz w:val="32"/>
          <w:szCs w:val="32"/>
          <w:highlight w:val="none"/>
          <w:lang w:val="zh-CN" w:eastAsia="zh-CN"/>
        </w:rPr>
        <w:t>年增加，原因是人员经费增加，公用经费减少。</w:t>
      </w:r>
      <w:r>
        <w:rPr>
          <w:rFonts w:hint="eastAsia" w:ascii="仿宋_GB2312" w:eastAsia="仿宋_GB2312"/>
          <w:b/>
          <w:bCs/>
          <w:color w:val="auto"/>
          <w:spacing w:val="0"/>
          <w:sz w:val="32"/>
          <w:szCs w:val="32"/>
          <w:highlight w:val="none"/>
          <w:lang w:val="zh-CN" w:eastAsia="zh-CN"/>
        </w:rPr>
        <w:t>2.</w:t>
      </w:r>
      <w:r>
        <w:rPr>
          <w:rFonts w:hint="eastAsia" w:ascii="仿宋_GB2312" w:eastAsia="仿宋_GB2312"/>
          <w:color w:val="auto"/>
          <w:spacing w:val="0"/>
          <w:sz w:val="32"/>
          <w:szCs w:val="32"/>
          <w:highlight w:val="none"/>
          <w:lang w:val="zh-CN" w:eastAsia="zh-CN"/>
        </w:rPr>
        <w:t>项目支出</w:t>
      </w:r>
      <w:r>
        <w:rPr>
          <w:rFonts w:hint="eastAsia" w:ascii="仿宋_GB2312" w:eastAsia="仿宋_GB2312"/>
          <w:color w:val="auto"/>
          <w:spacing w:val="0"/>
          <w:sz w:val="32"/>
          <w:szCs w:val="32"/>
          <w:highlight w:val="none"/>
          <w:lang w:val="en-US" w:eastAsia="zh-CN"/>
        </w:rPr>
        <w:t>中财政拨款项目支出增加（其中财政拨款结转588.49万元）,原因是财政增加教育补助类项目拨款，且项目资金当年都执行完毕。</w:t>
      </w:r>
      <w:r>
        <w:rPr>
          <w:rFonts w:hint="eastAsia" w:ascii="仿宋_GB2312" w:eastAsia="仿宋_GB2312"/>
          <w:b/>
          <w:bCs/>
          <w:color w:val="auto"/>
          <w:spacing w:val="0"/>
          <w:sz w:val="32"/>
          <w:szCs w:val="32"/>
          <w:highlight w:val="none"/>
          <w:lang w:val="en-US" w:eastAsia="zh-CN"/>
        </w:rPr>
        <w:t>与年初预算相比，</w:t>
      </w:r>
      <w:r>
        <w:rPr>
          <w:rFonts w:hint="eastAsia" w:ascii="仿宋_GB2312" w:eastAsia="仿宋_GB2312"/>
          <w:color w:val="auto"/>
          <w:spacing w:val="0"/>
          <w:sz w:val="32"/>
          <w:szCs w:val="32"/>
          <w:highlight w:val="none"/>
          <w:lang w:val="en-US" w:eastAsia="zh-CN"/>
        </w:rPr>
        <w:t>年初预算数19,309.00万元，决算数25,720.06万元，预决算差异率33.20%，主要原因是：</w:t>
      </w:r>
      <w:r>
        <w:rPr>
          <w:rFonts w:hint="eastAsia" w:ascii="仿宋_GB2312" w:eastAsia="仿宋_GB2312"/>
          <w:b/>
          <w:bCs/>
          <w:color w:val="auto"/>
          <w:spacing w:val="0"/>
          <w:sz w:val="32"/>
          <w:szCs w:val="32"/>
          <w:highlight w:val="none"/>
          <w:lang w:val="en-US" w:eastAsia="zh-CN"/>
        </w:rPr>
        <w:t>1.</w:t>
      </w:r>
      <w:r>
        <w:rPr>
          <w:rFonts w:hint="eastAsia" w:ascii="仿宋_GB2312" w:eastAsia="仿宋_GB2312"/>
          <w:color w:val="auto"/>
          <w:spacing w:val="0"/>
          <w:sz w:val="32"/>
          <w:szCs w:val="32"/>
          <w:highlight w:val="none"/>
          <w:lang w:val="en-US" w:eastAsia="zh-CN"/>
        </w:rPr>
        <w:t>年初财政拨款结转结余588.49万元；</w:t>
      </w:r>
      <w:r>
        <w:rPr>
          <w:rFonts w:hint="eastAsia" w:ascii="仿宋_GB2312" w:eastAsia="仿宋_GB2312"/>
          <w:b/>
          <w:bCs/>
          <w:color w:val="auto"/>
          <w:spacing w:val="0"/>
          <w:sz w:val="32"/>
          <w:szCs w:val="32"/>
          <w:highlight w:val="none"/>
          <w:lang w:val="en-US" w:eastAsia="zh-CN"/>
        </w:rPr>
        <w:t>2.</w:t>
      </w:r>
      <w:r>
        <w:rPr>
          <w:rFonts w:hint="eastAsia" w:ascii="仿宋_GB2312" w:eastAsia="仿宋_GB2312"/>
          <w:color w:val="auto"/>
          <w:spacing w:val="0"/>
          <w:sz w:val="32"/>
          <w:szCs w:val="32"/>
          <w:highlight w:val="none"/>
          <w:lang w:val="en-US" w:eastAsia="zh-CN"/>
        </w:rPr>
        <w:t>年中追加调整5,822.57万元。包括：退自治区人员类项目定义-统发工资434万元，丧葬费抚恤金项目123.15万元，2023年免除生源地为南疆四地州中职住宿费教材费补助7.02万元，2023年中职国家免学费补助资金3.6万元，2023年中职免学费11.91万元，2023年新疆西藏等地区教育特殊补助资金中职免教材3.51万元，2023年新疆西藏等地区教育特殊补助技工免教材4.73万元，新疆人才发展基金天山英才教学名师40万元，2023年高校学生伙食补助资金329.38万元，2023年自治区高校班主任辅导员补贴经费105.62万元，2023年自治区人民政府高校励志奖学金助学金531.4万元，2023年高校国家助学金325万元，赛点补助经费项目20万元，计算机网络技术项目60万元，中泰学院产教融合实训基地40万元，智力援疆创新拓展人才计划7万元，2023年现代职业教育质量提升计划专项资金1,550万元，2023年现代职业教育质量提升1+X证书60万元，2023年本专科国家助学金、奖学金、励志奖学金1,710.63万元，2023年服义务兵役退役士兵学费补助经费、国家助学贷款27万元，2023年现代职业教育质量提升第二批高职奖补资金500万元，2023年自治区葡萄酒产业发展专项资金95万元，未统发津贴补贴项目86.86万元，新财建</w:t>
      </w:r>
      <w:r>
        <w:rPr>
          <w:rFonts w:hint="eastAsia" w:ascii="宋体" w:hAnsi="宋体" w:eastAsia="宋体" w:cs="宋体"/>
          <w:color w:val="auto"/>
          <w:sz w:val="32"/>
          <w:szCs w:val="32"/>
          <w:highlight w:val="none"/>
        </w:rPr>
        <w:t>〔</w:t>
      </w:r>
      <w:r>
        <w:rPr>
          <w:rFonts w:hint="eastAsia"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宋体" w:hAnsi="宋体" w:eastAsia="宋体" w:cs="宋体"/>
          <w:color w:val="auto"/>
          <w:sz w:val="32"/>
          <w:szCs w:val="32"/>
          <w:highlight w:val="none"/>
        </w:rPr>
        <w:t>〕</w:t>
      </w:r>
      <w:r>
        <w:rPr>
          <w:rFonts w:hint="eastAsia" w:ascii="仿宋_GB2312" w:eastAsia="仿宋_GB2312"/>
          <w:color w:val="auto"/>
          <w:spacing w:val="0"/>
          <w:sz w:val="32"/>
          <w:szCs w:val="32"/>
          <w:highlight w:val="none"/>
          <w:lang w:val="en-US" w:eastAsia="zh-CN"/>
        </w:rPr>
        <w:t>20号项目611.44万元，访惠聚工作人员南疆工作补贴3.31万元。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2023年度一般公共预算财政拨款支出25,720.06万元，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zh-CN" w:eastAsia="zh-CN"/>
        </w:rPr>
        <w:t>77.41%</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增加2,539.43万元</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增长10.95%，</w:t>
      </w:r>
      <w:r>
        <w:rPr>
          <w:rFonts w:hint="eastAsia" w:ascii="仿宋_GB2312" w:eastAsia="仿宋_GB2312"/>
          <w:color w:val="auto"/>
          <w:spacing w:val="0"/>
          <w:sz w:val="32"/>
          <w:szCs w:val="32"/>
          <w:highlight w:val="none"/>
          <w:lang w:val="en-US" w:eastAsia="zh-CN"/>
        </w:rPr>
        <w:t>主要原因是：</w:t>
      </w:r>
      <w:r>
        <w:rPr>
          <w:rFonts w:hint="eastAsia" w:ascii="仿宋_GB2312" w:eastAsia="仿宋_GB2312"/>
          <w:b/>
          <w:bCs/>
          <w:color w:val="auto"/>
          <w:spacing w:val="0"/>
          <w:sz w:val="32"/>
          <w:szCs w:val="32"/>
          <w:highlight w:val="none"/>
          <w:lang w:val="en-US" w:eastAsia="zh-CN"/>
        </w:rPr>
        <w:t>1.</w:t>
      </w:r>
      <w:r>
        <w:rPr>
          <w:rFonts w:hint="eastAsia" w:ascii="仿宋_GB2312" w:eastAsia="仿宋_GB2312"/>
          <w:color w:val="auto"/>
          <w:spacing w:val="0"/>
          <w:sz w:val="32"/>
          <w:szCs w:val="32"/>
          <w:highlight w:val="none"/>
          <w:lang w:val="en-US" w:eastAsia="zh-CN"/>
        </w:rPr>
        <w:t>基本支出较上年增加，原因是人员经费增加。</w:t>
      </w:r>
      <w:r>
        <w:rPr>
          <w:rFonts w:hint="eastAsia" w:ascii="仿宋_GB2312" w:eastAsia="仿宋_GB2312"/>
          <w:b/>
          <w:bCs/>
          <w:color w:val="auto"/>
          <w:spacing w:val="0"/>
          <w:sz w:val="32"/>
          <w:szCs w:val="32"/>
          <w:highlight w:val="none"/>
          <w:lang w:val="en-US" w:eastAsia="zh-CN"/>
        </w:rPr>
        <w:t>2.</w:t>
      </w:r>
      <w:r>
        <w:rPr>
          <w:rFonts w:hint="eastAsia" w:ascii="仿宋_GB2312" w:eastAsia="仿宋_GB2312"/>
          <w:color w:val="auto"/>
          <w:spacing w:val="0"/>
          <w:sz w:val="32"/>
          <w:szCs w:val="32"/>
          <w:highlight w:val="none"/>
          <w:lang w:val="en-US" w:eastAsia="zh-CN"/>
        </w:rPr>
        <w:t>项目支出中财政拨款项目增加，且项目资金当年都执行完毕。</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年初预算数19,309.00万元，决算数25,720.06万元，预决算差异率33.20%，主要原因是：</w:t>
      </w:r>
      <w:r>
        <w:rPr>
          <w:rFonts w:hint="eastAsia" w:ascii="仿宋_GB2312" w:eastAsia="仿宋_GB2312"/>
          <w:b/>
          <w:bCs/>
          <w:color w:val="auto"/>
          <w:spacing w:val="0"/>
          <w:sz w:val="32"/>
          <w:szCs w:val="32"/>
          <w:highlight w:val="none"/>
          <w:lang w:eastAsia="zh-CN"/>
        </w:rPr>
        <w:t>1.</w:t>
      </w:r>
      <w:r>
        <w:rPr>
          <w:rFonts w:hint="eastAsia" w:ascii="仿宋_GB2312" w:eastAsia="仿宋_GB2312"/>
          <w:color w:val="auto"/>
          <w:spacing w:val="0"/>
          <w:sz w:val="32"/>
          <w:szCs w:val="32"/>
          <w:highlight w:val="none"/>
          <w:lang w:eastAsia="zh-CN"/>
        </w:rPr>
        <w:t>年初财政拨款结转结余588.49万元；</w:t>
      </w:r>
      <w:r>
        <w:rPr>
          <w:rFonts w:hint="eastAsia" w:ascii="仿宋_GB2312" w:eastAsia="仿宋_GB2312"/>
          <w:b/>
          <w:bCs/>
          <w:color w:val="auto"/>
          <w:spacing w:val="0"/>
          <w:sz w:val="32"/>
          <w:szCs w:val="32"/>
          <w:highlight w:val="none"/>
          <w:lang w:eastAsia="zh-CN"/>
        </w:rPr>
        <w:t>2.</w:t>
      </w:r>
      <w:r>
        <w:rPr>
          <w:rFonts w:hint="eastAsia" w:ascii="仿宋_GB2312" w:eastAsia="仿宋_GB2312"/>
          <w:color w:val="auto"/>
          <w:spacing w:val="0"/>
          <w:sz w:val="32"/>
          <w:szCs w:val="32"/>
          <w:highlight w:val="none"/>
          <w:lang w:eastAsia="zh-CN"/>
        </w:rPr>
        <w:t>年中追加调整5,822.57万元，</w:t>
      </w:r>
      <w:r>
        <w:rPr>
          <w:rFonts w:hint="eastAsia" w:ascii="仿宋_GB2312" w:eastAsia="仿宋_GB2312"/>
          <w:color w:val="auto"/>
          <w:spacing w:val="0"/>
          <w:sz w:val="32"/>
          <w:szCs w:val="32"/>
          <w:highlight w:val="none"/>
          <w:lang w:val="en-US" w:eastAsia="zh-CN"/>
        </w:rPr>
        <w:t>包括：退自治区人员类项目定义-统发工资434万元，丧葬费抚恤金项目123.15万元，2023年免除生源地为南疆四地州中职住宿费教材费补助7.02万元，2023年中职国家免学费补助资金3.6万元，2023年中职免学费11.91万元，2023年新疆西藏等地区教育特殊补助资金中职免教材3.51万元，2023年新疆西藏等地区教育特殊补助技工免教材4.73万元，新疆人才发展基金天山英才教学名师40万元，2023年高校学生伙食补助资金329.38万元，2023年自治区高校班主任辅导员补贴经费105.62万元，2023年自治区人民政府高校励志奖学金助学金531.4万元，2023年高校国家助学金325万元，赛点补助经费项目20万元，计算机网络技术项目60万元，中泰学院产教融合实训基地40万元，智力援疆创新拓展人才计划7万元，2023年现代职业教育质量提升计划专项资金1,550万元，2023年现代职业教育质量提升1+X证书60万元，2023年本专科国家助学金、奖学金、励志奖学金1,710.63万元，2023年服义务兵役退役士兵学费补助经费、国家助学贷款27万元，2023年现代职业教育质量提升第二批高职奖补资金500万元，2023年自治区葡萄酒产业发展专项资金95万元，未统发津贴补贴项目86.86万元，新财建</w:t>
      </w:r>
      <w:r>
        <w:rPr>
          <w:rFonts w:hint="eastAsia" w:ascii="宋体" w:hAnsi="宋体" w:eastAsia="宋体" w:cs="宋体"/>
          <w:color w:val="auto"/>
          <w:sz w:val="32"/>
          <w:szCs w:val="32"/>
          <w:highlight w:val="none"/>
        </w:rPr>
        <w:t>〔</w:t>
      </w:r>
      <w:r>
        <w:rPr>
          <w:rFonts w:hint="eastAsia"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宋体" w:hAnsi="宋体" w:eastAsia="宋体" w:cs="宋体"/>
          <w:color w:val="auto"/>
          <w:sz w:val="32"/>
          <w:szCs w:val="32"/>
          <w:highlight w:val="none"/>
        </w:rPr>
        <w:t>〕</w:t>
      </w:r>
      <w:r>
        <w:rPr>
          <w:rFonts w:hint="eastAsia" w:ascii="仿宋_GB2312" w:eastAsia="仿宋_GB2312"/>
          <w:color w:val="auto"/>
          <w:spacing w:val="0"/>
          <w:sz w:val="32"/>
          <w:szCs w:val="32"/>
          <w:highlight w:val="none"/>
          <w:lang w:val="en-US" w:eastAsia="zh-CN"/>
        </w:rPr>
        <w:t>20号项目611.44万元，访惠聚工作人员南疆工作补贴3.31万元。</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25,545.08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99.32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en-US"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科学技术支出（类）</w:t>
      </w:r>
      <w:r>
        <w:rPr>
          <w:rFonts w:hint="eastAsia" w:ascii="仿宋_GB2312" w:hAnsi="Times New Roman" w:eastAsia="仿宋_GB2312" w:cs="Times New Roman"/>
          <w:color w:val="auto"/>
          <w:spacing w:val="0"/>
          <w:kern w:val="2"/>
          <w:sz w:val="32"/>
          <w:szCs w:val="32"/>
          <w:highlight w:val="none"/>
          <w:lang w:val="zh-CN" w:eastAsia="zh-CN" w:bidi="ar-SA"/>
        </w:rPr>
        <w:t>2.00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0.01</w:t>
      </w:r>
      <w:r>
        <w:rPr>
          <w:rFonts w:hint="default" w:ascii="仿宋_GB2312" w:hAnsi="Times New Roman" w:eastAsia="仿宋_GB2312" w:cs="Times New Roman"/>
          <w:color w:val="auto"/>
          <w:spacing w:val="0"/>
          <w:kern w:val="2"/>
          <w:sz w:val="32"/>
          <w:szCs w:val="32"/>
          <w:highlight w:val="none"/>
          <w:lang w:val="en-US"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77.97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0.30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.资源勘探信息等支出（类）</w:t>
      </w:r>
      <w:r>
        <w:rPr>
          <w:rFonts w:hint="eastAsia" w:ascii="仿宋_GB2312" w:hAnsi="Times New Roman" w:eastAsia="仿宋_GB2312" w:cs="Times New Roman"/>
          <w:color w:val="auto"/>
          <w:spacing w:val="0"/>
          <w:kern w:val="2"/>
          <w:sz w:val="32"/>
          <w:szCs w:val="32"/>
          <w:highlight w:val="none"/>
          <w:lang w:val="zh-CN" w:eastAsia="zh-CN" w:bidi="ar-SA"/>
        </w:rPr>
        <w:t>95.00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0.37</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en-US"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1.科学技术支出（类）基础研究（款）其他基础研究支出（项）:支出决算数为2.00万元，比上年决算增加2.00万元，增长100%，主要原因是：消化了往年自治区高校科研计划专项资金。</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eastAsia="仿宋_GB2312"/>
          <w:color w:val="auto"/>
          <w:spacing w:val="0"/>
          <w:sz w:val="32"/>
          <w:szCs w:val="32"/>
          <w:highlight w:val="none"/>
          <w:lang w:val="zh-CN" w:eastAsia="zh-CN"/>
        </w:rPr>
      </w:pPr>
      <w:r>
        <w:rPr>
          <w:rFonts w:hint="eastAsia" w:ascii="仿宋_GB2312" w:hAnsi="Times New Roman" w:eastAsia="仿宋_GB2312" w:cs="Times New Roman"/>
          <w:color w:val="auto"/>
          <w:spacing w:val="0"/>
          <w:kern w:val="2"/>
          <w:sz w:val="32"/>
          <w:szCs w:val="32"/>
          <w:highlight w:val="none"/>
          <w:lang w:val="en-US" w:eastAsia="zh-CN" w:bidi="ar-SA"/>
        </w:rPr>
        <w:t>2.社会保障和就业支出（类）行政事业单位养老支出（款）事业单位离退休（项）:支出决算数为77.97万元</w:t>
      </w:r>
      <w:r>
        <w:rPr>
          <w:rFonts w:hint="eastAsia" w:ascii="仿宋_GB2312" w:eastAsia="仿宋_GB2312" w:cs="Times New Roman"/>
          <w:color w:val="auto"/>
          <w:spacing w:val="0"/>
          <w:kern w:val="2"/>
          <w:sz w:val="32"/>
          <w:szCs w:val="32"/>
          <w:highlight w:val="none"/>
          <w:lang w:val="en-US" w:eastAsia="zh-CN" w:bidi="ar-SA"/>
        </w:rPr>
        <w:t>,</w:t>
      </w:r>
      <w:r>
        <w:rPr>
          <w:rFonts w:hint="eastAsia" w:ascii="仿宋_GB2312" w:hAnsi="Times New Roman" w:eastAsia="仿宋_GB2312" w:cs="Times New Roman"/>
          <w:color w:val="auto"/>
          <w:spacing w:val="0"/>
          <w:kern w:val="2"/>
          <w:sz w:val="32"/>
          <w:szCs w:val="32"/>
          <w:highlight w:val="none"/>
          <w:lang w:val="en-US" w:eastAsia="zh-CN" w:bidi="ar-SA"/>
        </w:rPr>
        <w:t>比上年决算增加77.97万元，增长100%，主要原因是：</w:t>
      </w:r>
      <w:r>
        <w:rPr>
          <w:rFonts w:hint="eastAsia" w:ascii="仿宋_GB2312" w:hAnsi="Times New Roman" w:eastAsia="仿宋_GB2312" w:cs="Times New Roman"/>
          <w:color w:val="auto"/>
          <w:spacing w:val="0"/>
          <w:kern w:val="2"/>
          <w:sz w:val="32"/>
          <w:szCs w:val="32"/>
          <w:highlight w:val="none"/>
          <w:lang w:val="zh-CN" w:eastAsia="zh-CN" w:bidi="ar-SA"/>
        </w:rPr>
        <w:t>丧葬费抚恤金</w:t>
      </w:r>
      <w:r>
        <w:rPr>
          <w:rFonts w:hint="eastAsia" w:ascii="仿宋_GB2312" w:eastAsia="仿宋_GB2312"/>
          <w:color w:val="auto"/>
          <w:spacing w:val="0"/>
          <w:sz w:val="32"/>
          <w:szCs w:val="32"/>
          <w:highlight w:val="none"/>
          <w:lang w:val="zh-CN" w:eastAsia="zh-CN"/>
        </w:rPr>
        <w:t>支出较上年增加。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3.教育支出（类）职业教育（款）技校教育（项）:支出决算数为48.37万元，比上年决算增加22.03万元，增长83.64%，主要原因是：技工招生规模扩大，技工学生奖助学金增多。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4.教育支出（类）职业教育（款）高等职业教育（项）:支出决算数为25,496.71万元，比上年决算增加2,522.99万元，增长10.98%，主要原因是：基本支出中人员经费增加。项目支出中财政拨款教育补助类项目增加。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5.资源勘探工业信息等支出（类）工业和信息产业监管（款）产业发展（项）:支出决算数为95.00万元，比上年决算增加95.00万元，增长100%，主要原因是：新增2023年自治区葡萄酒产业发展专项资金支出。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6.教育支出（类）职业教育（款）中等职业教育（项）:支出决算数为0.00万元，比上年决算减少174.05万元，下降100%，主要原因是：我院已不开设中等职业教育，中等职业教育资金已被财政收回。</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en-US" w:eastAsia="zh-CN"/>
        </w:rPr>
        <w:t>7.教育支出（类）职业教育（款）其他职业教育支出（项）:支出决算数为0.00万元，比上年决算减少6.51万元，下降100%，主要原因是：上年已将2019年现代职业教育质量提升项目消化完毕，今年无此支出。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19,699.77</w:t>
      </w:r>
      <w:r>
        <w:rPr>
          <w:rFonts w:hint="eastAsia" w:ascii="仿宋_GB2312" w:eastAsia="仿宋_GB2312"/>
          <w:color w:val="auto"/>
          <w:sz w:val="32"/>
          <w:szCs w:val="32"/>
          <w:highlight w:val="none"/>
        </w:rPr>
        <w:t>万元，其中：</w:t>
      </w:r>
      <w:r>
        <w:rPr>
          <w:rFonts w:hint="eastAsia" w:ascii="仿宋_GB2312" w:eastAsia="仿宋_GB2312"/>
          <w:b/>
          <w:bCs/>
          <w:color w:val="auto"/>
          <w:sz w:val="32"/>
          <w:szCs w:val="32"/>
          <w:highlight w:val="none"/>
        </w:rPr>
        <w:t>人员经费</w:t>
      </w:r>
      <w:r>
        <w:rPr>
          <w:rFonts w:hint="eastAsia" w:ascii="仿宋_GB2312" w:eastAsia="仿宋_GB2312"/>
          <w:b/>
          <w:bCs/>
          <w:color w:val="auto"/>
          <w:sz w:val="32"/>
          <w:szCs w:val="32"/>
          <w:highlight w:val="none"/>
          <w:lang w:eastAsia="zh-CN"/>
        </w:rPr>
        <w:t>18,349.99</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退休费、抚恤金、生活补助、奖励金、其他对个人和家庭的补助。</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default" w:ascii="仿宋_GB2312" w:hAnsi="宋体" w:eastAsia="仿宋_GB2312" w:cs="宋体"/>
          <w:color w:val="auto"/>
          <w:kern w:val="0"/>
          <w:sz w:val="32"/>
          <w:szCs w:val="32"/>
          <w:highlight w:val="none"/>
          <w:lang w:val="en-US"/>
        </w:rPr>
      </w:pPr>
      <w:r>
        <w:rPr>
          <w:rFonts w:hint="eastAsia" w:ascii="仿宋_GB2312" w:eastAsia="仿宋_GB2312"/>
          <w:b/>
          <w:bCs/>
          <w:color w:val="auto"/>
          <w:sz w:val="32"/>
          <w:szCs w:val="32"/>
          <w:highlight w:val="none"/>
        </w:rPr>
        <w:t>公用经费</w:t>
      </w:r>
      <w:r>
        <w:rPr>
          <w:rFonts w:hint="eastAsia" w:ascii="仿宋_GB2312" w:eastAsia="仿宋_GB2312"/>
          <w:b/>
          <w:bCs/>
          <w:color w:val="auto"/>
          <w:sz w:val="32"/>
          <w:szCs w:val="32"/>
          <w:highlight w:val="none"/>
          <w:lang w:eastAsia="zh-CN"/>
        </w:rPr>
        <w:t>1,349.78</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办公费、咨询费、水费、电费、取暖费、差旅费、培训费、工会经费、福利费、其他商品和服务支出。</w:t>
      </w:r>
    </w:p>
    <w:p>
      <w:pPr>
        <w:keepNext w:val="0"/>
        <w:keepLines w:val="0"/>
        <w:pageBreakBefore w:val="0"/>
        <w:widowControl w:val="0"/>
        <w:numPr>
          <w:ilvl w:val="0"/>
          <w:numId w:val="2"/>
        </w:numPr>
        <w:kinsoku/>
        <w:wordWrap/>
        <w:overflowPunct/>
        <w:topLinePunct w:val="0"/>
        <w:autoSpaceDE/>
        <w:autoSpaceDN/>
        <w:bidi w:val="0"/>
        <w:adjustRightInd/>
        <w:snapToGrid/>
        <w:ind w:firstLine="640" w:firstLineChars="200"/>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numPr>
          <w:ilvl w:val="0"/>
          <w:numId w:val="0"/>
        </w:numPr>
        <w:kinsoku/>
        <w:wordWrap/>
        <w:overflowPunct/>
        <w:topLinePunct w:val="0"/>
        <w:autoSpaceDE/>
        <w:autoSpaceDN/>
        <w:bidi w:val="0"/>
        <w:adjustRightInd/>
        <w:snapToGrid/>
        <w:ind w:firstLine="642"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b/>
          <w:bCs/>
          <w:color w:val="auto"/>
          <w:sz w:val="32"/>
          <w:szCs w:val="32"/>
          <w:highlight w:val="none"/>
          <w:lang w:val="en-US" w:eastAsia="zh-CN"/>
        </w:rPr>
        <w:t>2023年</w:t>
      </w:r>
      <w:r>
        <w:rPr>
          <w:rFonts w:hint="eastAsia" w:ascii="Times New Roman" w:hAnsi="Times New Roman" w:eastAsia="仿宋_GB2312" w:cs="Times New Roman"/>
          <w:b/>
          <w:bCs/>
          <w:color w:val="auto"/>
          <w:kern w:val="2"/>
          <w:sz w:val="32"/>
          <w:szCs w:val="32"/>
          <w:highlight w:val="none"/>
          <w:lang w:val="en-US" w:eastAsia="zh-CN" w:bidi="ar-SA"/>
        </w:rPr>
        <w:t>度财政拨款“三公”经费支</w:t>
      </w:r>
      <w:r>
        <w:rPr>
          <w:rFonts w:hint="eastAsia" w:ascii="仿宋_GB2312" w:eastAsia="仿宋_GB2312"/>
          <w:b/>
          <w:bCs/>
          <w:color w:val="auto"/>
          <w:sz w:val="32"/>
          <w:szCs w:val="32"/>
          <w:highlight w:val="none"/>
          <w:lang w:val="en-US" w:eastAsia="zh-CN"/>
        </w:rPr>
        <w:t>出0.00万元，</w:t>
      </w:r>
      <w:r>
        <w:rPr>
          <w:rFonts w:hint="eastAsia" w:ascii="仿宋_GB2312" w:eastAsia="仿宋_GB2312"/>
          <w:color w:val="auto"/>
          <w:sz w:val="32"/>
          <w:szCs w:val="32"/>
          <w:highlight w:val="none"/>
          <w:lang w:val="en-US" w:eastAsia="zh-CN"/>
        </w:rPr>
        <w:t>比上年增加0.00万元，增长0.00%，主要原因是：我单位无财政拨款“三公”经费支出。其中：因公出国（境）费支出0.00万元，占0.00%，比上年增加0.00万元，增长0.00%，主要原因是：我单位无因公出国（境）费支出；公务用车购置及运行维护费支出0.00万元，占0.00%，比上年增加0.00万元，增长0.00%，主要原因是：我单位无公务用车购置及运行维护费支出；公务接待费支出0.00万元，占0.00%，比上年增加0.00万元，增长0.00%，主要原因是：我单位无公务接待费支出。</w:t>
      </w:r>
    </w:p>
    <w:p>
      <w:pPr>
        <w:keepNext w:val="0"/>
        <w:keepLines w:val="0"/>
        <w:pageBreakBefore w:val="0"/>
        <w:widowControl w:val="0"/>
        <w:numPr>
          <w:ilvl w:val="0"/>
          <w:numId w:val="0"/>
        </w:numPr>
        <w:kinsoku/>
        <w:wordWrap/>
        <w:overflowPunct/>
        <w:topLinePunct w:val="0"/>
        <w:autoSpaceDE/>
        <w:autoSpaceDN/>
        <w:bidi w:val="0"/>
        <w:adjustRightInd/>
        <w:snapToGrid/>
        <w:ind w:firstLine="642" w:firstLineChars="200"/>
        <w:textAlignment w:val="auto"/>
        <w:rPr>
          <w:rFonts w:hint="eastAsia" w:ascii="仿宋_GB2312" w:eastAsia="仿宋_GB2312"/>
          <w:b/>
          <w:bCs/>
          <w:color w:val="auto"/>
          <w:sz w:val="32"/>
          <w:szCs w:val="32"/>
          <w:highlight w:val="black"/>
          <w:lang w:val="en-US" w:eastAsia="zh-CN"/>
        </w:rPr>
      </w:pPr>
      <w:r>
        <w:rPr>
          <w:rFonts w:hint="eastAsia" w:ascii="仿宋_GB2312" w:eastAsia="仿宋_GB2312"/>
          <w:b/>
          <w:bCs/>
          <w:color w:val="auto"/>
          <w:sz w:val="32"/>
          <w:szCs w:val="32"/>
          <w:highlight w:val="none"/>
          <w:lang w:val="en-US" w:eastAsia="zh-CN"/>
        </w:rPr>
        <w:t>具体情况如下：</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因公出国（境）费支出0.00万元，</w:t>
      </w:r>
      <w:r>
        <w:rPr>
          <w:rFonts w:hint="eastAsia" w:ascii="仿宋_GB2312" w:eastAsia="仿宋_GB2312"/>
          <w:sz w:val="32"/>
          <w:szCs w:val="32"/>
          <w:highlight w:val="none"/>
        </w:rPr>
        <w:t>开支内容包括</w:t>
      </w:r>
      <w:r>
        <w:rPr>
          <w:rFonts w:hint="eastAsia" w:ascii="仿宋_GB2312" w:eastAsia="仿宋_GB2312"/>
          <w:color w:val="auto"/>
          <w:sz w:val="32"/>
          <w:szCs w:val="32"/>
          <w:highlight w:val="none"/>
          <w:lang w:val="en-US" w:eastAsia="zh-CN"/>
        </w:rPr>
        <w:t>我单位无因公出国（境）费，单位全年安排的因公出国（境）团组0个，因公出国（境）0人次。</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eastAsia="仿宋_GB2312"/>
          <w:color w:val="auto"/>
          <w:sz w:val="32"/>
          <w:szCs w:val="32"/>
          <w:highlight w:val="none"/>
          <w:lang w:val="zh-CN"/>
        </w:rPr>
      </w:pPr>
      <w:r>
        <w:rPr>
          <w:rFonts w:hint="eastAsia" w:ascii="仿宋_GB2312" w:eastAsia="仿宋_GB2312"/>
          <w:color w:val="auto"/>
          <w:sz w:val="32"/>
          <w:szCs w:val="32"/>
          <w:highlight w:val="none"/>
          <w:lang w:val="en-US" w:eastAsia="zh-CN"/>
        </w:rPr>
        <w:t>公务用车购置及运行维护费0.00万元，其中：公务用车购置费0.00万元，公务用车运行维护费0.00万元。</w:t>
      </w:r>
      <w:r>
        <w:rPr>
          <w:rFonts w:hint="eastAsia" w:ascii="仿宋_GB2312" w:eastAsia="仿宋_GB2312"/>
          <w:sz w:val="32"/>
          <w:szCs w:val="32"/>
          <w:highlight w:val="none"/>
        </w:rPr>
        <w:t>公务用车运行维护费开支内容包括</w:t>
      </w:r>
      <w:bookmarkStart w:id="48" w:name="_GoBack"/>
      <w:bookmarkEnd w:id="48"/>
      <w:r>
        <w:rPr>
          <w:rFonts w:hint="eastAsia" w:ascii="仿宋_GB2312" w:eastAsia="仿宋_GB2312"/>
          <w:color w:val="auto"/>
          <w:sz w:val="32"/>
          <w:szCs w:val="32"/>
          <w:highlight w:val="none"/>
          <w:lang w:val="en-US" w:eastAsia="zh-CN"/>
        </w:rPr>
        <w:t>我单位无公务用车运行维护费。公务用车购置数0辆，公务用车保有量0辆。</w:t>
      </w:r>
      <w:r>
        <w:rPr>
          <w:rFonts w:hint="eastAsia" w:ascii="仿宋_GB2312" w:eastAsia="仿宋_GB2312"/>
          <w:color w:val="auto"/>
          <w:sz w:val="32"/>
          <w:szCs w:val="32"/>
          <w:highlight w:val="none"/>
          <w:lang w:val="zh-CN"/>
        </w:rPr>
        <w:t>国有资产占用情况中固定资产车辆</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val="zh-CN"/>
        </w:rPr>
        <w:t>2辆，与公务用车保有量差异原因是：我单位其他用车</w:t>
      </w:r>
      <w:r>
        <w:rPr>
          <w:rFonts w:hint="eastAsia" w:ascii="仿宋_GB2312" w:eastAsia="仿宋_GB2312"/>
          <w:color w:val="auto"/>
          <w:sz w:val="32"/>
          <w:szCs w:val="32"/>
          <w:highlight w:val="none"/>
          <w:lang w:val="en-US" w:eastAsia="zh-CN"/>
        </w:rPr>
        <w:t>为</w:t>
      </w:r>
      <w:r>
        <w:rPr>
          <w:rFonts w:hint="eastAsia" w:ascii="仿宋_GB2312" w:eastAsia="仿宋_GB2312"/>
          <w:color w:val="auto"/>
          <w:sz w:val="32"/>
          <w:szCs w:val="32"/>
          <w:highlight w:val="none"/>
          <w:lang w:val="zh-CN"/>
        </w:rPr>
        <w:t>12 辆，为一般业务用车，</w:t>
      </w:r>
      <w:r>
        <w:rPr>
          <w:rFonts w:hint="eastAsia" w:ascii="仿宋_GB2312" w:eastAsia="仿宋_GB2312"/>
          <w:color w:val="auto"/>
          <w:sz w:val="32"/>
          <w:szCs w:val="32"/>
          <w:highlight w:val="none"/>
          <w:lang w:val="en-US" w:eastAsia="zh-CN"/>
        </w:rPr>
        <w:t>经费来源为学院专户资金，</w:t>
      </w:r>
      <w:r>
        <w:rPr>
          <w:rFonts w:hint="eastAsia" w:ascii="仿宋_GB2312" w:eastAsia="仿宋_GB2312"/>
          <w:color w:val="auto"/>
          <w:sz w:val="32"/>
          <w:szCs w:val="32"/>
          <w:highlight w:val="none"/>
          <w:lang w:val="zh-CN"/>
        </w:rPr>
        <w:t>用于学院开展各类业务活动。</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公务接待费0.00万元，</w:t>
      </w:r>
      <w:r>
        <w:rPr>
          <w:rFonts w:hint="eastAsia" w:ascii="仿宋_GB2312" w:eastAsia="仿宋_GB2312"/>
          <w:sz w:val="32"/>
          <w:szCs w:val="32"/>
          <w:highlight w:val="none"/>
        </w:rPr>
        <w:t>开支内容包括</w:t>
      </w:r>
      <w:r>
        <w:rPr>
          <w:rFonts w:hint="eastAsia" w:ascii="仿宋_GB2312" w:eastAsia="仿宋_GB2312"/>
          <w:color w:val="auto"/>
          <w:sz w:val="32"/>
          <w:szCs w:val="32"/>
          <w:highlight w:val="none"/>
          <w:lang w:val="en-US" w:eastAsia="zh-CN"/>
        </w:rPr>
        <w:t>我单位无公务接待费，单位全年安排的国内公务接待0批次，0人次。</w:t>
      </w:r>
    </w:p>
    <w:p>
      <w:pPr>
        <w:keepNext w:val="0"/>
        <w:keepLines w:val="0"/>
        <w:pageBreakBefore w:val="0"/>
        <w:widowControl w:val="0"/>
        <w:numPr>
          <w:ilvl w:val="0"/>
          <w:numId w:val="0"/>
        </w:numPr>
        <w:kinsoku/>
        <w:wordWrap/>
        <w:overflowPunct/>
        <w:topLinePunct w:val="0"/>
        <w:autoSpaceDE/>
        <w:autoSpaceDN/>
        <w:bidi w:val="0"/>
        <w:adjustRightInd/>
        <w:snapToGrid/>
        <w:ind w:firstLine="642"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b/>
          <w:bCs/>
          <w:color w:val="auto"/>
          <w:sz w:val="32"/>
          <w:szCs w:val="32"/>
          <w:highlight w:val="none"/>
          <w:lang w:val="en-US" w:eastAsia="zh-CN"/>
        </w:rPr>
        <w:t>与全年预算相比,</w:t>
      </w:r>
      <w:r>
        <w:rPr>
          <w:rFonts w:hint="eastAsia" w:ascii="仿宋_GB2312" w:eastAsia="仿宋_GB2312"/>
          <w:color w:val="auto"/>
          <w:sz w:val="32"/>
          <w:szCs w:val="32"/>
          <w:highlight w:val="none"/>
          <w:lang w:val="en-US" w:eastAsia="zh-CN"/>
        </w:rPr>
        <w:t>财政拨款“三公”经费支出全年预算数0.00万元，决算数0.00万元，预决算差异率0.00%，主要原因是：我单位无三公经费支出。其中：因公出国（境）费全年预算数0.00万元，决算数0.00万元，预决算差异率0.00%，主要原因是：我单位无因公出国(境)费；公务用车购置费全年预算数0.00万元，决算数0.00万元，预决算差异率0.00%，主要原因是：我单位无公务用车购置费；公务用车运行费全年预算数0.00万元，决算数0.00万元，预决算差异率0.00%，主要原因是：我单位无公务用车运行费；公务接待费全年预算数0.00万元，决算数0.00万元，预决算差异率0.00%，主要原因是：我单位无公务接待费。</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left"/>
        <w:textAlignment w:val="auto"/>
        <w:outlineLvl w:val="1"/>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我单位本年度无政府性基金预算财政拨款收入、支出及结转和结余，政府性基金预算财政拨款收入支出决算表为空表。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left"/>
        <w:textAlignment w:val="auto"/>
        <w:outlineLvl w:val="1"/>
        <w:rPr>
          <w:rFonts w:hint="eastAsia" w:ascii="仿宋_GB2312" w:eastAsia="仿宋_GB2312"/>
          <w:color w:val="auto"/>
          <w:sz w:val="32"/>
          <w:szCs w:val="32"/>
          <w:highlight w:val="none"/>
          <w:lang w:val="en-US" w:eastAsia="zh-CN"/>
        </w:rPr>
      </w:pPr>
      <w:bookmarkStart w:id="20" w:name="_Toc1235"/>
      <w:bookmarkStart w:id="21" w:name="_Toc7314"/>
      <w:r>
        <w:rPr>
          <w:rFonts w:hint="eastAsia" w:ascii="仿宋_GB2312" w:eastAsia="仿宋_GB2312"/>
          <w:color w:val="auto"/>
          <w:sz w:val="32"/>
          <w:szCs w:val="32"/>
          <w:highlight w:val="none"/>
          <w:lang w:val="en-US" w:eastAsia="zh-CN"/>
        </w:rPr>
        <w:t>我单位本年度无国有资本经营预算财政拨款收入、支出及结转和结余，国有资本经营预算财政拨款收入支出决算表为空表。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eastAsia="仿宋_GB2312"/>
          <w:color w:val="auto"/>
          <w:sz w:val="32"/>
          <w:szCs w:val="32"/>
          <w:highlight w:val="none"/>
          <w:lang w:val="zh-CN" w:eastAsia="zh-CN"/>
        </w:rPr>
      </w:pPr>
      <w:bookmarkStart w:id="24" w:name="_Toc227"/>
      <w:bookmarkStart w:id="25" w:name="_Toc26704"/>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新疆轻工职业技术学院</w:t>
      </w:r>
      <w:r>
        <w:rPr>
          <w:rFonts w:hint="eastAsia" w:ascii="仿宋_GB2312" w:eastAsia="仿宋_GB2312"/>
          <w:color w:val="auto"/>
          <w:sz w:val="32"/>
          <w:szCs w:val="32"/>
          <w:highlight w:val="none"/>
          <w:lang w:val="zh-CN" w:eastAsia="zh-CN"/>
        </w:rPr>
        <w:t>（事业单位）公用经费支出1,349.78万元，比上年减少1,551.78万元，下降53.48%，主要原因是：在基本支出生均拨款总额变化不大的前提下，优先保障人员经费，公用经费相应下降。</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2023年度政府采购支出总额4,039.32万元，其中：政府采购货物支出1,365.88万元、政府采购工程支出1,608.45万元、政府采购服务支出1,065.00万元。</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授予中小企业合同金额3,703.30万元，占政府采购支出总额的91.68</w:t>
      </w:r>
      <w:r>
        <w:rPr>
          <w:rFonts w:hint="default"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zh-CN" w:eastAsia="zh-CN"/>
        </w:rPr>
        <w:t>，其中：授予小微企业合同金额2,663.57万元，占政府采购支出总额的65.94</w:t>
      </w:r>
      <w:r>
        <w:rPr>
          <w:rFonts w:hint="default"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截至2023</w:t>
      </w:r>
      <w:r>
        <w:rPr>
          <w:rFonts w:hint="eastAsia" w:ascii="仿宋_GB2312" w:eastAsia="仿宋_GB2312"/>
          <w:color w:val="auto"/>
          <w:sz w:val="32"/>
          <w:szCs w:val="32"/>
          <w:highlight w:val="none"/>
          <w:lang w:val="zh-CN" w:eastAsia="zh-CN"/>
        </w:rPr>
        <w:t>年</w:t>
      </w:r>
      <w:r>
        <w:rPr>
          <w:rFonts w:hint="eastAsia" w:ascii="仿宋_GB2312" w:eastAsia="仿宋_GB2312"/>
          <w:color w:val="auto"/>
          <w:sz w:val="32"/>
          <w:szCs w:val="32"/>
          <w:highlight w:val="none"/>
          <w:lang w:val="en-US" w:eastAsia="zh-CN"/>
        </w:rPr>
        <w:t>12月31日</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固定资产原值</w:t>
      </w:r>
      <w:r>
        <w:rPr>
          <w:rFonts w:hint="eastAsia" w:ascii="仿宋_GB2312" w:eastAsia="仿宋_GB2312"/>
          <w:color w:val="auto"/>
          <w:sz w:val="32"/>
          <w:szCs w:val="32"/>
          <w:highlight w:val="none"/>
          <w:lang w:val="zh-CN" w:eastAsia="zh-CN"/>
        </w:rPr>
        <w:t>74,818.06</w:t>
      </w:r>
      <w:r>
        <w:rPr>
          <w:rFonts w:hint="eastAsia" w:ascii="仿宋_GB2312" w:eastAsia="仿宋_GB2312"/>
          <w:color w:val="auto"/>
          <w:sz w:val="32"/>
          <w:szCs w:val="32"/>
          <w:highlight w:val="none"/>
          <w:lang w:val="en-US" w:eastAsia="zh-CN"/>
        </w:rPr>
        <w:t>万元，房</w:t>
      </w:r>
      <w:r>
        <w:rPr>
          <w:rFonts w:hint="eastAsia" w:ascii="仿宋_GB2312" w:eastAsia="仿宋_GB2312"/>
          <w:color w:val="auto"/>
          <w:sz w:val="32"/>
          <w:szCs w:val="32"/>
          <w:highlight w:val="none"/>
          <w:lang w:val="zh-CN" w:eastAsia="zh-CN"/>
        </w:rPr>
        <w:t>屋289728.29平方米，价值44,089.60万元。车辆12辆，价值261.32万元，其中：副部（省）级及以上领导用车0辆、主要</w:t>
      </w:r>
      <w:r>
        <w:rPr>
          <w:rFonts w:hint="eastAsia" w:ascii="仿宋_GB2312" w:eastAsia="仿宋_GB2312"/>
          <w:color w:val="auto"/>
          <w:sz w:val="32"/>
          <w:szCs w:val="32"/>
          <w:highlight w:val="none"/>
          <w:lang w:val="en-US" w:eastAsia="zh-CN"/>
        </w:rPr>
        <w:t>负责人</w:t>
      </w:r>
      <w:r>
        <w:rPr>
          <w:rFonts w:hint="eastAsia" w:ascii="仿宋_GB2312" w:eastAsia="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eastAsia="仿宋_GB2312"/>
          <w:color w:val="auto"/>
          <w:sz w:val="32"/>
          <w:szCs w:val="32"/>
          <w:highlight w:val="none"/>
          <w:lang w:val="en-US" w:eastAsia="zh-CN"/>
        </w:rPr>
        <w:t>服务</w:t>
      </w:r>
      <w:r>
        <w:rPr>
          <w:rFonts w:hint="eastAsia" w:ascii="仿宋_GB2312" w:eastAsia="仿宋_GB2312"/>
          <w:color w:val="auto"/>
          <w:sz w:val="32"/>
          <w:szCs w:val="32"/>
          <w:highlight w:val="none"/>
          <w:lang w:val="zh-CN" w:eastAsia="zh-CN"/>
        </w:rPr>
        <w:t>用车0辆、其他用车12辆，其他用车主要是：一般业务用车</w:t>
      </w:r>
      <w:r>
        <w:rPr>
          <w:rFonts w:hint="default"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单价100万元（含）以上设备（不含车辆）35</w:t>
      </w:r>
      <w:r>
        <w:rPr>
          <w:rFonts w:hint="eastAsia" w:ascii="仿宋_GB2312" w:eastAsia="仿宋_GB2312"/>
          <w:color w:val="auto"/>
          <w:sz w:val="32"/>
          <w:szCs w:val="32"/>
          <w:highlight w:val="none"/>
          <w:lang w:val="en-US" w:eastAsia="zh-CN"/>
        </w:rPr>
        <w:t>台（</w:t>
      </w:r>
      <w:r>
        <w:rPr>
          <w:rFonts w:hint="eastAsia" w:ascii="仿宋_GB2312" w:eastAsia="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我单位整体支出绩效自评表由主管部门编报并公开</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预算绩效评价项目5个，</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eastAsia="zh-CN"/>
        </w:rPr>
        <w:t>7,742.38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w:t>
      </w:r>
      <w:r>
        <w:rPr>
          <w:rFonts w:hint="eastAsia" w:ascii="仿宋_GB2312" w:eastAsia="仿宋_GB2312"/>
          <w:color w:val="auto"/>
          <w:sz w:val="32"/>
          <w:szCs w:val="32"/>
          <w:highlight w:val="none"/>
          <w:lang w:eastAsia="zh-CN"/>
        </w:rPr>
        <w:t>7,093.39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严格执行《会计法》《预算法》《采购法》等制度规定；规范和加快预算执行,积极做好绩效监控和绩效评价工作，确保预算执行的准确性、及时性和规范性,切实发挥财政资金最大效用;二是各项工作实施及资金使用情况均在绩效目标设定时限完成，在项目经费的使用上,在保证各项任务顺利完成的同时,严格落实厉行节约原则。发现的问题及原因：一是预算绩效申报个别绩效目标设置不科学；二是因为编制的项目自评指标体系不够精细,绩效目标未完全细化,分解工作任务不够具体,在经费支出过程中精确度有待提高。下一步改进措施在今后的预算绩效申报时,相关业务科室将全年工作任务细化分解为具体的工作目标,并采取定量的方式制定清晰、可衡量的绩效指标,提高项目使用精确度。具体项目自评情况附项目支出绩效自评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2"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FgAAAGRycy9QSwECFAAUAAAACACHTuJAzql5uc8AAAAFAQAADwAAAAAAAAABACAA&#10;AAA4AAAAZHJzL2Rvd25yZXYueG1sUEsBAhQAFAAAAAgAh07iQBCr8CPHAQAAewMAAA4AAAAAAAAA&#10;AQAgAAAANA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A723B2"/>
    <w:multiLevelType w:val="singleLevel"/>
    <w:tmpl w:val="C3A723B2"/>
    <w:lvl w:ilvl="0" w:tentative="0">
      <w:start w:val="7"/>
      <w:numFmt w:val="chineseCounting"/>
      <w:suff w:val="nothing"/>
      <w:lvlText w:val="%1、"/>
      <w:lvlJc w:val="left"/>
      <w:rPr>
        <w:rFonts w:hint="eastAsia"/>
      </w:rPr>
    </w:lvl>
  </w:abstractNum>
  <w:abstractNum w:abstractNumId="1">
    <w:nsid w:val="103F031D"/>
    <w:multiLevelType w:val="singleLevel"/>
    <w:tmpl w:val="103F031D"/>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 w:name="KSO_WPS_MARK_KEY" w:val="41ee2a61-2d54-4f93-83be-afdb9a40d732"/>
  </w:docVars>
  <w:rsids>
    <w:rsidRoot w:val="00000000"/>
    <w:rsid w:val="00213C59"/>
    <w:rsid w:val="003210CE"/>
    <w:rsid w:val="00B70D59"/>
    <w:rsid w:val="00F52A8D"/>
    <w:rsid w:val="019404F8"/>
    <w:rsid w:val="01E15074"/>
    <w:rsid w:val="01F5667F"/>
    <w:rsid w:val="02BD3108"/>
    <w:rsid w:val="02F73D26"/>
    <w:rsid w:val="034D4FEF"/>
    <w:rsid w:val="035D1785"/>
    <w:rsid w:val="038F2AE8"/>
    <w:rsid w:val="039F47CE"/>
    <w:rsid w:val="03E05CE8"/>
    <w:rsid w:val="03F973EE"/>
    <w:rsid w:val="043E5B56"/>
    <w:rsid w:val="04C04386"/>
    <w:rsid w:val="04DA0E71"/>
    <w:rsid w:val="04FA68C4"/>
    <w:rsid w:val="053F5AE6"/>
    <w:rsid w:val="057C0B0F"/>
    <w:rsid w:val="05EF4B48"/>
    <w:rsid w:val="05F76ECA"/>
    <w:rsid w:val="06792773"/>
    <w:rsid w:val="069F772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63594E"/>
    <w:rsid w:val="0D7A4A46"/>
    <w:rsid w:val="0E640559"/>
    <w:rsid w:val="0E774A86"/>
    <w:rsid w:val="0F1113DA"/>
    <w:rsid w:val="0F78534A"/>
    <w:rsid w:val="0F89358A"/>
    <w:rsid w:val="0F8C6D51"/>
    <w:rsid w:val="105B0B5E"/>
    <w:rsid w:val="10922D8C"/>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7F23196"/>
    <w:rsid w:val="180059E9"/>
    <w:rsid w:val="184510FD"/>
    <w:rsid w:val="18F8118C"/>
    <w:rsid w:val="190648B0"/>
    <w:rsid w:val="19071D6C"/>
    <w:rsid w:val="19D26CD4"/>
    <w:rsid w:val="19E60D19"/>
    <w:rsid w:val="1A3E3450"/>
    <w:rsid w:val="1AD807E5"/>
    <w:rsid w:val="1B39345B"/>
    <w:rsid w:val="1BFB2A1F"/>
    <w:rsid w:val="1C015D4A"/>
    <w:rsid w:val="1C290ED5"/>
    <w:rsid w:val="1C317E4F"/>
    <w:rsid w:val="1C472464"/>
    <w:rsid w:val="1CBFCFB3"/>
    <w:rsid w:val="1D22799A"/>
    <w:rsid w:val="1D5C1A72"/>
    <w:rsid w:val="1DAB7AE9"/>
    <w:rsid w:val="1DAF458D"/>
    <w:rsid w:val="1E086ACE"/>
    <w:rsid w:val="1E62130A"/>
    <w:rsid w:val="1E97358B"/>
    <w:rsid w:val="1EAA4A5F"/>
    <w:rsid w:val="1EE869A7"/>
    <w:rsid w:val="1FA15E62"/>
    <w:rsid w:val="1FED69B6"/>
    <w:rsid w:val="2064678E"/>
    <w:rsid w:val="20DC1AB9"/>
    <w:rsid w:val="20DD6197"/>
    <w:rsid w:val="212631E0"/>
    <w:rsid w:val="215A276C"/>
    <w:rsid w:val="21A53757"/>
    <w:rsid w:val="221236C6"/>
    <w:rsid w:val="22C55ED8"/>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6729B3"/>
    <w:rsid w:val="2A73587A"/>
    <w:rsid w:val="2AF5378F"/>
    <w:rsid w:val="2B1D6936"/>
    <w:rsid w:val="2BB94DBF"/>
    <w:rsid w:val="2BBF0403"/>
    <w:rsid w:val="2C6F314E"/>
    <w:rsid w:val="2CC206BE"/>
    <w:rsid w:val="2CF39B9E"/>
    <w:rsid w:val="2D1136DF"/>
    <w:rsid w:val="2D20606D"/>
    <w:rsid w:val="2DB87198"/>
    <w:rsid w:val="2DB93C54"/>
    <w:rsid w:val="2DF82DE5"/>
    <w:rsid w:val="2E3D144C"/>
    <w:rsid w:val="2E67471B"/>
    <w:rsid w:val="2E891204"/>
    <w:rsid w:val="2EDD53C2"/>
    <w:rsid w:val="2F3D79FA"/>
    <w:rsid w:val="2F3F0A28"/>
    <w:rsid w:val="2FBF7029"/>
    <w:rsid w:val="2FD0187F"/>
    <w:rsid w:val="2FD27414"/>
    <w:rsid w:val="2FFE4BB0"/>
    <w:rsid w:val="300E7B60"/>
    <w:rsid w:val="300F6E18"/>
    <w:rsid w:val="30862F5F"/>
    <w:rsid w:val="314029C9"/>
    <w:rsid w:val="31927700"/>
    <w:rsid w:val="31C63837"/>
    <w:rsid w:val="31C82E39"/>
    <w:rsid w:val="31D42852"/>
    <w:rsid w:val="31F0398C"/>
    <w:rsid w:val="32601BAD"/>
    <w:rsid w:val="329F6389"/>
    <w:rsid w:val="32A7158A"/>
    <w:rsid w:val="333FAEA3"/>
    <w:rsid w:val="3389023A"/>
    <w:rsid w:val="33CB74FA"/>
    <w:rsid w:val="343642F2"/>
    <w:rsid w:val="343F3010"/>
    <w:rsid w:val="345D0A00"/>
    <w:rsid w:val="34713BFD"/>
    <w:rsid w:val="34C13589"/>
    <w:rsid w:val="353369E3"/>
    <w:rsid w:val="35E00D72"/>
    <w:rsid w:val="36965B9D"/>
    <w:rsid w:val="36C549FD"/>
    <w:rsid w:val="3741341A"/>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972858"/>
    <w:rsid w:val="3DCC2473"/>
    <w:rsid w:val="3DEB0883"/>
    <w:rsid w:val="3E2527BF"/>
    <w:rsid w:val="3E731662"/>
    <w:rsid w:val="3E8168DD"/>
    <w:rsid w:val="3E820033"/>
    <w:rsid w:val="3EA7725F"/>
    <w:rsid w:val="3EB03713"/>
    <w:rsid w:val="3EBF1A11"/>
    <w:rsid w:val="3EC52607"/>
    <w:rsid w:val="3EEC6CEF"/>
    <w:rsid w:val="3F183429"/>
    <w:rsid w:val="3F6B2C6C"/>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6F50F49"/>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5622BC"/>
    <w:rsid w:val="4B8553A9"/>
    <w:rsid w:val="4BA06A4B"/>
    <w:rsid w:val="4BDB3730"/>
    <w:rsid w:val="4C200F7A"/>
    <w:rsid w:val="4C8E5093"/>
    <w:rsid w:val="4CEE3180"/>
    <w:rsid w:val="4D0F4AF6"/>
    <w:rsid w:val="4DF94F37"/>
    <w:rsid w:val="4E0A1DD5"/>
    <w:rsid w:val="4E3160E5"/>
    <w:rsid w:val="4E4D37AF"/>
    <w:rsid w:val="4E550C88"/>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3D9273B"/>
    <w:rsid w:val="542F73CA"/>
    <w:rsid w:val="5430786D"/>
    <w:rsid w:val="54720FE3"/>
    <w:rsid w:val="54A159C6"/>
    <w:rsid w:val="54C811C0"/>
    <w:rsid w:val="556A442D"/>
    <w:rsid w:val="55890757"/>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77415B"/>
    <w:rsid w:val="58CD2491"/>
    <w:rsid w:val="591B41B2"/>
    <w:rsid w:val="59254A26"/>
    <w:rsid w:val="59326325"/>
    <w:rsid w:val="595C505B"/>
    <w:rsid w:val="595E55C3"/>
    <w:rsid w:val="596E7E20"/>
    <w:rsid w:val="5A3756C4"/>
    <w:rsid w:val="5A5415CC"/>
    <w:rsid w:val="5A60780B"/>
    <w:rsid w:val="5AB34579"/>
    <w:rsid w:val="5AFC6609"/>
    <w:rsid w:val="5B113480"/>
    <w:rsid w:val="5BBE61B4"/>
    <w:rsid w:val="5BD456CE"/>
    <w:rsid w:val="5BF91B8B"/>
    <w:rsid w:val="5C0D1F49"/>
    <w:rsid w:val="5CBB0CE2"/>
    <w:rsid w:val="5CC17177"/>
    <w:rsid w:val="5CF306BC"/>
    <w:rsid w:val="5D3F3D64"/>
    <w:rsid w:val="5D833043"/>
    <w:rsid w:val="5DD92690"/>
    <w:rsid w:val="5DDB1CFD"/>
    <w:rsid w:val="5E7E6D93"/>
    <w:rsid w:val="5E9C2F2A"/>
    <w:rsid w:val="5ED44800"/>
    <w:rsid w:val="5F350BDE"/>
    <w:rsid w:val="5F61632C"/>
    <w:rsid w:val="5FA17648"/>
    <w:rsid w:val="5FD6DF61"/>
    <w:rsid w:val="5FE705CB"/>
    <w:rsid w:val="603D5080"/>
    <w:rsid w:val="606D5311"/>
    <w:rsid w:val="60D0261B"/>
    <w:rsid w:val="618E3791"/>
    <w:rsid w:val="61947DCA"/>
    <w:rsid w:val="61A46A97"/>
    <w:rsid w:val="61D1382F"/>
    <w:rsid w:val="61F114A2"/>
    <w:rsid w:val="62512BB4"/>
    <w:rsid w:val="625D7D1A"/>
    <w:rsid w:val="62DD7D21"/>
    <w:rsid w:val="63203DD2"/>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3E263D"/>
    <w:rsid w:val="6B68175F"/>
    <w:rsid w:val="6BFD799F"/>
    <w:rsid w:val="6C4A2E5A"/>
    <w:rsid w:val="6C557BE2"/>
    <w:rsid w:val="6C8138D0"/>
    <w:rsid w:val="6CEF0725"/>
    <w:rsid w:val="6D4B2604"/>
    <w:rsid w:val="6D8030E4"/>
    <w:rsid w:val="6D9F40EF"/>
    <w:rsid w:val="6E0E35C4"/>
    <w:rsid w:val="6E0F7A08"/>
    <w:rsid w:val="6E3947F5"/>
    <w:rsid w:val="6E9C74ED"/>
    <w:rsid w:val="6EF72976"/>
    <w:rsid w:val="6F795A80"/>
    <w:rsid w:val="6F7C1D2E"/>
    <w:rsid w:val="6F8E0407"/>
    <w:rsid w:val="6F9F5401"/>
    <w:rsid w:val="6FDD069F"/>
    <w:rsid w:val="6FF73410"/>
    <w:rsid w:val="702B4D16"/>
    <w:rsid w:val="70AA6621"/>
    <w:rsid w:val="7111480F"/>
    <w:rsid w:val="71261F49"/>
    <w:rsid w:val="712E6956"/>
    <w:rsid w:val="71473612"/>
    <w:rsid w:val="71504F32"/>
    <w:rsid w:val="7152309F"/>
    <w:rsid w:val="717C5D1F"/>
    <w:rsid w:val="717F4376"/>
    <w:rsid w:val="718F7F65"/>
    <w:rsid w:val="722A4E10"/>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9251A6"/>
    <w:rsid w:val="75BB2D4F"/>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BA67BFD"/>
    <w:rsid w:val="7BA955D9"/>
    <w:rsid w:val="7BEFA020"/>
    <w:rsid w:val="7C073DCD"/>
    <w:rsid w:val="7C2E3F73"/>
    <w:rsid w:val="7C5177FD"/>
    <w:rsid w:val="7C8B3C1D"/>
    <w:rsid w:val="7C976D69"/>
    <w:rsid w:val="7CD752DA"/>
    <w:rsid w:val="7CDE40AB"/>
    <w:rsid w:val="7CF057E2"/>
    <w:rsid w:val="7D1548B5"/>
    <w:rsid w:val="7D2F1667"/>
    <w:rsid w:val="7D8436EA"/>
    <w:rsid w:val="7DF795BA"/>
    <w:rsid w:val="7DF84014"/>
    <w:rsid w:val="7E207949"/>
    <w:rsid w:val="7E5C0A47"/>
    <w:rsid w:val="7E670C75"/>
    <w:rsid w:val="7EE24272"/>
    <w:rsid w:val="7EEA6053"/>
    <w:rsid w:val="7EF7EAF4"/>
    <w:rsid w:val="7F487C04"/>
    <w:rsid w:val="7FB45F21"/>
    <w:rsid w:val="7FBF3998"/>
    <w:rsid w:val="7FE57088"/>
    <w:rsid w:val="7FF13A32"/>
    <w:rsid w:val="7FF37FA3"/>
    <w:rsid w:val="7FF7C03C"/>
    <w:rsid w:val="7FFB2E1C"/>
    <w:rsid w:val="7FFF6342"/>
    <w:rsid w:val="9AFFF1BA"/>
    <w:rsid w:val="9F7DC136"/>
    <w:rsid w:val="AFF6E2CF"/>
    <w:rsid w:val="BAF4A75D"/>
    <w:rsid w:val="E87D3AA6"/>
    <w:rsid w:val="EF1543BF"/>
    <w:rsid w:val="EFDEDC0E"/>
    <w:rsid w:val="FBEF4666"/>
    <w:rsid w:val="FBEFFE40"/>
    <w:rsid w:val="FF73EA3C"/>
    <w:rsid w:val="FF77BACA"/>
    <w:rsid w:val="FFFE6AC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6958</Words>
  <Characters>7939</Characters>
  <Lines>0</Lines>
  <Paragraphs>0</Paragraphs>
  <TotalTime>1</TotalTime>
  <ScaleCrop>false</ScaleCrop>
  <LinksUpToDate>false</LinksUpToDate>
  <CharactersWithSpaces>7940</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2014-10-30T20:08:00Z</dcterms:created>
  <dc:creator>GXR</dc:creator>
  <cp:lastModifiedBy>user</cp:lastModifiedBy>
  <dcterms:modified xsi:type="dcterms:W3CDTF">2024-10-14T16:53:00Z</dcterms:modified>
  <dc:title>新疆轻工职业技术学院</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D624B15633CD43C8BF9435464A96BF70</vt:lpwstr>
  </property>
</Properties>
</file>