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29C16">
      <w:pPr>
        <w:jc w:val="center"/>
        <w:rPr>
          <w:rFonts w:ascii="宋体" w:hAnsi="宋体" w:eastAsia="宋体" w:cs="Arial"/>
          <w:b/>
          <w:bCs/>
          <w:sz w:val="52"/>
          <w:szCs w:val="52"/>
        </w:rPr>
      </w:pPr>
    </w:p>
    <w:p w14:paraId="136494FA">
      <w:pPr>
        <w:jc w:val="center"/>
        <w:rPr>
          <w:rFonts w:ascii="宋体" w:hAnsi="宋体" w:eastAsia="宋体" w:cs="Arial"/>
          <w:b/>
          <w:bCs/>
          <w:sz w:val="52"/>
          <w:szCs w:val="52"/>
        </w:rPr>
      </w:pPr>
    </w:p>
    <w:p w14:paraId="2669EE2D">
      <w:pPr>
        <w:jc w:val="center"/>
        <w:rPr>
          <w:rFonts w:ascii="宋体" w:hAnsi="宋体" w:eastAsia="宋体" w:cs="Arial"/>
          <w:b/>
          <w:bCs/>
          <w:sz w:val="52"/>
          <w:szCs w:val="52"/>
        </w:rPr>
      </w:pPr>
    </w:p>
    <w:p w14:paraId="48D309EA"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弥补商品服务支出项目支出绩效评价报告</w:t>
      </w:r>
    </w:p>
    <w:p w14:paraId="110B9BBD">
      <w:pPr>
        <w:widowControl/>
        <w:spacing w:line="560" w:lineRule="exact"/>
        <w:jc w:val="center"/>
        <w:rPr>
          <w:rFonts w:ascii="黑体" w:hAnsi="黑体" w:eastAsia="黑体" w:cs="黑体"/>
          <w:b/>
          <w:kern w:val="0"/>
          <w:sz w:val="44"/>
          <w:szCs w:val="44"/>
          <w:lang w:bidi="en-US"/>
        </w:rPr>
      </w:pPr>
      <w:r>
        <w:rPr>
          <w:rFonts w:hint="eastAsia" w:ascii="黑体" w:hAnsi="黑体" w:eastAsia="黑体" w:cs="黑体"/>
          <w:color w:val="000000"/>
          <w:kern w:val="0"/>
          <w:sz w:val="44"/>
          <w:szCs w:val="44"/>
        </w:rPr>
        <w:t>（202</w:t>
      </w:r>
      <w:r>
        <w:rPr>
          <w:rFonts w:hint="eastAsia" w:ascii="黑体" w:hAnsi="黑体" w:eastAsia="黑体" w:cs="黑体"/>
          <w:color w:val="000000"/>
          <w:kern w:val="0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color w:val="000000"/>
          <w:kern w:val="0"/>
          <w:sz w:val="44"/>
          <w:szCs w:val="44"/>
        </w:rPr>
        <w:t>年度）</w:t>
      </w:r>
    </w:p>
    <w:p w14:paraId="41A68333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678E9697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3FA56211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02874F05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12F3D3B1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12D45974">
      <w:pPr>
        <w:spacing w:line="700" w:lineRule="exact"/>
        <w:ind w:firstLine="1440" w:firstLineChars="400"/>
        <w:jc w:val="left"/>
        <w:rPr>
          <w:rFonts w:ascii="Times New Roman" w:hAnsi="Times New Roman" w:cs="Times New Roman"/>
          <w:kern w:val="0"/>
          <w:sz w:val="36"/>
          <w:szCs w:val="36"/>
        </w:rPr>
      </w:pPr>
      <w:r>
        <w:rPr>
          <w:rFonts w:hint="eastAsia" w:ascii="Times New Roman" w:hAnsi="Times New Roman" w:cs="Times New Roman"/>
          <w:kern w:val="0"/>
          <w:sz w:val="36"/>
          <w:szCs w:val="36"/>
        </w:rPr>
        <w:t xml:space="preserve">项目名称：弥补商品服务支出 </w:t>
      </w:r>
      <w:r>
        <w:rPr>
          <w:rFonts w:ascii="Times New Roman" w:hAnsi="Times New Roman" w:cs="Times New Roman"/>
          <w:kern w:val="0"/>
          <w:sz w:val="36"/>
          <w:szCs w:val="36"/>
        </w:rPr>
        <w:t xml:space="preserve"> </w:t>
      </w:r>
    </w:p>
    <w:p w14:paraId="66404D6F">
      <w:pPr>
        <w:spacing w:line="700" w:lineRule="exact"/>
        <w:ind w:firstLine="1440" w:firstLineChars="400"/>
        <w:jc w:val="left"/>
        <w:rPr>
          <w:rFonts w:ascii="Times New Roman" w:hAnsi="Times New Roman" w:cs="Times New Roman"/>
          <w:kern w:val="0"/>
          <w:sz w:val="36"/>
          <w:szCs w:val="36"/>
        </w:rPr>
      </w:pPr>
      <w:r>
        <w:rPr>
          <w:rFonts w:hint="eastAsia" w:ascii="Times New Roman" w:hAnsi="Times New Roman" w:cs="Times New Roman"/>
          <w:kern w:val="0"/>
          <w:sz w:val="36"/>
          <w:szCs w:val="36"/>
        </w:rPr>
        <w:t>实施单位（公章）：新疆轻工职业技术学院</w:t>
      </w:r>
      <w:r>
        <w:rPr>
          <w:rFonts w:ascii="Times New Roman" w:hAnsi="Times New Roman" w:cs="Times New Roman"/>
          <w:kern w:val="0"/>
          <w:sz w:val="36"/>
          <w:szCs w:val="36"/>
        </w:rPr>
        <w:t xml:space="preserve"> </w:t>
      </w:r>
    </w:p>
    <w:p w14:paraId="1AD9385B">
      <w:pPr>
        <w:spacing w:line="700" w:lineRule="exact"/>
        <w:ind w:firstLine="1440" w:firstLineChars="400"/>
        <w:jc w:val="left"/>
        <w:rPr>
          <w:rFonts w:ascii="Times New Roman" w:hAnsi="Times New Roman" w:cs="Times New Roman"/>
          <w:kern w:val="0"/>
          <w:sz w:val="36"/>
          <w:szCs w:val="36"/>
        </w:rPr>
      </w:pPr>
      <w:r>
        <w:rPr>
          <w:rFonts w:hint="eastAsia" w:ascii="Times New Roman" w:hAnsi="Times New Roman" w:cs="Times New Roman"/>
          <w:kern w:val="0"/>
          <w:sz w:val="36"/>
          <w:szCs w:val="36"/>
        </w:rPr>
        <w:t xml:space="preserve">主管部门（公章）：自治区工业和信息化厅 </w:t>
      </w:r>
    </w:p>
    <w:p w14:paraId="5D841702">
      <w:pPr>
        <w:spacing w:line="700" w:lineRule="exact"/>
        <w:ind w:firstLine="1440" w:firstLineChars="400"/>
        <w:jc w:val="left"/>
        <w:rPr>
          <w:rFonts w:ascii="Times New Roman" w:hAnsi="Times New Roman" w:cs="Times New Roman"/>
          <w:kern w:val="0"/>
          <w:sz w:val="36"/>
          <w:szCs w:val="36"/>
        </w:rPr>
      </w:pPr>
      <w:r>
        <w:rPr>
          <w:rFonts w:hint="eastAsia" w:ascii="Times New Roman" w:hAnsi="Times New Roman" w:cs="Times New Roman"/>
          <w:kern w:val="0"/>
          <w:sz w:val="36"/>
          <w:szCs w:val="36"/>
        </w:rPr>
        <w:t>项目负责人（签章）：</w:t>
      </w:r>
      <w:r>
        <w:rPr>
          <w:rFonts w:hint="eastAsia" w:ascii="Times New Roman" w:hAnsi="Times New Roman" w:cs="Times New Roman"/>
          <w:kern w:val="0"/>
          <w:sz w:val="36"/>
          <w:szCs w:val="36"/>
          <w:lang w:val="en-US" w:eastAsia="zh-CN"/>
        </w:rPr>
        <w:t>唐昌禧</w:t>
      </w:r>
    </w:p>
    <w:p w14:paraId="711F42CF">
      <w:pPr>
        <w:spacing w:line="700" w:lineRule="exact"/>
        <w:ind w:firstLine="1440" w:firstLineChars="400"/>
        <w:jc w:val="left"/>
        <w:rPr>
          <w:rFonts w:ascii="Times New Roman" w:hAnsi="Times New Roman" w:cs="Times New Roman"/>
          <w:kern w:val="0"/>
          <w:sz w:val="36"/>
          <w:szCs w:val="36"/>
          <w:lang w:val="en-US"/>
        </w:rPr>
      </w:pPr>
      <w:r>
        <w:rPr>
          <w:rFonts w:hint="eastAsia" w:ascii="Times New Roman" w:hAnsi="Times New Roman" w:cs="Times New Roman"/>
          <w:kern w:val="0"/>
          <w:sz w:val="36"/>
          <w:szCs w:val="36"/>
        </w:rPr>
        <w:t>填报时间：202</w:t>
      </w:r>
      <w:r>
        <w:rPr>
          <w:rFonts w:hint="eastAsia" w:ascii="Times New Roman" w:hAnsi="Times New Roman" w:cs="Times New Roman"/>
          <w:kern w:val="0"/>
          <w:sz w:val="36"/>
          <w:szCs w:val="36"/>
          <w:lang w:val="en-US" w:eastAsia="zh-CN"/>
        </w:rPr>
        <w:t>4</w:t>
      </w:r>
      <w:r>
        <w:rPr>
          <w:rFonts w:hint="eastAsia" w:ascii="Times New Roman" w:hAnsi="Times New Roman" w:cs="Times New Roman"/>
          <w:kern w:val="0"/>
          <w:sz w:val="36"/>
          <w:szCs w:val="36"/>
        </w:rPr>
        <w:t>年</w:t>
      </w:r>
      <w:r>
        <w:rPr>
          <w:rFonts w:hint="eastAsia" w:ascii="Times New Roman" w:hAnsi="Times New Roman" w:cs="Times New Roman"/>
          <w:kern w:val="0"/>
          <w:sz w:val="36"/>
          <w:szCs w:val="36"/>
          <w:lang w:val="en-US" w:eastAsia="zh-CN"/>
        </w:rPr>
        <w:t>3</w:t>
      </w:r>
      <w:r>
        <w:rPr>
          <w:rFonts w:hint="eastAsia" w:ascii="Times New Roman" w:hAnsi="Times New Roman" w:cs="Times New Roman"/>
          <w:kern w:val="0"/>
          <w:sz w:val="36"/>
          <w:szCs w:val="36"/>
        </w:rPr>
        <w:t>月</w:t>
      </w:r>
      <w:r>
        <w:rPr>
          <w:rFonts w:hint="eastAsia" w:ascii="Times New Roman" w:hAnsi="Times New Roman" w:cs="Times New Roman"/>
          <w:kern w:val="0"/>
          <w:sz w:val="36"/>
          <w:szCs w:val="36"/>
          <w:lang w:val="en-US" w:eastAsia="zh-CN"/>
        </w:rPr>
        <w:t>10日</w:t>
      </w:r>
    </w:p>
    <w:p w14:paraId="7905C3C1">
      <w:pPr>
        <w:jc w:val="center"/>
        <w:rPr>
          <w:rFonts w:ascii="宋体" w:hAnsi="宋体" w:eastAsia="宋体" w:cs="Arial"/>
          <w:b/>
          <w:bCs/>
          <w:sz w:val="36"/>
          <w:szCs w:val="36"/>
        </w:rPr>
      </w:pPr>
    </w:p>
    <w:p w14:paraId="51B65054">
      <w:pPr>
        <w:widowControl/>
        <w:jc w:val="left"/>
        <w:rPr>
          <w:rFonts w:ascii="宋体" w:hAnsi="宋体" w:eastAsia="宋体" w:cs="Arial"/>
          <w:b/>
          <w:bCs/>
          <w:sz w:val="36"/>
          <w:szCs w:val="36"/>
        </w:rPr>
      </w:pPr>
      <w:r>
        <w:rPr>
          <w:rFonts w:ascii="宋体" w:hAnsi="宋体" w:eastAsia="宋体" w:cs="Arial"/>
          <w:b/>
          <w:bCs/>
          <w:sz w:val="36"/>
          <w:szCs w:val="36"/>
        </w:rPr>
        <w:br w:type="page"/>
      </w:r>
    </w:p>
    <w:p w14:paraId="61D15F1A">
      <w:pPr>
        <w:pStyle w:val="18"/>
        <w:jc w:val="center"/>
        <w:rPr>
          <w:rFonts w:ascii="宋体" w:hAnsi="宋体"/>
          <w:b/>
          <w:bCs/>
          <w:color w:val="auto"/>
          <w:lang w:val="zh-CN"/>
        </w:rPr>
      </w:pPr>
      <w:r>
        <w:rPr>
          <w:rFonts w:ascii="宋体" w:hAnsi="宋体"/>
          <w:b/>
          <w:bCs/>
          <w:color w:val="auto"/>
          <w:lang w:val="zh-CN"/>
        </w:rPr>
        <w:t>目</w:t>
      </w:r>
      <w:r>
        <w:rPr>
          <w:rFonts w:hint="eastAsia" w:ascii="宋体" w:hAnsi="宋体"/>
          <w:b/>
          <w:bCs/>
          <w:color w:val="auto"/>
        </w:rPr>
        <w:t xml:space="preserve"> </w:t>
      </w:r>
      <w:r>
        <w:rPr>
          <w:rFonts w:ascii="宋体" w:hAnsi="宋体"/>
          <w:b/>
          <w:bCs/>
          <w:color w:val="auto"/>
          <w:lang w:val="zh-CN"/>
        </w:rPr>
        <w:t>录</w:t>
      </w:r>
    </w:p>
    <w:p w14:paraId="30C1CEF4">
      <w:pPr>
        <w:rPr>
          <w:lang w:val="zh-CN"/>
        </w:rPr>
      </w:pPr>
    </w:p>
    <w:p w14:paraId="32660A23">
      <w:pPr>
        <w:pStyle w:val="8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"_Toc68702112" </w:instrText>
      </w:r>
      <w:r>
        <w:fldChar w:fldCharType="separate"/>
      </w:r>
      <w:r>
        <w:rPr>
          <w:rStyle w:val="13"/>
          <w:rFonts w:ascii="宋体" w:hAnsi="宋体"/>
        </w:rPr>
        <w:t>一、基本情况</w:t>
      </w:r>
      <w:r>
        <w:tab/>
      </w:r>
      <w:r>
        <w:fldChar w:fldCharType="begin"/>
      </w:r>
      <w:r>
        <w:instrText xml:space="preserve"> PAGEREF _Toc68702112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7FFEE99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"_Toc68702113" </w:instrText>
      </w:r>
      <w:r>
        <w:fldChar w:fldCharType="separate"/>
      </w:r>
      <w:r>
        <w:rPr>
          <w:rStyle w:val="13"/>
          <w:rFonts w:ascii="仿宋_GB2312" w:eastAsia="仿宋_GB2312"/>
        </w:rPr>
        <w:t>（一）项目概况</w:t>
      </w:r>
      <w:r>
        <w:tab/>
      </w:r>
      <w:r>
        <w:fldChar w:fldCharType="begin"/>
      </w:r>
      <w:r>
        <w:instrText xml:space="preserve"> PAGEREF _Toc68702113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90650F6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"_Toc68702114" </w:instrText>
      </w:r>
      <w:r>
        <w:fldChar w:fldCharType="separate"/>
      </w:r>
      <w:r>
        <w:rPr>
          <w:rStyle w:val="13"/>
          <w:rFonts w:ascii="仿宋_GB2312" w:eastAsia="仿宋_GB2312"/>
        </w:rPr>
        <w:t>（二）项目绩效目标</w:t>
      </w:r>
      <w:r>
        <w:tab/>
      </w:r>
      <w:r>
        <w:fldChar w:fldCharType="begin"/>
      </w:r>
      <w:r>
        <w:instrText xml:space="preserve"> PAGEREF _Toc68702114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DF1AE5D">
      <w:pPr>
        <w:pStyle w:val="8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"_Toc68702115" </w:instrText>
      </w:r>
      <w:r>
        <w:fldChar w:fldCharType="separate"/>
      </w:r>
      <w:r>
        <w:rPr>
          <w:rStyle w:val="13"/>
          <w:rFonts w:ascii="宋体" w:hAnsi="宋体"/>
        </w:rPr>
        <w:t>二、绩效评价工作开展情况</w:t>
      </w:r>
      <w:r>
        <w:tab/>
      </w:r>
      <w:r>
        <w:fldChar w:fldCharType="begin"/>
      </w:r>
      <w:r>
        <w:instrText xml:space="preserve"> PAGEREF _Toc68702115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502DF5D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"_Toc68702116" </w:instrText>
      </w:r>
      <w:r>
        <w:fldChar w:fldCharType="separate"/>
      </w:r>
      <w:r>
        <w:rPr>
          <w:rStyle w:val="13"/>
          <w:rFonts w:ascii="仿宋_GB2312" w:eastAsia="仿宋_GB2312"/>
        </w:rPr>
        <w:t>（一）绩效评价目的、对象和范围</w:t>
      </w:r>
      <w:r>
        <w:tab/>
      </w:r>
      <w:r>
        <w:fldChar w:fldCharType="begin"/>
      </w:r>
      <w:r>
        <w:instrText xml:space="preserve"> PAGEREF _Toc68702116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85B5C51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"_Toc68702117" </w:instrText>
      </w:r>
      <w:r>
        <w:fldChar w:fldCharType="separate"/>
      </w:r>
      <w:r>
        <w:rPr>
          <w:rStyle w:val="13"/>
          <w:rFonts w:ascii="仿宋_GB2312" w:eastAsia="仿宋_GB2312"/>
        </w:rPr>
        <w:t>（二）绩效评价原则、评价指标体系、评价方法、评价标准等</w:t>
      </w:r>
      <w:r>
        <w:tab/>
      </w:r>
      <w:r>
        <w:fldChar w:fldCharType="begin"/>
      </w:r>
      <w:r>
        <w:instrText xml:space="preserve"> PAGEREF _Toc68702117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A92F4D8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"_Toc68702118" </w:instrText>
      </w:r>
      <w:r>
        <w:fldChar w:fldCharType="separate"/>
      </w:r>
      <w:r>
        <w:rPr>
          <w:rStyle w:val="13"/>
          <w:rFonts w:ascii="仿宋_GB2312" w:eastAsia="仿宋_GB2312"/>
        </w:rPr>
        <w:t>（三）绩效评价工作过程</w:t>
      </w:r>
      <w:r>
        <w:tab/>
      </w:r>
      <w:r>
        <w:rPr>
          <w:rFonts w:hint="eastAsia"/>
        </w:rPr>
        <w:t>6</w:t>
      </w:r>
      <w:r>
        <w:rPr>
          <w:rFonts w:hint="eastAsia"/>
        </w:rPr>
        <w:fldChar w:fldCharType="end"/>
      </w:r>
    </w:p>
    <w:p w14:paraId="475BB269">
      <w:pPr>
        <w:pStyle w:val="8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"_Toc68702119" </w:instrText>
      </w:r>
      <w:r>
        <w:fldChar w:fldCharType="separate"/>
      </w:r>
      <w:r>
        <w:rPr>
          <w:rStyle w:val="13"/>
          <w:rFonts w:ascii="宋体" w:hAnsi="宋体"/>
        </w:rPr>
        <w:t>三、综合评价情况及评价结论</w:t>
      </w:r>
      <w:r>
        <w:tab/>
      </w:r>
      <w:r>
        <w:rPr>
          <w:rFonts w:hint="eastAsia"/>
        </w:rPr>
        <w:t>7</w:t>
      </w:r>
      <w:r>
        <w:rPr>
          <w:rFonts w:hint="eastAsia"/>
        </w:rPr>
        <w:fldChar w:fldCharType="end"/>
      </w:r>
    </w:p>
    <w:p w14:paraId="734D1EEF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"_Toc68702120" </w:instrText>
      </w:r>
      <w:r>
        <w:fldChar w:fldCharType="separate"/>
      </w:r>
      <w:r>
        <w:rPr>
          <w:rStyle w:val="13"/>
          <w:rFonts w:ascii="仿宋_GB2312" w:eastAsia="仿宋_GB2312"/>
        </w:rPr>
        <w:t>（一）综合评价情况</w:t>
      </w:r>
      <w:r>
        <w:tab/>
      </w:r>
      <w:r>
        <w:rPr>
          <w:rFonts w:hint="eastAsia"/>
        </w:rPr>
        <w:t>7</w:t>
      </w:r>
      <w:r>
        <w:rPr>
          <w:rFonts w:hint="eastAsia"/>
        </w:rPr>
        <w:fldChar w:fldCharType="end"/>
      </w:r>
    </w:p>
    <w:p w14:paraId="5599E086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"_Toc68702121" </w:instrText>
      </w:r>
      <w:r>
        <w:fldChar w:fldCharType="separate"/>
      </w:r>
      <w:r>
        <w:rPr>
          <w:rStyle w:val="13"/>
          <w:rFonts w:ascii="仿宋_GB2312" w:eastAsia="仿宋_GB2312"/>
        </w:rPr>
        <w:t>（二）评价结论</w:t>
      </w:r>
      <w:r>
        <w:tab/>
      </w:r>
      <w:r>
        <w:rPr>
          <w:rFonts w:hint="eastAsia"/>
        </w:rPr>
        <w:t>7</w:t>
      </w:r>
      <w:r>
        <w:rPr>
          <w:rFonts w:hint="eastAsia"/>
        </w:rPr>
        <w:fldChar w:fldCharType="end"/>
      </w:r>
    </w:p>
    <w:p w14:paraId="2CC3A21D">
      <w:pPr>
        <w:pStyle w:val="8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"_Toc68702122" </w:instrText>
      </w:r>
      <w:r>
        <w:fldChar w:fldCharType="separate"/>
      </w:r>
      <w:r>
        <w:rPr>
          <w:rStyle w:val="13"/>
          <w:rFonts w:ascii="宋体" w:hAnsi="宋体"/>
        </w:rPr>
        <w:t>四、绩效评价指标分析</w:t>
      </w:r>
      <w:r>
        <w:tab/>
      </w:r>
      <w:r>
        <w:rPr>
          <w:rFonts w:hint="eastAsia"/>
        </w:rPr>
        <w:t>8</w:t>
      </w:r>
      <w:r>
        <w:rPr>
          <w:rFonts w:hint="eastAsia"/>
        </w:rPr>
        <w:fldChar w:fldCharType="end"/>
      </w:r>
    </w:p>
    <w:p w14:paraId="4EF9ECE6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"_Toc68702123" </w:instrText>
      </w:r>
      <w:r>
        <w:fldChar w:fldCharType="separate"/>
      </w:r>
      <w:r>
        <w:rPr>
          <w:rStyle w:val="13"/>
          <w:rFonts w:ascii="仿宋_GB2312" w:eastAsia="仿宋_GB2312"/>
        </w:rPr>
        <w:t>（一）项目决策情况。</w:t>
      </w:r>
      <w:r>
        <w:tab/>
      </w:r>
      <w:r>
        <w:rPr>
          <w:rFonts w:hint="eastAsia"/>
        </w:rPr>
        <w:t>8</w:t>
      </w:r>
      <w:r>
        <w:rPr>
          <w:rFonts w:hint="eastAsia"/>
        </w:rPr>
        <w:fldChar w:fldCharType="end"/>
      </w:r>
    </w:p>
    <w:p w14:paraId="261E49F5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"_Toc68702124" </w:instrText>
      </w:r>
      <w:r>
        <w:fldChar w:fldCharType="separate"/>
      </w:r>
      <w:r>
        <w:rPr>
          <w:rStyle w:val="13"/>
          <w:rFonts w:ascii="仿宋_GB2312" w:eastAsia="仿宋_GB2312"/>
        </w:rPr>
        <w:t>（二）项目过程情况。</w:t>
      </w:r>
      <w:r>
        <w:tab/>
      </w:r>
      <w:r>
        <w:rPr>
          <w:rFonts w:hint="eastAsia"/>
        </w:rPr>
        <w:t>9</w:t>
      </w:r>
      <w:r>
        <w:rPr>
          <w:rFonts w:hint="eastAsia"/>
        </w:rPr>
        <w:fldChar w:fldCharType="end"/>
      </w:r>
    </w:p>
    <w:p w14:paraId="71F9F69E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"_Toc68702125" </w:instrText>
      </w:r>
      <w:r>
        <w:fldChar w:fldCharType="separate"/>
      </w:r>
      <w:r>
        <w:rPr>
          <w:rStyle w:val="13"/>
          <w:rFonts w:ascii="仿宋_GB2312" w:eastAsia="仿宋_GB2312"/>
        </w:rPr>
        <w:t>（三）项目产出情况。</w:t>
      </w:r>
      <w:r>
        <w:tab/>
      </w:r>
      <w:r>
        <w:rPr>
          <w:rFonts w:hint="eastAsia"/>
        </w:rPr>
        <w:t>1</w:t>
      </w:r>
      <w:r>
        <w:rPr>
          <w:rFonts w:hint="eastAsia"/>
        </w:rPr>
        <w:fldChar w:fldCharType="end"/>
      </w:r>
      <w:r>
        <w:rPr>
          <w:rFonts w:hint="eastAsia"/>
        </w:rPr>
        <w:t>0</w:t>
      </w:r>
    </w:p>
    <w:p w14:paraId="38E7BB23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"_Toc68702126" </w:instrText>
      </w:r>
      <w:r>
        <w:fldChar w:fldCharType="separate"/>
      </w:r>
      <w:r>
        <w:rPr>
          <w:rStyle w:val="13"/>
          <w:rFonts w:ascii="仿宋_GB2312" w:eastAsia="仿宋_GB2312"/>
        </w:rPr>
        <w:t>（四）项目效益情况。</w:t>
      </w:r>
      <w:r>
        <w:tab/>
      </w:r>
      <w:r>
        <w:rPr>
          <w:rFonts w:hint="eastAsia"/>
        </w:rPr>
        <w:t>1</w:t>
      </w:r>
      <w:r>
        <w:rPr>
          <w:rFonts w:hint="eastAsia"/>
        </w:rPr>
        <w:fldChar w:fldCharType="end"/>
      </w:r>
      <w:r>
        <w:rPr>
          <w:rFonts w:hint="eastAsia"/>
        </w:rPr>
        <w:t>1</w:t>
      </w:r>
    </w:p>
    <w:p w14:paraId="6099F36D">
      <w:pPr>
        <w:pStyle w:val="8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"_Toc68702127" </w:instrText>
      </w:r>
      <w:r>
        <w:fldChar w:fldCharType="separate"/>
      </w:r>
      <w:r>
        <w:rPr>
          <w:rStyle w:val="13"/>
          <w:rFonts w:ascii="宋体" w:hAnsi="宋体"/>
        </w:rPr>
        <w:t>五、主要经验及做法、存在的问题及原因分析</w:t>
      </w:r>
      <w:r>
        <w:tab/>
      </w:r>
      <w:r>
        <w:rPr>
          <w:rFonts w:hint="eastAsia"/>
        </w:rPr>
        <w:t>1</w:t>
      </w:r>
      <w:r>
        <w:rPr>
          <w:rFonts w:hint="eastAsia"/>
        </w:rPr>
        <w:fldChar w:fldCharType="end"/>
      </w:r>
      <w:r>
        <w:rPr>
          <w:rFonts w:hint="eastAsia"/>
        </w:rPr>
        <w:t>1</w:t>
      </w:r>
    </w:p>
    <w:p w14:paraId="296D6D65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"_Toc68702128" </w:instrText>
      </w:r>
      <w:r>
        <w:fldChar w:fldCharType="separate"/>
      </w:r>
      <w:r>
        <w:rPr>
          <w:rStyle w:val="13"/>
          <w:rFonts w:ascii="仿宋_GB2312" w:eastAsia="仿宋_GB2312"/>
        </w:rPr>
        <w:t>（一）主要经验及做法</w:t>
      </w:r>
      <w:r>
        <w:tab/>
      </w:r>
      <w:r>
        <w:rPr>
          <w:rFonts w:hint="eastAsia"/>
        </w:rPr>
        <w:t>1</w:t>
      </w:r>
      <w:r>
        <w:rPr>
          <w:rFonts w:hint="eastAsia"/>
        </w:rPr>
        <w:fldChar w:fldCharType="end"/>
      </w:r>
      <w:r>
        <w:rPr>
          <w:rFonts w:hint="eastAsia"/>
        </w:rPr>
        <w:t>1</w:t>
      </w:r>
    </w:p>
    <w:p w14:paraId="53D7CE8A">
      <w:pPr>
        <w:pStyle w:val="9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"_Toc68702129" </w:instrText>
      </w:r>
      <w:r>
        <w:fldChar w:fldCharType="separate"/>
      </w:r>
      <w:r>
        <w:rPr>
          <w:rStyle w:val="13"/>
          <w:rFonts w:ascii="仿宋_GB2312" w:eastAsia="仿宋_GB2312"/>
        </w:rPr>
        <w:t>（二）存在的问题及原因分析</w:t>
      </w:r>
      <w:r>
        <w:tab/>
      </w:r>
      <w:r>
        <w:rPr>
          <w:rFonts w:hint="eastAsia"/>
        </w:rPr>
        <w:t>1</w:t>
      </w:r>
      <w:r>
        <w:rPr>
          <w:rFonts w:hint="eastAsia"/>
        </w:rPr>
        <w:fldChar w:fldCharType="end"/>
      </w:r>
      <w:r>
        <w:rPr>
          <w:rFonts w:hint="eastAsia"/>
        </w:rPr>
        <w:t>1</w:t>
      </w:r>
    </w:p>
    <w:p w14:paraId="2377FC3D">
      <w:pPr>
        <w:pStyle w:val="8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"_Toc68702130" </w:instrText>
      </w:r>
      <w:r>
        <w:fldChar w:fldCharType="separate"/>
      </w:r>
      <w:r>
        <w:rPr>
          <w:rStyle w:val="13"/>
          <w:rFonts w:ascii="宋体" w:hAnsi="宋体"/>
        </w:rPr>
        <w:t>六、有关建议</w:t>
      </w:r>
      <w:r>
        <w:tab/>
      </w:r>
      <w:r>
        <w:rPr>
          <w:rFonts w:hint="eastAsia"/>
        </w:rPr>
        <w:t>1</w:t>
      </w:r>
      <w:r>
        <w:rPr>
          <w:rFonts w:hint="eastAsia"/>
        </w:rPr>
        <w:fldChar w:fldCharType="end"/>
      </w:r>
      <w:r>
        <w:rPr>
          <w:rFonts w:hint="eastAsia"/>
        </w:rPr>
        <w:t>2</w:t>
      </w:r>
    </w:p>
    <w:p w14:paraId="4236DAB6">
      <w:pPr>
        <w:pStyle w:val="8"/>
        <w:tabs>
          <w:tab w:val="right" w:leader="dot" w:pos="8834"/>
        </w:tabs>
        <w:rPr>
          <w:rFonts w:cs="Times New Roman"/>
          <w:kern w:val="2"/>
          <w:sz w:val="21"/>
        </w:rPr>
      </w:pPr>
      <w:r>
        <w:fldChar w:fldCharType="begin"/>
      </w:r>
      <w:r>
        <w:instrText xml:space="preserve"> HYPERLINK \l "_Toc68702131" </w:instrText>
      </w:r>
      <w:r>
        <w:fldChar w:fldCharType="separate"/>
      </w:r>
      <w:r>
        <w:rPr>
          <w:rStyle w:val="13"/>
          <w:rFonts w:ascii="宋体" w:hAnsi="宋体"/>
        </w:rPr>
        <w:t>七、其他需要说明的问题</w:t>
      </w:r>
      <w:r>
        <w:tab/>
      </w:r>
      <w:r>
        <w:rPr>
          <w:rFonts w:hint="eastAsia"/>
        </w:rPr>
        <w:t>1</w:t>
      </w:r>
      <w:r>
        <w:rPr>
          <w:rFonts w:hint="eastAsia"/>
        </w:rPr>
        <w:fldChar w:fldCharType="end"/>
      </w:r>
      <w:r>
        <w:rPr>
          <w:rFonts w:hint="eastAsia"/>
        </w:rPr>
        <w:t>2</w:t>
      </w:r>
    </w:p>
    <w:p w14:paraId="0CEFA76C">
      <w:pPr>
        <w:snapToGrid w:val="0"/>
        <w:rPr>
          <w:b/>
          <w:bCs/>
          <w:lang w:val="zh-CN"/>
        </w:rPr>
      </w:pPr>
      <w:r>
        <w:rPr>
          <w:b/>
          <w:bCs/>
          <w:lang w:val="zh-CN"/>
        </w:rPr>
        <w:fldChar w:fldCharType="end"/>
      </w:r>
    </w:p>
    <w:p w14:paraId="43647F9D">
      <w:pPr>
        <w:snapToGrid w:val="0"/>
        <w:rPr>
          <w:b/>
          <w:bCs/>
          <w:lang w:val="zh-CN"/>
        </w:rPr>
      </w:pPr>
    </w:p>
    <w:p w14:paraId="3FDACD1E"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 w14:paraId="375523FD"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弥补商品服务支出项目支出</w:t>
      </w:r>
    </w:p>
    <w:p w14:paraId="5B932C62"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绩效评价报告</w:t>
      </w:r>
    </w:p>
    <w:p w14:paraId="2BA660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ascii="黑体" w:hAnsi="黑体" w:eastAsia="黑体" w:cs="黑体"/>
          <w:b/>
          <w:bCs/>
          <w:sz w:val="44"/>
          <w:szCs w:val="44"/>
        </w:rPr>
      </w:pPr>
    </w:p>
    <w:p w14:paraId="2D7E67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一、基本情况</w:t>
      </w:r>
    </w:p>
    <w:p w14:paraId="5AA19E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（一）项目概况</w:t>
      </w:r>
    </w:p>
    <w:p w14:paraId="553827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Cs w:val="0"/>
          <w:spacing w:val="-4"/>
          <w:sz w:val="32"/>
          <w:szCs w:val="32"/>
        </w:rPr>
        <w:t>1.项目背景：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学院是自治区首批成立的公办普通高等职业院校，隶属于自治区经济和信息化委员会，是国家骨干示范高等职业院校，全国首批百所现代学徒制试点高职院校，新疆第二产业职教园区牵头建设单位。学院的主要工作职责是根据国家和自治区的教育方针政策，紧紧围绕自治区新型工业化建设，开展高等职业教育和职业技能培训，培养各类技能型人才，更好地为区域社会稳定和经济发展服务。鉴于学院公用经费不足，需要用预算外资金进行弥补，特设立本项目，以保障学院师生生活教学正常进行，维持校园秩序稳定。</w:t>
      </w:r>
    </w:p>
    <w:p w14:paraId="1B5AAC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rPr>
          <w:rStyle w:val="12"/>
          <w:rFonts w:hint="eastAsia" w:ascii="仿宋" w:hAnsi="仿宋" w:eastAsia="仿宋" w:cs="仿宋"/>
          <w:bCs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Cs w:val="0"/>
          <w:spacing w:val="-4"/>
          <w:sz w:val="32"/>
          <w:szCs w:val="32"/>
        </w:rPr>
        <w:t>2.项目主要内容：</w:t>
      </w:r>
    </w:p>
    <w:p w14:paraId="38E3F8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项目主要内容：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为保障学院师生生活教学正常进行，维持校园秩序稳定，特设立本项目，以弥补学院公用经费不足，主要用于采购宿舍楼桌椅床等家具、办公家具、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劳务费、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临时突发事项经费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等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，改善学院办学条件。</w:t>
      </w:r>
    </w:p>
    <w:p w14:paraId="16088566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outlineLvl w:val="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3.资金投入和使用情况：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（1）资金投入情况</w:t>
      </w:r>
    </w:p>
    <w:p w14:paraId="0BAA11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该项目年初预算数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6652.38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万元，全年预算数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6652.38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万元，实际总投入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6652.38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万元，该项目资金已全部落实到位，资金来源为财政专户资金。</w:t>
      </w:r>
    </w:p>
    <w:p w14:paraId="007F7B36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（2）资金使用情况</w:t>
      </w:r>
    </w:p>
    <w:p w14:paraId="6542BA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该项目年初预算数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6652.38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万元，全年预算数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6652.38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万元，全年执行数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6005.77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万元，预算执行率为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90.28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% ，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主要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用于：采购宿舍楼桌椅床等家具、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劳务费、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临时突发事项经费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等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。</w:t>
      </w:r>
    </w:p>
    <w:p w14:paraId="3111616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项目绩效目标</w:t>
      </w:r>
    </w:p>
    <w:p w14:paraId="08B804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1.总体目标：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保障学院师生生活教学正常进行，维持校园秩序稳定，紧紧围绕社会稳定和长治久安总目标，扎实推进各项工作。</w:t>
      </w:r>
    </w:p>
    <w:p w14:paraId="4F12F0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2.阶段性目标：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通过项目实施，有序将到位资金逐步执行完毕，保障资金的使用效率。</w:t>
      </w:r>
    </w:p>
    <w:p w14:paraId="24C98B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二、绩效评价工作开展情况</w:t>
      </w:r>
    </w:p>
    <w:p w14:paraId="07D4CC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（一）绩效评价目的、对象和范围</w:t>
      </w:r>
    </w:p>
    <w:p w14:paraId="0CA2A1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1.绩效评价目的：</w:t>
      </w:r>
    </w:p>
    <w:p w14:paraId="35047E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绩效评价运用科学、规范的绩效评价方法，制定统一的评价标准，使资金得到事前、事中和事后多方面的控制。绩效评价贯穿于支出安排和实施的全过程，是对财政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专户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支出效益、管理水平、投入风险等方面的综合评价；是发挥财政调控功能、提高财政资金安排科学性、促进财政支持社会经济目标实现的重要保证。</w:t>
      </w:r>
    </w:p>
    <w:p w14:paraId="6CA9DE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（1）项目在实施前向项目负责人提供财政支出绩效方面的资金管理信息，促进项目支出严格按照资金管理规定进行。</w:t>
      </w:r>
    </w:p>
    <w:p w14:paraId="2C5E66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（2）项目绩效管理财政支出运行提供及时、有效的信息。</w:t>
      </w:r>
    </w:p>
    <w:p w14:paraId="1CAEFD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</w:p>
    <w:p w14:paraId="57123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2.绩效评价对象：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弥补商品服务支出项目所包含的全部项目内容。</w:t>
      </w:r>
    </w:p>
    <w:p w14:paraId="09A412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3.绩效评价范围：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进行弥补商品服务支出评价，评价核心为专项资金的支出完成情况和效果。</w:t>
      </w:r>
    </w:p>
    <w:p w14:paraId="5D65D90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（二）绩效评价原则、评价指标体系、评价方法、评价标准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。</w:t>
      </w:r>
    </w:p>
    <w:p w14:paraId="108DF8E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24" w:firstLineChars="200"/>
        <w:jc w:val="both"/>
        <w:textAlignment w:val="auto"/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  <w:t>1.绩效评价原则：</w:t>
      </w:r>
    </w:p>
    <w:p w14:paraId="6FD3974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936" w:firstLineChars="300"/>
        <w:jc w:val="both"/>
        <w:textAlignment w:val="auto"/>
        <w:rPr>
          <w:rStyle w:val="12"/>
          <w:rFonts w:hint="eastAsia" w:ascii="仿宋" w:hAnsi="仿宋" w:eastAsia="仿宋" w:cs="仿宋"/>
          <w:b/>
          <w:bCs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  <w:t>本次项目绩效评价遵循以下基本原则：</w:t>
      </w:r>
    </w:p>
    <w:p w14:paraId="77289D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both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（1）科学公正。绩效评价应当运用科学合理的方法，按照规范的程序对项目绩效进行客观公正的反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映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。</w:t>
      </w:r>
    </w:p>
    <w:p w14:paraId="30F808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both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62CE68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（3）激励约束。绩效评价结果应与预算安排，政策调整改进管理实质性挂钩体现奖优罚劣和激励相容，有效要安排、低效要压减、无效要问责。</w:t>
      </w:r>
    </w:p>
    <w:p w14:paraId="03B069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（4）公开透明。绩效评价结果应依法依规公开，并自觉接受社会监督。 </w:t>
      </w:r>
    </w:p>
    <w:p w14:paraId="7E8390E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24" w:firstLineChars="200"/>
        <w:jc w:val="both"/>
        <w:textAlignment w:val="auto"/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  <w:t>2.评价指标体系：</w:t>
      </w:r>
    </w:p>
    <w:p w14:paraId="00FC8D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74D1AB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（1）确定评价指标</w:t>
      </w:r>
    </w:p>
    <w:p w14:paraId="51AA2F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218381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（2）确定权重</w:t>
      </w:r>
    </w:p>
    <w:p w14:paraId="685A7E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5D234C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（3）确定指标标准值</w:t>
      </w:r>
    </w:p>
    <w:p w14:paraId="2D5B9A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633FD3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3.绩效评价方法：绩效评价从项目决策、项目过程、项目产出、项目效益四个维度进行评价。评价对象为项目目标实施情况，  评价核心为资金的支出完成情况和项目的产出效益。</w:t>
      </w:r>
    </w:p>
    <w:p w14:paraId="04F83B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7BF535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（1）比较法</w:t>
      </w:r>
    </w:p>
    <w:p w14:paraId="3BDB79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通过对绩效目标与实施效果、历史与当期情况，综合分析绩效目标实现程度。对项目最终验收情况与年度绩效目标对比、预算资金执行情况等相关因素进行比较。</w:t>
      </w:r>
    </w:p>
    <w:p w14:paraId="5E5FAB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（2）因素分析法</w:t>
      </w:r>
    </w:p>
    <w:p w14:paraId="4D4C7D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</w:t>
      </w:r>
    </w:p>
    <w:p w14:paraId="6A5079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4.评价标准：本次绩效评价的评价标准主要采用的是计划标准、行业标准，评价指标都是以预先制定的目标、计划和预算指标估为评价标准。</w:t>
      </w:r>
    </w:p>
    <w:p w14:paraId="335B3B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55" w:firstLineChars="100"/>
        <w:textAlignment w:val="auto"/>
        <w:outlineLvl w:val="0"/>
        <w:rPr>
          <w:rFonts w:hint="eastAsia" w:ascii="楷体" w:hAnsi="楷体" w:eastAsia="楷体" w:cs="楷体"/>
          <w:b/>
          <w:bCs/>
          <w:color w:val="000000"/>
          <w:spacing w:val="17"/>
          <w:kern w:val="28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000000"/>
          <w:spacing w:val="17"/>
          <w:kern w:val="28"/>
          <w:sz w:val="32"/>
          <w:szCs w:val="32"/>
          <w:lang w:val="en-US" w:eastAsia="zh-CN" w:bidi="ar-SA"/>
        </w:rPr>
        <w:t>（三）绩效评价工作过程</w:t>
      </w:r>
    </w:p>
    <w:p w14:paraId="20ED7A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jc w:val="left"/>
        <w:textAlignment w:val="auto"/>
        <w:rPr>
          <w:rStyle w:val="12"/>
          <w:rFonts w:hint="eastAsia" w:ascii="仿宋" w:hAnsi="仿宋" w:eastAsia="仿宋" w:cs="仿宋"/>
          <w:bCs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Cs w:val="0"/>
          <w:spacing w:val="-4"/>
          <w:sz w:val="32"/>
          <w:szCs w:val="32"/>
        </w:rPr>
        <w:t>1.前期准备。</w:t>
      </w:r>
    </w:p>
    <w:p w14:paraId="67A0B7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jc w:val="left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</w:p>
    <w:p w14:paraId="56435D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Style w:val="12"/>
          <w:rFonts w:hint="eastAsia" w:ascii="仿宋" w:hAnsi="仿宋" w:eastAsia="仿宋" w:cs="仿宋"/>
          <w:bCs w:val="0"/>
          <w:spacing w:val="-4"/>
          <w:sz w:val="32"/>
          <w:szCs w:val="32"/>
          <w:lang w:val="en-US" w:eastAsia="zh-CN"/>
        </w:rPr>
        <w:t>2.</w:t>
      </w:r>
      <w:r>
        <w:rPr>
          <w:rStyle w:val="12"/>
          <w:rFonts w:hint="eastAsia" w:ascii="仿宋" w:hAnsi="仿宋" w:eastAsia="仿宋" w:cs="仿宋"/>
          <w:bCs w:val="0"/>
          <w:spacing w:val="-4"/>
          <w:sz w:val="32"/>
          <w:szCs w:val="32"/>
        </w:rPr>
        <w:t>组织实施。</w:t>
      </w:r>
      <w:r>
        <w:rPr>
          <w:rFonts w:hint="eastAsia" w:eastAsia="仿宋_GB2312"/>
          <w:bCs/>
          <w:sz w:val="32"/>
          <w:szCs w:val="32"/>
        </w:rPr>
        <w:t>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</w:p>
    <w:p w14:paraId="647D86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rPr>
          <w:sz w:val="32"/>
          <w:szCs w:val="32"/>
        </w:rPr>
      </w:pPr>
      <w:r>
        <w:rPr>
          <w:rStyle w:val="12"/>
          <w:rFonts w:hint="eastAsia" w:ascii="仿宋" w:hAnsi="仿宋" w:eastAsia="仿宋" w:cs="仿宋"/>
          <w:bCs w:val="0"/>
          <w:spacing w:val="-4"/>
          <w:sz w:val="32"/>
          <w:szCs w:val="32"/>
          <w:lang w:val="en-US" w:eastAsia="zh-CN"/>
        </w:rPr>
        <w:t>3.分析评价。</w:t>
      </w:r>
      <w:r>
        <w:rPr>
          <w:rFonts w:hint="eastAsia" w:eastAsia="仿宋_GB2312"/>
          <w:bCs/>
          <w:sz w:val="32"/>
          <w:szCs w:val="32"/>
        </w:rPr>
        <w:t>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 w14:paraId="5F1F02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三、综合评价情况及评价结论（附相关评分表）</w:t>
      </w:r>
    </w:p>
    <w:p w14:paraId="18A176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Style w:val="12"/>
          <w:rFonts w:hint="eastAsia" w:ascii="仿宋_GB2312" w:hAnsi="仿宋_GB2312" w:cs="仿宋_GB2312"/>
          <w:bCs w:val="0"/>
          <w:spacing w:val="-4"/>
          <w:sz w:val="32"/>
          <w:szCs w:val="32"/>
        </w:rPr>
        <w:t>（一）综合评价情况 项</w:t>
      </w:r>
      <w:r>
        <w:rPr>
          <w:rFonts w:hint="eastAsia" w:eastAsia="仿宋_GB2312"/>
          <w:bCs/>
          <w:sz w:val="32"/>
          <w:szCs w:val="32"/>
        </w:rPr>
        <w:t>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</w:p>
    <w:p w14:paraId="471131E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firstLine="643" w:firstLineChars="200"/>
        <w:jc w:val="both"/>
        <w:textAlignment w:val="auto"/>
        <w:rPr>
          <w:rFonts w:hint="eastAsia" w:ascii="Times New Roman" w:hAnsi="Times New Roman" w:eastAsia="楷体_GB2312" w:cs="Times New Roman"/>
          <w:lang w:val="en-US" w:eastAsia="zh-CN"/>
        </w:rPr>
      </w:pPr>
      <w:r>
        <w:rPr>
          <w:rFonts w:hint="eastAsia" w:ascii="Times New Roman" w:hAnsi="Times New Roman" w:eastAsia="楷体_GB2312" w:cs="Times New Roman"/>
          <w:lang w:eastAsia="zh-CN"/>
        </w:rPr>
        <w:t>（</w:t>
      </w:r>
      <w:r>
        <w:rPr>
          <w:rFonts w:hint="eastAsia" w:ascii="Times New Roman" w:hAnsi="Times New Roman" w:eastAsia="楷体_GB2312" w:cs="Times New Roman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lang w:eastAsia="zh-CN"/>
        </w:rPr>
        <w:t>）</w:t>
      </w:r>
      <w:r>
        <w:rPr>
          <w:rFonts w:hint="eastAsia" w:ascii="Times New Roman" w:hAnsi="Times New Roman" w:eastAsia="楷体_GB2312" w:cs="Times New Roman"/>
          <w:lang w:val="en-US" w:eastAsia="zh-CN"/>
        </w:rPr>
        <w:t>评价结论</w:t>
      </w:r>
    </w:p>
    <w:p w14:paraId="38E6AD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jc w:val="left"/>
        <w:textAlignment w:val="auto"/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zh-CN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90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zh-CN"/>
        </w:rPr>
        <w:t>分，属于“优”。其中，项目决策类指标权重为20分，得分为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20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zh-CN"/>
        </w:rPr>
        <w:t>分，得分率100% 。项目过程类指标权重为20分，得分为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18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zh-CN"/>
        </w:rPr>
        <w:t>分，得分率为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90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zh-CN"/>
        </w:rPr>
        <w:t>%。项目产出类指标权重为40分，得分为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40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zh-CN"/>
        </w:rPr>
        <w:t>分，得分率为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100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zh-CN"/>
        </w:rPr>
        <w:t>%。项目效益类指标权重为20分，得分为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20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zh-CN"/>
        </w:rPr>
        <w:t>分，得分率为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100</w:t>
      </w: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  <w:lang w:val="zh-CN"/>
        </w:rPr>
        <w:t>%。</w:t>
      </w:r>
    </w:p>
    <w:p w14:paraId="60A0D19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/>
        <w:textAlignment w:val="auto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表1综合评分表</w:t>
      </w:r>
    </w:p>
    <w:tbl>
      <w:tblPr>
        <w:tblStyle w:val="10"/>
        <w:tblW w:w="7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7"/>
        <w:gridCol w:w="2168"/>
        <w:gridCol w:w="2278"/>
      </w:tblGrid>
      <w:tr w14:paraId="72A6A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26FD86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一级指标</w:t>
            </w:r>
          </w:p>
        </w:tc>
        <w:tc>
          <w:tcPr>
            <w:tcW w:w="2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10735F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权重分</w:t>
            </w:r>
          </w:p>
        </w:tc>
        <w:tc>
          <w:tcPr>
            <w:tcW w:w="2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3FB17D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得分</w:t>
            </w:r>
          </w:p>
        </w:tc>
      </w:tr>
      <w:tr w14:paraId="66175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65A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项目决策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654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E97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</w:tr>
      <w:tr w14:paraId="2A5EC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128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项目过程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812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6FA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18</w:t>
            </w:r>
          </w:p>
        </w:tc>
      </w:tr>
      <w:tr w14:paraId="59F8B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110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项目产出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8C7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FB1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40</w:t>
            </w:r>
          </w:p>
        </w:tc>
      </w:tr>
      <w:tr w14:paraId="0D435F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1BC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项目效益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B6F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9F2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eastAsia="仿宋_GB2312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</w:tr>
      <w:tr w14:paraId="12CA5A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E5A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cs="宋体"/>
                <w:b/>
                <w:bCs/>
                <w:color w:val="000000"/>
                <w:sz w:val="22"/>
              </w:rPr>
            </w:pPr>
            <w:r>
              <w:rPr>
                <w:rFonts w:hint="eastAsia" w:cs="宋体"/>
                <w:b/>
                <w:bCs/>
                <w:color w:val="000000"/>
                <w:sz w:val="22"/>
              </w:rPr>
              <w:t>合计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0DF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default" w:eastAsia="宋体"/>
                <w:b/>
                <w:bCs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lang w:val="en-US" w:eastAsia="zh-CN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151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eastAsia="仿宋_GB2312"/>
                <w:b/>
                <w:bCs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lang w:val="en-US" w:eastAsia="zh-CN"/>
              </w:rPr>
              <w:t>98</w:t>
            </w:r>
          </w:p>
        </w:tc>
      </w:tr>
    </w:tbl>
    <w:p w14:paraId="26CAC00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/>
        <w:textAlignment w:val="auto"/>
      </w:pPr>
    </w:p>
    <w:p w14:paraId="6F994D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四、绩效评价指标分析</w:t>
      </w:r>
    </w:p>
    <w:p w14:paraId="7F908A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（一）项目决策情况</w:t>
      </w:r>
    </w:p>
    <w:p w14:paraId="13BA23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项目决策类指标包括项目立项、绩效目标和资金投入三方面的内容，由6个三级指标构成，权重分值为20分，实际得分20分，得分率为100%。</w:t>
      </w:r>
    </w:p>
    <w:p w14:paraId="3F285B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12" w:firstLineChars="100"/>
        <w:jc w:val="left"/>
        <w:textAlignment w:val="auto"/>
        <w:outlineLvl w:val="9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（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1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）立项依据充分性</w:t>
      </w:r>
    </w:p>
    <w:p w14:paraId="58C08B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jc w:val="left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35D50F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" w:firstLineChars="100"/>
        <w:jc w:val="left"/>
        <w:textAlignment w:val="auto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立项程序规范性</w:t>
      </w:r>
    </w:p>
    <w:p w14:paraId="71E135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left"/>
        <w:textAlignment w:val="auto"/>
        <w:outlineLvl w:val="9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[根据单位实际情况，进行选择保留，保障了程序的规范性。2.绩效目标</w:t>
      </w:r>
    </w:p>
    <w:p w14:paraId="32D776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left"/>
        <w:textAlignment w:val="auto"/>
        <w:outlineLvl w:val="9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（1）绩效目标合理性</w:t>
      </w:r>
    </w:p>
    <w:p w14:paraId="261062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left"/>
        <w:textAlignment w:val="auto"/>
        <w:outlineLvl w:val="9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6A307A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left"/>
        <w:textAlignment w:val="auto"/>
        <w:outlineLvl w:val="9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（2）绩效指标明确性</w:t>
      </w:r>
    </w:p>
    <w:p w14:paraId="6CBEC5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left"/>
        <w:textAlignment w:val="auto"/>
        <w:outlineLvl w:val="9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168496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left"/>
        <w:textAlignment w:val="auto"/>
        <w:outlineLvl w:val="9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3.资金投入</w:t>
      </w:r>
    </w:p>
    <w:p w14:paraId="0EC33C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left"/>
        <w:textAlignment w:val="auto"/>
        <w:outlineLvl w:val="9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（1）预算编制科学性</w:t>
      </w:r>
    </w:p>
    <w:p w14:paraId="12AF93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left"/>
        <w:textAlignment w:val="auto"/>
        <w:outlineLvl w:val="9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预算编制经过科学论证，提供充分的测算依据佐证资料，预算内容与项目内容相匹配。项目投资额与工作任务相匹配。</w:t>
      </w:r>
    </w:p>
    <w:p w14:paraId="39B07D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left"/>
        <w:textAlignment w:val="auto"/>
        <w:outlineLvl w:val="9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（2）资金分配合理性</w:t>
      </w:r>
    </w:p>
    <w:p w14:paraId="60D96F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left"/>
        <w:textAlignment w:val="auto"/>
        <w:outlineLvl w:val="9"/>
        <w:rPr>
          <w:rStyle w:val="12"/>
          <w:rFonts w:ascii="仿宋" w:hAnsi="仿宋" w:eastAsia="仿宋" w:cs="仿宋"/>
          <w:bCs w:val="0"/>
          <w:spacing w:val="-4"/>
          <w:sz w:val="32"/>
          <w:szCs w:val="32"/>
          <w:lang w:val="zh-CN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zh-CN"/>
        </w:rPr>
        <w:t>资金分配额度与项目单位实际工作内容相适应，资金分配额度合理，资金分配依据充分。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 xml:space="preserve">          </w:t>
      </w:r>
    </w:p>
    <w:p w14:paraId="04DA897C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项目过程情况</w:t>
      </w:r>
    </w:p>
    <w:p w14:paraId="44C7640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24" w:firstLineChars="200"/>
        <w:jc w:val="both"/>
        <w:textAlignment w:val="auto"/>
        <w:outlineLvl w:val="0"/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zh-CN" w:eastAsia="zh-CN" w:bidi="ar-SA"/>
        </w:rPr>
        <w:t>项目过程类指标包括资金管理和组织实施两方面的内容，由5个三级指标构成，权重分值为20分，实际得分</w:t>
      </w: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  <w:t>18</w:t>
      </w: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zh-CN" w:eastAsia="zh-CN" w:bidi="ar-SA"/>
        </w:rPr>
        <w:t>分，得分率为</w:t>
      </w: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  <w:t>90</w:t>
      </w: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zh-CN" w:eastAsia="zh-CN" w:bidi="ar-SA"/>
        </w:rPr>
        <w:t>%。</w:t>
      </w: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  <w:t xml:space="preserve"> </w:t>
      </w:r>
    </w:p>
    <w:p w14:paraId="5DFB412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24" w:firstLineChars="200"/>
        <w:jc w:val="both"/>
        <w:textAlignment w:val="auto"/>
        <w:outlineLvl w:val="0"/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zh-CN" w:eastAsia="zh-CN" w:bidi="ar-SA"/>
        </w:rPr>
      </w:pP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zh-CN" w:eastAsia="zh-CN" w:bidi="ar-SA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66183EB5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（1）资金到位率</w:t>
      </w:r>
    </w:p>
    <w:p w14:paraId="668E014F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outlineLvl w:val="0"/>
        <w:rPr>
          <w:rStyle w:val="12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本项目总投资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6652.38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万元，</w:t>
      </w:r>
      <w:r>
        <w:rPr>
          <w:rStyle w:val="12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资金及时足额到位，到位率100%，预算资金按计划进度执行。</w:t>
      </w:r>
    </w:p>
    <w:p w14:paraId="4E5DEC64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（2）预算执行率</w:t>
      </w:r>
    </w:p>
    <w:p w14:paraId="78845F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jc w:val="left"/>
        <w:textAlignment w:val="auto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预算编制较为详细，项目资金支出总体能够按照预算执行，预算资金支出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6652.38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万元，全年执行数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6005.77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万元，预算执行率为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90.28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%。</w:t>
      </w:r>
    </w:p>
    <w:p w14:paraId="51394E32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）资金使用合规性</w:t>
      </w:r>
    </w:p>
    <w:p w14:paraId="24546359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</w:p>
    <w:p w14:paraId="75B89B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2.组织实施</w:t>
      </w:r>
    </w:p>
    <w:p w14:paraId="60E63620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（1）管理制度健全性</w:t>
      </w:r>
    </w:p>
    <w:p w14:paraId="43FEED7E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2F831D51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（2）制度执行有效性</w:t>
      </w:r>
    </w:p>
    <w:p w14:paraId="51476C68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（三）项目产出情况</w:t>
      </w:r>
    </w:p>
    <w:p w14:paraId="694CCF14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个三级指标构成，权重分为40分，实际得分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分，得分率为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%。具体产出指标完成情况如下：</w:t>
      </w:r>
    </w:p>
    <w:p w14:paraId="1528DE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outlineLvl w:val="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1.数量指标：</w:t>
      </w:r>
    </w:p>
    <w:p w14:paraId="565A57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outlineLvl w:val="0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采购物品及服务次数指标为&gt;=10次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，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实际完成值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为10次，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完成率100%。</w:t>
      </w:r>
    </w:p>
    <w:p w14:paraId="7A9429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outlineLvl w:val="0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维修改造项目数量指标为&gt;=8个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，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实际完成值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为8个，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完成率100%。</w:t>
      </w:r>
    </w:p>
    <w:p w14:paraId="35307C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outlineLvl w:val="0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劳务费支付次数指标为&gt;=12次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，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实际完成值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12次，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完成值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为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完成率100%。</w:t>
      </w:r>
    </w:p>
    <w:p w14:paraId="0792D7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2.质量指标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7536CB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outlineLvl w:val="0"/>
        <w:rPr>
          <w:rStyle w:val="12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购置设备质量合格率指标，指标为值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100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%，实际完成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100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%，完成率100%。</w:t>
      </w:r>
    </w:p>
    <w:p w14:paraId="558137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outlineLvl w:val="0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购置设备验收合格率指标，指标值为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100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%，实际完成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100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%，完成率100%。</w:t>
      </w:r>
    </w:p>
    <w:p w14:paraId="339A7D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outlineLvl w:val="0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劳务费支付达标率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指标，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指标值为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＞=95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%，实际完成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95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%，完成率100%。</w:t>
      </w:r>
    </w:p>
    <w:p w14:paraId="5EF4909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/>
        <w:jc w:val="both"/>
        <w:textAlignment w:val="auto"/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  <w:t>项目按计划完成时间，指标值为2023年11月30日前，实际按期执行。</w:t>
      </w:r>
    </w:p>
    <w:p w14:paraId="33A24E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outlineLvl w:val="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3.时效指标：</w:t>
      </w:r>
    </w:p>
    <w:p w14:paraId="1B3CE8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outlineLvl w:val="0"/>
        <w:rPr>
          <w:rStyle w:val="12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工作完成及时率</w:t>
      </w:r>
      <w:r>
        <w:rPr>
          <w:rStyle w:val="12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ab/>
      </w:r>
      <w:r>
        <w:rPr>
          <w:rStyle w:val="12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指标，指标值为100%，实际完成率为100%。</w:t>
      </w:r>
    </w:p>
    <w:p w14:paraId="557886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outlineLvl w:val="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4.成本指标</w:t>
      </w:r>
    </w:p>
    <w:p w14:paraId="0AE999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采购成本控制数指标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，指标值为≤2332万元，实际完成2237.98万元，完成率100%。</w:t>
      </w:r>
    </w:p>
    <w:p w14:paraId="0AF0016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Style w:val="12"/>
          <w:rFonts w:hint="eastAsia" w:ascii="仿宋" w:hAnsi="仿宋" w:eastAsia="仿宋" w:cs="仿宋"/>
          <w:b w:val="0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维修类成本控制数指标，</w:t>
      </w:r>
      <w:r>
        <w:rPr>
          <w:rStyle w:val="12"/>
          <w:rFonts w:hint="eastAsia" w:ascii="仿宋" w:hAnsi="仿宋" w:eastAsia="仿宋" w:cs="仿宋"/>
          <w:b w:val="0"/>
          <w:bCs/>
          <w:spacing w:val="-4"/>
          <w:sz w:val="32"/>
          <w:szCs w:val="32"/>
        </w:rPr>
        <w:t>指标值为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≤1306万元，</w:t>
      </w:r>
      <w:r>
        <w:rPr>
          <w:rStyle w:val="12"/>
          <w:rFonts w:hint="eastAsia" w:ascii="仿宋" w:hAnsi="仿宋" w:eastAsia="仿宋" w:cs="仿宋"/>
          <w:b w:val="0"/>
          <w:bCs/>
          <w:spacing w:val="-4"/>
          <w:sz w:val="32"/>
          <w:szCs w:val="32"/>
        </w:rPr>
        <w:t>实际完成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724.95万元，</w:t>
      </w:r>
      <w:r>
        <w:rPr>
          <w:rStyle w:val="12"/>
          <w:rFonts w:hint="eastAsia" w:ascii="仿宋" w:hAnsi="仿宋" w:eastAsia="仿宋" w:cs="仿宋"/>
          <w:b w:val="0"/>
          <w:bCs/>
          <w:spacing w:val="-4"/>
          <w:sz w:val="32"/>
          <w:szCs w:val="32"/>
        </w:rPr>
        <w:t>完成率100%。</w:t>
      </w:r>
    </w:p>
    <w:p w14:paraId="0618ADD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Style w:val="12"/>
          <w:rFonts w:hint="eastAsia" w:ascii="仿宋" w:hAnsi="仿宋" w:eastAsia="仿宋" w:cs="仿宋"/>
          <w:b w:val="0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劳务费每次支出金额指标，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ab/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指标值为≤118万元，实际完成118万元，</w:t>
      </w:r>
      <w:r>
        <w:rPr>
          <w:rStyle w:val="12"/>
          <w:rFonts w:hint="eastAsia" w:ascii="仿宋" w:hAnsi="仿宋" w:eastAsia="仿宋" w:cs="仿宋"/>
          <w:b w:val="0"/>
          <w:bCs/>
          <w:spacing w:val="-4"/>
          <w:sz w:val="32"/>
          <w:szCs w:val="32"/>
        </w:rPr>
        <w:t>完成率100%。</w:t>
      </w:r>
    </w:p>
    <w:p w14:paraId="265C90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1" w:firstLineChars="100"/>
        <w:textAlignment w:val="auto"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（四）项目效益情况</w:t>
      </w:r>
    </w:p>
    <w:p w14:paraId="461ECE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jc w:val="left"/>
        <w:textAlignment w:val="auto"/>
        <w:rPr>
          <w:rStyle w:val="12"/>
          <w:rFonts w:ascii="仿宋" w:hAnsi="仿宋" w:eastAsia="仿宋" w:cs="仿宋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spacing w:val="-4"/>
          <w:sz w:val="32"/>
          <w:szCs w:val="32"/>
        </w:rPr>
        <w:t>1.社会效益指标</w:t>
      </w:r>
    </w:p>
    <w:p w14:paraId="61825C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both"/>
        <w:textAlignment w:val="auto"/>
        <w:outlineLvl w:val="0"/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学院正常运转率，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指标值为100%，实际完成100%，指标完成率100%。</w:t>
      </w:r>
    </w:p>
    <w:p w14:paraId="7A69B05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24" w:firstLineChars="200"/>
        <w:jc w:val="both"/>
        <w:textAlignment w:val="auto"/>
        <w:outlineLvl w:val="0"/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  <w:t>提升服务质量受益学生人数</w:t>
      </w: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  <w:tab/>
      </w:r>
      <w:r>
        <w:rPr>
          <w:rStyle w:val="12"/>
          <w:rFonts w:hint="eastAsia" w:ascii="仿宋" w:hAnsi="仿宋" w:eastAsia="仿宋" w:cs="仿宋"/>
          <w:b w:val="0"/>
          <w:bCs/>
          <w:spacing w:val="-4"/>
          <w:kern w:val="2"/>
          <w:sz w:val="32"/>
          <w:szCs w:val="32"/>
          <w:lang w:val="en-US" w:eastAsia="zh-CN" w:bidi="ar-SA"/>
        </w:rPr>
        <w:t>&gt;=8000人，实际为9000人，完成率112.5%。</w:t>
      </w:r>
    </w:p>
    <w:p w14:paraId="5698FD5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/>
        <w:jc w:val="both"/>
        <w:textAlignment w:val="auto"/>
        <w:rPr>
          <w:rStyle w:val="12"/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Style w:val="12"/>
          <w:rFonts w:hint="eastAsia" w:ascii="仿宋" w:hAnsi="仿宋" w:eastAsia="仿宋" w:cs="仿宋"/>
          <w:b/>
          <w:bCs/>
          <w:spacing w:val="-4"/>
          <w:sz w:val="32"/>
          <w:szCs w:val="32"/>
          <w:lang w:val="en-US" w:eastAsia="zh-CN"/>
        </w:rPr>
        <w:t>2</w:t>
      </w:r>
      <w:r>
        <w:rPr>
          <w:rStyle w:val="12"/>
          <w:rFonts w:hint="eastAsia" w:ascii="仿宋" w:hAnsi="仿宋" w:eastAsia="仿宋" w:cs="仿宋"/>
          <w:b/>
          <w:bCs/>
          <w:spacing w:val="-4"/>
          <w:sz w:val="32"/>
          <w:szCs w:val="32"/>
        </w:rPr>
        <w:t>.满意度指标</w:t>
      </w:r>
    </w:p>
    <w:p w14:paraId="47BD45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outlineLvl w:val="0"/>
        <w:rPr>
          <w:rStyle w:val="12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教</w:t>
      </w:r>
      <w:r>
        <w:rPr>
          <w:rStyle w:val="12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师及学生</w:t>
      </w:r>
      <w:r>
        <w:rPr>
          <w:rStyle w:val="12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的满意度，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指标值为9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%，实际完成9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2"/>
          <w:rFonts w:hint="eastAsia" w:ascii="仿宋" w:hAnsi="仿宋" w:eastAsia="仿宋" w:cs="仿宋"/>
          <w:b w:val="0"/>
          <w:spacing w:val="-4"/>
          <w:sz w:val="32"/>
          <w:szCs w:val="32"/>
        </w:rPr>
        <w:t>%，指标完成率100%。</w:t>
      </w:r>
    </w:p>
    <w:p w14:paraId="687B25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五、主要经验及做法、存在的问题及原因分析</w:t>
      </w:r>
    </w:p>
    <w:p w14:paraId="7D4950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Style w:val="12"/>
          <w:rFonts w:hint="eastAsia" w:ascii="仿宋" w:hAnsi="仿宋" w:eastAsia="仿宋" w:cs="仿宋"/>
          <w:bCs w:val="0"/>
          <w:spacing w:val="-4"/>
          <w:sz w:val="32"/>
          <w:szCs w:val="32"/>
        </w:rPr>
        <w:t>（一）主要经验及做法：</w:t>
      </w:r>
      <w:r>
        <w:rPr>
          <w:rFonts w:hint="eastAsia" w:ascii="仿宋" w:hAnsi="仿宋" w:eastAsia="仿宋" w:cs="仿宋"/>
          <w:sz w:val="32"/>
          <w:szCs w:val="32"/>
        </w:rPr>
        <w:t>学校严格按照相关文件精神，依据专款专用的原则使用资金，无挪用现象，项目办、财务处、审计处、后勤中心等职能部门通力合作，保障学院的正常运转，充分发挥财政资金最大效益。每年自觉接受上级部门、教职员工的监督。</w:t>
      </w:r>
    </w:p>
    <w:p w14:paraId="1CEFDE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rPr>
          <w:rStyle w:val="12"/>
          <w:rFonts w:ascii="仿宋" w:hAnsi="仿宋" w:eastAsia="仿宋" w:cs="仿宋"/>
          <w:bCs w:val="0"/>
          <w:spacing w:val="-4"/>
          <w:sz w:val="32"/>
          <w:szCs w:val="32"/>
        </w:rPr>
      </w:pPr>
      <w:r>
        <w:rPr>
          <w:rStyle w:val="12"/>
          <w:rFonts w:hint="eastAsia" w:ascii="仿宋" w:hAnsi="仿宋" w:eastAsia="仿宋" w:cs="仿宋"/>
          <w:bCs w:val="0"/>
          <w:spacing w:val="-4"/>
          <w:sz w:val="32"/>
          <w:szCs w:val="32"/>
        </w:rPr>
        <w:t>（二）存在的问题及原因分析：</w:t>
      </w:r>
    </w:p>
    <w:p w14:paraId="0A5F44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本次绩效评价情况，发现预算绩效申报存在绩效目标设置不科学、不合理的问题。原因为编制的项目预算自评指标体系不够精细，绩效目标不具体，绩效目标未完全细化，分解工作任务不够具体，部分绩效指标不清晰，在经费支出过程中经济功能精确度有待提高。</w:t>
      </w:r>
    </w:p>
    <w:p w14:paraId="5BEE8A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六、有关建议</w:t>
      </w:r>
    </w:p>
    <w:p w14:paraId="777C71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</w:rPr>
        <w:fldChar w:fldCharType="begin">
          <w:fldData xml:space="preserve">MAAwADEANgA4ADgAOQBDAEUANwA3ADAANABDADYAOAA5ADMAMQA3AEIAMAA2ADgARgA3ADcAMABE
AEMANgAyAA==
</w:fldData>
        </w:fldChar>
      </w:r>
      <w:r>
        <w:rPr>
          <w:rFonts w:hint="eastAsia" w:ascii="仿宋_GB2312" w:hAnsi="仿宋_GB2312" w:cs="仿宋_GB2312"/>
          <w:sz w:val="32"/>
          <w:szCs w:val="32"/>
        </w:rPr>
        <w:instrText xml:space="preserve">Addin 主要经验及做法、存在问题和建议</w:instrText>
      </w:r>
      <w:r>
        <w:rPr>
          <w:rFonts w:hint="eastAsia" w:ascii="仿宋_GB2312" w:hAnsi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cs="仿宋_GB2312"/>
          <w:sz w:val="32"/>
          <w:szCs w:val="32"/>
        </w:rPr>
        <w:t>加强资金使用跟踪和监督检查，量化绩效目标，优化评价考核制度。</w:t>
      </w:r>
      <w:r>
        <w:rPr>
          <w:rFonts w:hint="eastAsia" w:ascii="仿宋_GB2312" w:hAnsi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cs="仿宋_GB2312"/>
          <w:sz w:val="32"/>
          <w:szCs w:val="32"/>
        </w:rPr>
        <w:t>进一步完善学院奖弥补商品服务支出资金的使用制度，规范流程，优化评审机制，加强使用效果的追踪与评价，研究资金的分配方案，更加科学合理的利用好这笔钱，发挥最大的资金使用效益。</w:t>
      </w:r>
    </w:p>
    <w:p w14:paraId="60BD08A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0" w:firstLineChars="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2.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</w:t>
      </w: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深入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工作每个环节。</w:t>
      </w:r>
    </w:p>
    <w:p w14:paraId="08DC994E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其他需要说明的问题</w:t>
      </w:r>
    </w:p>
    <w:p w14:paraId="75A3D0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7"/>
        <w:textAlignment w:val="auto"/>
        <w:rPr>
          <w:rStyle w:val="12"/>
          <w:rFonts w:ascii="仿宋_GB2312" w:hAnsi="仿宋_GB2312" w:cs="仿宋_GB2312"/>
          <w:b w:val="0"/>
          <w:spacing w:val="-4"/>
          <w:sz w:val="32"/>
          <w:szCs w:val="32"/>
        </w:rPr>
      </w:pPr>
      <w:r>
        <w:rPr>
          <w:rStyle w:val="12"/>
          <w:rFonts w:hint="eastAsia" w:ascii="仿宋_GB2312" w:hAnsi="仿宋_GB2312" w:cs="仿宋_GB2312"/>
          <w:b w:val="0"/>
          <w:spacing w:val="-4"/>
          <w:sz w:val="32"/>
          <w:szCs w:val="32"/>
        </w:rPr>
        <w:t xml:space="preserve"> 无</w:t>
      </w:r>
    </w:p>
    <w:p w14:paraId="7D77BE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7"/>
        <w:textAlignment w:val="auto"/>
        <w:rPr>
          <w:rStyle w:val="12"/>
          <w:rFonts w:ascii="仿宋_GB2312" w:hAnsi="仿宋_GB2312" w:cs="仿宋_GB2312"/>
          <w:b w:val="0"/>
          <w:spacing w:val="-4"/>
          <w:sz w:val="32"/>
          <w:szCs w:val="32"/>
        </w:rPr>
      </w:pPr>
    </w:p>
    <w:p w14:paraId="4FAA56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1500" w:rightChars="-500" w:firstLine="600"/>
        <w:textAlignment w:val="auto"/>
        <w:rPr>
          <w:rFonts w:ascii="仿宋" w:hAnsi="仿宋" w:eastAsia="仿宋"/>
          <w:spacing w:val="-4"/>
          <w:szCs w:val="30"/>
        </w:rPr>
      </w:pPr>
    </w:p>
    <w:p w14:paraId="13F1A2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textAlignment w:val="auto"/>
        <w:rPr>
          <w:rFonts w:ascii="仿宋" w:hAnsi="仿宋" w:eastAsia="仿宋"/>
          <w:spacing w:val="-4"/>
          <w:szCs w:val="30"/>
        </w:rPr>
      </w:pPr>
    </w:p>
    <w:p w14:paraId="2AE0326C">
      <w:pPr>
        <w:pStyle w:val="2"/>
      </w:pPr>
    </w:p>
    <w:p w14:paraId="06C06346"/>
    <w:p w14:paraId="50D73416">
      <w:pPr>
        <w:pStyle w:val="2"/>
      </w:pPr>
    </w:p>
    <w:p w14:paraId="431CE707"/>
    <w:p w14:paraId="279CC964">
      <w:pPr>
        <w:pStyle w:val="2"/>
      </w:pPr>
    </w:p>
    <w:p w14:paraId="37CFE3BC">
      <w:pPr>
        <w:ind w:right="1500" w:rightChars="500"/>
      </w:pPr>
      <w:bookmarkStart w:id="0" w:name="_GoBack"/>
      <w:bookmarkEnd w:id="0"/>
    </w:p>
    <w:sectPr>
      <w:footerReference r:id="rId3" w:type="default"/>
      <w:pgSz w:w="11906" w:h="16838"/>
      <w:pgMar w:top="1928" w:right="1675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58F25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3218F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93218F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70E74"/>
    <w:multiLevelType w:val="singleLevel"/>
    <w:tmpl w:val="0AD70E7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4A2B876"/>
    <w:multiLevelType w:val="singleLevel"/>
    <w:tmpl w:val="34A2B876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613BE9D"/>
    <w:multiLevelType w:val="singleLevel"/>
    <w:tmpl w:val="6613BE9D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4ZTk4ZThiOTlhYTkyOGVkOWQ5NDlhNjIwNjNhNzEifQ=="/>
  </w:docVars>
  <w:rsids>
    <w:rsidRoot w:val="1E9510E0"/>
    <w:rsid w:val="0012329A"/>
    <w:rsid w:val="001B2B50"/>
    <w:rsid w:val="001E7414"/>
    <w:rsid w:val="001F1692"/>
    <w:rsid w:val="002060F2"/>
    <w:rsid w:val="00222CD9"/>
    <w:rsid w:val="00270810"/>
    <w:rsid w:val="002B5175"/>
    <w:rsid w:val="002F60D9"/>
    <w:rsid w:val="00385282"/>
    <w:rsid w:val="003C0F81"/>
    <w:rsid w:val="00400C97"/>
    <w:rsid w:val="004429D2"/>
    <w:rsid w:val="004803DB"/>
    <w:rsid w:val="00485631"/>
    <w:rsid w:val="004D3803"/>
    <w:rsid w:val="004E7A8F"/>
    <w:rsid w:val="0054168D"/>
    <w:rsid w:val="005E3533"/>
    <w:rsid w:val="00647E09"/>
    <w:rsid w:val="00714A39"/>
    <w:rsid w:val="007D285A"/>
    <w:rsid w:val="00801C53"/>
    <w:rsid w:val="00842CAC"/>
    <w:rsid w:val="008743AE"/>
    <w:rsid w:val="008D489F"/>
    <w:rsid w:val="008E7E32"/>
    <w:rsid w:val="009052D0"/>
    <w:rsid w:val="0090578F"/>
    <w:rsid w:val="00922894"/>
    <w:rsid w:val="00936025"/>
    <w:rsid w:val="00947E37"/>
    <w:rsid w:val="0099202F"/>
    <w:rsid w:val="009F411C"/>
    <w:rsid w:val="00AD7A96"/>
    <w:rsid w:val="00B258DD"/>
    <w:rsid w:val="00B75733"/>
    <w:rsid w:val="00C537FA"/>
    <w:rsid w:val="00D44CDF"/>
    <w:rsid w:val="00E62EF8"/>
    <w:rsid w:val="00F17CEA"/>
    <w:rsid w:val="00F46A2B"/>
    <w:rsid w:val="00F75A06"/>
    <w:rsid w:val="03810426"/>
    <w:rsid w:val="06231F54"/>
    <w:rsid w:val="077706A0"/>
    <w:rsid w:val="084010FA"/>
    <w:rsid w:val="094F74A9"/>
    <w:rsid w:val="096D7F59"/>
    <w:rsid w:val="0D4B1EE6"/>
    <w:rsid w:val="0EE66DB6"/>
    <w:rsid w:val="11BE63E6"/>
    <w:rsid w:val="14471CA3"/>
    <w:rsid w:val="14E362FC"/>
    <w:rsid w:val="16457F44"/>
    <w:rsid w:val="164B05FC"/>
    <w:rsid w:val="168A3132"/>
    <w:rsid w:val="17093624"/>
    <w:rsid w:val="176B392A"/>
    <w:rsid w:val="17C43225"/>
    <w:rsid w:val="17FF4512"/>
    <w:rsid w:val="180A63E4"/>
    <w:rsid w:val="183542D6"/>
    <w:rsid w:val="1C711D73"/>
    <w:rsid w:val="1CC9194F"/>
    <w:rsid w:val="1E9510E0"/>
    <w:rsid w:val="1EE374D8"/>
    <w:rsid w:val="21CF580A"/>
    <w:rsid w:val="22FE2811"/>
    <w:rsid w:val="23912E18"/>
    <w:rsid w:val="253A7895"/>
    <w:rsid w:val="255934DF"/>
    <w:rsid w:val="26773DC1"/>
    <w:rsid w:val="28C543A3"/>
    <w:rsid w:val="2AF80ACD"/>
    <w:rsid w:val="2C534988"/>
    <w:rsid w:val="2E9A3FCF"/>
    <w:rsid w:val="300D611F"/>
    <w:rsid w:val="317032A4"/>
    <w:rsid w:val="32C126A2"/>
    <w:rsid w:val="331748D8"/>
    <w:rsid w:val="35792EC3"/>
    <w:rsid w:val="35E5589F"/>
    <w:rsid w:val="366F6E00"/>
    <w:rsid w:val="376E5619"/>
    <w:rsid w:val="3B9C5D69"/>
    <w:rsid w:val="3DB80D7A"/>
    <w:rsid w:val="3E4851E7"/>
    <w:rsid w:val="3EB96FDC"/>
    <w:rsid w:val="3F26535A"/>
    <w:rsid w:val="400A134E"/>
    <w:rsid w:val="41AE4611"/>
    <w:rsid w:val="44BD1BA7"/>
    <w:rsid w:val="491837EE"/>
    <w:rsid w:val="4AAE2E49"/>
    <w:rsid w:val="4BE159F2"/>
    <w:rsid w:val="4E4D2A63"/>
    <w:rsid w:val="4EF90EB6"/>
    <w:rsid w:val="5014465E"/>
    <w:rsid w:val="50EE66D7"/>
    <w:rsid w:val="51206E59"/>
    <w:rsid w:val="51FC73AF"/>
    <w:rsid w:val="523B0E71"/>
    <w:rsid w:val="56FA1174"/>
    <w:rsid w:val="582A6089"/>
    <w:rsid w:val="59713DD9"/>
    <w:rsid w:val="5A8C3975"/>
    <w:rsid w:val="5C483A12"/>
    <w:rsid w:val="5C7E1F6F"/>
    <w:rsid w:val="609C47FC"/>
    <w:rsid w:val="617F466A"/>
    <w:rsid w:val="623A0CB2"/>
    <w:rsid w:val="628B3181"/>
    <w:rsid w:val="65960BA3"/>
    <w:rsid w:val="65AA5E2F"/>
    <w:rsid w:val="69390955"/>
    <w:rsid w:val="69E822D8"/>
    <w:rsid w:val="6AA71874"/>
    <w:rsid w:val="6AAC0582"/>
    <w:rsid w:val="6BF22192"/>
    <w:rsid w:val="712119D7"/>
    <w:rsid w:val="73BD3F96"/>
    <w:rsid w:val="74D05A4A"/>
    <w:rsid w:val="77B66FF0"/>
    <w:rsid w:val="79B74DAB"/>
    <w:rsid w:val="7CBB1718"/>
    <w:rsid w:val="7E62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0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ascii="Calibri" w:hAnsi="Calibri" w:eastAsia="宋体"/>
      <w:kern w:val="0"/>
      <w:sz w:val="22"/>
      <w:szCs w:val="22"/>
    </w:rPr>
  </w:style>
  <w:style w:type="paragraph" w:styleId="9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ascii="Calibri" w:hAnsi="Calibri" w:eastAsia="宋体"/>
      <w:kern w:val="0"/>
      <w:sz w:val="22"/>
      <w:szCs w:val="22"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Hyperlink"/>
    <w:basedOn w:val="11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1"/>
    <w:qFormat/>
    <w:uiPriority w:val="0"/>
    <w:rPr>
      <w:sz w:val="21"/>
      <w:szCs w:val="21"/>
    </w:rPr>
  </w:style>
  <w:style w:type="character" w:customStyle="1" w:styleId="15">
    <w:name w:val="页眉 Char"/>
    <w:basedOn w:val="11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6">
    <w:name w:val="页脚 Char"/>
    <w:basedOn w:val="11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17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8">
    <w:name w:val="TOC 标题1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Cambria" w:hAnsi="Cambria" w:eastAsia="宋体" w:cs="Times New Roman"/>
      <w:b w:val="0"/>
      <w:bCs w:val="0"/>
      <w:color w:val="366091"/>
      <w:kern w:val="0"/>
      <w:sz w:val="32"/>
      <w:szCs w:val="32"/>
    </w:rPr>
  </w:style>
  <w:style w:type="character" w:customStyle="1" w:styleId="19">
    <w:name w:val="批注框文本 Char"/>
    <w:basedOn w:val="11"/>
    <w:link w:val="5"/>
    <w:qFormat/>
    <w:uiPriority w:val="0"/>
    <w:rPr>
      <w:rFonts w:eastAsia="仿宋_GB2312"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15</Pages>
  <Words>6232</Words>
  <Characters>6640</Characters>
  <Lines>46</Lines>
  <Paragraphs>13</Paragraphs>
  <TotalTime>0</TotalTime>
  <ScaleCrop>false</ScaleCrop>
  <LinksUpToDate>false</LinksUpToDate>
  <CharactersWithSpaces>6696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2021-02-25T15:30:00Z</dcterms:created>
  <dc:creator>Administrator</dc:creator>
  <cp:lastModifiedBy>岁月无痕</cp:lastModifiedBy>
  <dcterms:modified xsi:type="dcterms:W3CDTF">2024-08-19T09:31:02Z</dcterms:modified>
  <dc:title>弥补商品服务支出项目支出绩效评价报告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3117B87D3C2F49E092C9E118F9998346</vt:lpwstr>
  </property>
</Properties>
</file>