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新疆维吾尔自治区工业和信息化厅信息</w:t>
      </w:r>
    </w:p>
    <w:p>
      <w:pPr>
        <w:jc w:val="center"/>
        <w:rPr>
          <w:rFonts w:ascii="方正小标宋_GBK" w:hAnsi="宋体" w:eastAsia="方正小标宋_GBK"/>
          <w:sz w:val="44"/>
          <w:szCs w:val="44"/>
        </w:rPr>
      </w:pPr>
      <w:r>
        <w:rPr>
          <w:rFonts w:hint="eastAsia" w:ascii="方正小标宋_GBK" w:hAnsi="宋体" w:eastAsia="方正小标宋_GBK"/>
          <w:sz w:val="44"/>
          <w:szCs w:val="44"/>
        </w:rPr>
        <w:t>中心2023年度决算公开说明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keepNext w:val="0"/>
        <w:keepLines w:val="0"/>
        <w:pageBreakBefore w:val="0"/>
        <w:kinsoku/>
        <w:wordWrap/>
        <w:overflowPunct/>
        <w:topLinePunct w:val="0"/>
        <w:autoSpaceDE/>
        <w:autoSpaceDN/>
        <w:bidi w:val="0"/>
        <w:adjustRightInd/>
        <w:snapToGrid/>
        <w:spacing w:line="240" w:lineRule="auto"/>
        <w:ind w:right="0" w:rightChars="0"/>
        <w:jc w:val="center"/>
        <w:textAlignment w:val="auto"/>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textAlignment w:val="auto"/>
        <w:outlineLvl w:val="1"/>
        <w:rPr>
          <w:rFonts w:hint="eastAsia" w:ascii="黑体" w:hAnsi="黑体" w:eastAsia="黑体" w:cs="黑体"/>
          <w:bCs/>
          <w:kern w:val="0"/>
          <w:sz w:val="32"/>
          <w:szCs w:val="32"/>
        </w:rPr>
      </w:pPr>
      <w:bookmarkStart w:id="2" w:name="_Toc30738"/>
      <w:bookmarkStart w:id="3" w:name="_Toc30567"/>
      <w:r>
        <w:rPr>
          <w:rFonts w:hint="eastAsia" w:ascii="黑体" w:hAnsi="黑体" w:eastAsia="黑体" w:cs="黑体"/>
          <w:bCs/>
          <w:kern w:val="0"/>
          <w:sz w:val="32"/>
          <w:szCs w:val="32"/>
        </w:rPr>
        <w:t>一、主要职能</w:t>
      </w:r>
      <w:bookmarkEnd w:id="2"/>
      <w:bookmarkEnd w:id="3"/>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textAlignment w:val="auto"/>
        <w:outlineLvl w:val="1"/>
        <w:rPr>
          <w:rFonts w:hint="eastAsia" w:ascii="仿宋_GB2312" w:hAnsi="仿宋_GB2312" w:eastAsia="仿宋_GB2312" w:cs="仿宋_GB2312"/>
          <w:sz w:val="32"/>
          <w:szCs w:val="32"/>
        </w:rPr>
      </w:pPr>
      <w:bookmarkStart w:id="4" w:name="_Toc31238"/>
      <w:bookmarkStart w:id="5" w:name="_Toc2151"/>
      <w:r>
        <w:rPr>
          <w:rFonts w:hint="eastAsia" w:ascii="仿宋_GB2312" w:hAnsi="仿宋_GB2312" w:eastAsia="仿宋_GB2312" w:cs="仿宋_GB2312"/>
          <w:sz w:val="32"/>
          <w:szCs w:val="32"/>
        </w:rPr>
        <w:t>推进全区工信厅系统的信息化建设和工信厅网站运行维护管理工作；参与自治区企业信息化应用系统的建设和运行维护管理工作。</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textAlignment w:val="auto"/>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二、机构设置及</w:t>
      </w:r>
      <w:bookmarkEnd w:id="4"/>
      <w:r>
        <w:rPr>
          <w:rFonts w:hint="eastAsia" w:ascii="黑体" w:hAnsi="黑体" w:eastAsia="黑体" w:cs="黑体"/>
          <w:bCs/>
          <w:kern w:val="0"/>
          <w:sz w:val="32"/>
          <w:szCs w:val="32"/>
        </w:rPr>
        <w:t>人员情况</w:t>
      </w:r>
      <w:bookmarkEnd w:id="5"/>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新疆维吾尔自治区工业和信息化厅信息中心2023年度，实有人数</w:t>
      </w:r>
      <w:r>
        <w:rPr>
          <w:rFonts w:hint="eastAsia" w:ascii="仿宋_GB2312" w:hAnsi="仿宋_GB2312" w:eastAsia="仿宋_GB2312" w:cs="仿宋_GB2312"/>
          <w:sz w:val="32"/>
          <w:szCs w:val="32"/>
          <w:lang w:val="zh-CN"/>
        </w:rPr>
        <w:t>22</w:t>
      </w:r>
      <w:r>
        <w:rPr>
          <w:rFonts w:hint="eastAsia" w:ascii="仿宋_GB2312" w:hAnsi="仿宋_GB2312" w:eastAsia="仿宋_GB2312" w:cs="仿宋_GB2312"/>
          <w:sz w:val="32"/>
          <w:szCs w:val="32"/>
        </w:rPr>
        <w:t>人，其中：在职人员</w:t>
      </w:r>
      <w:r>
        <w:rPr>
          <w:rFonts w:hint="eastAsia" w:ascii="仿宋_GB2312" w:hAnsi="仿宋_GB2312" w:eastAsia="仿宋_GB2312" w:cs="仿宋_GB2312"/>
          <w:sz w:val="32"/>
          <w:szCs w:val="32"/>
          <w:lang w:val="zh-CN"/>
        </w:rPr>
        <w:t>11</w:t>
      </w:r>
      <w:r>
        <w:rPr>
          <w:rFonts w:hint="eastAsia" w:ascii="仿宋_GB2312" w:hAnsi="仿宋_GB2312" w:eastAsia="仿宋_GB2312" w:cs="仿宋_GB2312"/>
          <w:sz w:val="32"/>
          <w:szCs w:val="32"/>
        </w:rPr>
        <w:t>人，离休人员</w:t>
      </w:r>
      <w:r>
        <w:rPr>
          <w:rFonts w:hint="eastAsia" w:ascii="仿宋_GB2312" w:hAnsi="仿宋_GB2312" w:eastAsia="仿宋_GB2312" w:cs="仿宋_GB2312"/>
          <w:sz w:val="32"/>
          <w:szCs w:val="32"/>
          <w:lang w:val="zh-CN"/>
        </w:rPr>
        <w:t>1</w:t>
      </w:r>
      <w:r>
        <w:rPr>
          <w:rFonts w:hint="eastAsia" w:ascii="仿宋_GB2312" w:hAnsi="仿宋_GB2312" w:eastAsia="仿宋_GB2312" w:cs="仿宋_GB2312"/>
          <w:sz w:val="32"/>
          <w:szCs w:val="32"/>
        </w:rPr>
        <w:t>人，退休人员</w:t>
      </w:r>
      <w:r>
        <w:rPr>
          <w:rFonts w:hint="eastAsia" w:ascii="仿宋_GB2312" w:hAnsi="仿宋_GB2312" w:eastAsia="仿宋_GB2312" w:cs="仿宋_GB2312"/>
          <w:sz w:val="32"/>
          <w:szCs w:val="32"/>
          <w:lang w:val="zh-CN"/>
        </w:rPr>
        <w:t>10</w:t>
      </w:r>
      <w:r>
        <w:rPr>
          <w:rFonts w:hint="eastAsia" w:ascii="仿宋_GB2312" w:hAnsi="仿宋_GB2312" w:eastAsia="仿宋_GB2312" w:cs="仿宋_GB2312"/>
          <w:sz w:val="32"/>
          <w:szCs w:val="32"/>
        </w:rPr>
        <w:t>人。</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textAlignment w:val="auto"/>
        <w:rPr>
          <w:rFonts w:hint="eastAsia" w:ascii="仿宋_GB2312" w:hAnsi="仿宋_GB2312" w:eastAsia="仿宋_GB2312" w:cs="仿宋_GB2312"/>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bCs/>
          <w:kern w:val="0"/>
          <w:sz w:val="32"/>
          <w:szCs w:val="32"/>
        </w:rPr>
        <w:t>单位无下属预算单位，下设</w:t>
      </w:r>
      <w:r>
        <w:rPr>
          <w:rFonts w:hint="eastAsia" w:ascii="仿宋_GB2312" w:hAnsi="仿宋_GB2312" w:eastAsia="仿宋_GB2312" w:cs="仿宋_GB2312"/>
          <w:sz w:val="32"/>
          <w:szCs w:val="32"/>
        </w:rPr>
        <w:t>3个处室，分别是：综合科、应用服务部、网络技术部</w:t>
      </w:r>
      <w:r>
        <w:rPr>
          <w:rFonts w:hint="eastAsia" w:ascii="仿宋_GB2312" w:hAnsi="仿宋_GB2312" w:eastAsia="仿宋_GB2312" w:cs="仿宋_GB2312"/>
          <w:kern w:val="0"/>
          <w:sz w:val="32"/>
          <w:szCs w:val="32"/>
        </w:rPr>
        <w:t>。</w:t>
      </w:r>
    </w:p>
    <w:p>
      <w:pPr>
        <w:keepNext w:val="0"/>
        <w:keepLines w:val="0"/>
        <w:pageBreakBefore w:val="0"/>
        <w:kinsoku/>
        <w:wordWrap/>
        <w:overflowPunct/>
        <w:topLinePunct w:val="0"/>
        <w:autoSpaceDE/>
        <w:autoSpaceDN/>
        <w:bidi w:val="0"/>
        <w:adjustRightInd/>
        <w:snapToGrid/>
        <w:spacing w:line="240" w:lineRule="auto"/>
        <w:ind w:right="0" w:rightChars="0"/>
        <w:jc w:val="center"/>
        <w:textAlignment w:val="auto"/>
        <w:outlineLvl w:val="0"/>
        <w:rPr>
          <w:rFonts w:hint="eastAsia" w:ascii="黑体" w:hAnsi="黑体" w:eastAsia="黑体" w:cs="黑体"/>
          <w:sz w:val="32"/>
          <w:szCs w:val="32"/>
        </w:rPr>
      </w:pPr>
      <w:bookmarkStart w:id="6" w:name="_Toc3092"/>
      <w:bookmarkStart w:id="7" w:name="_Toc29374"/>
      <w:r>
        <w:rPr>
          <w:rFonts w:hint="eastAsia" w:ascii="黑体" w:hAnsi="黑体" w:eastAsia="黑体" w:cs="黑体"/>
          <w:sz w:val="32"/>
          <w:szCs w:val="32"/>
        </w:rPr>
        <w:t>第二部分 部门决算情况说明</w:t>
      </w:r>
      <w:bookmarkEnd w:id="6"/>
      <w:bookmarkEnd w:id="7"/>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textAlignment w:val="auto"/>
        <w:outlineLvl w:val="1"/>
        <w:rPr>
          <w:rFonts w:hint="eastAsia" w:ascii="黑体" w:hAnsi="黑体" w:eastAsia="黑体" w:cs="黑体"/>
          <w:bCs/>
          <w:kern w:val="0"/>
          <w:sz w:val="32"/>
          <w:szCs w:val="32"/>
        </w:rPr>
      </w:pPr>
      <w:bookmarkStart w:id="8" w:name="_Toc12566"/>
      <w:bookmarkStart w:id="9" w:name="_Toc25314"/>
      <w:r>
        <w:rPr>
          <w:rFonts w:hint="eastAsia" w:ascii="黑体" w:hAnsi="黑体" w:eastAsia="黑体" w:cs="黑体"/>
          <w:bCs/>
          <w:kern w:val="0"/>
          <w:sz w:val="32"/>
          <w:szCs w:val="32"/>
        </w:rPr>
        <w:t>一、收入支出决算总体情况说明</w:t>
      </w:r>
      <w:bookmarkEnd w:id="8"/>
      <w:bookmarkEnd w:id="9"/>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2023年度收入总计377.46万元，</w:t>
      </w:r>
      <w:r>
        <w:rPr>
          <w:rFonts w:hint="eastAsia" w:ascii="仿宋_GB2312" w:hAnsi="仿宋_GB2312" w:eastAsia="仿宋_GB2312" w:cs="仿宋_GB2312"/>
          <w:sz w:val="32"/>
          <w:szCs w:val="32"/>
        </w:rPr>
        <w:t>其中：本年收入合计338.37万元，使用非财政拨款结余39.09万元，年初结转和结余0.00万元；</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2023年度支出总计377.46万元，</w:t>
      </w:r>
      <w:r>
        <w:rPr>
          <w:rFonts w:hint="eastAsia" w:ascii="仿宋_GB2312" w:hAnsi="仿宋_GB2312" w:eastAsia="仿宋_GB2312" w:cs="仿宋_GB2312"/>
          <w:sz w:val="32"/>
          <w:szCs w:val="32"/>
        </w:rPr>
        <w:t>其中：本年支出合计377.46万元，结余分配0.00万元，年末结转和结余0.00万元。</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收入</w:t>
      </w:r>
      <w:r>
        <w:rPr>
          <w:rFonts w:hint="eastAsia" w:ascii="仿宋_GB2312" w:hAnsi="仿宋_GB2312" w:eastAsia="仿宋_GB2312" w:cs="仿宋_GB2312"/>
          <w:b/>
          <w:bCs/>
          <w:sz w:val="32"/>
          <w:szCs w:val="32"/>
          <w:lang w:val="en-US" w:eastAsia="zh-CN"/>
        </w:rPr>
        <w:t>支出总体</w:t>
      </w:r>
      <w:r>
        <w:rPr>
          <w:rFonts w:hint="eastAsia" w:ascii="仿宋_GB2312" w:hAnsi="仿宋_GB2312" w:eastAsia="仿宋_GB2312" w:cs="仿宋_GB2312"/>
          <w:b/>
          <w:bCs/>
          <w:sz w:val="32"/>
          <w:szCs w:val="32"/>
        </w:rPr>
        <w:t>与上年相比，</w:t>
      </w:r>
      <w:r>
        <w:rPr>
          <w:rFonts w:hint="eastAsia" w:ascii="仿宋_GB2312" w:hAnsi="仿宋_GB2312" w:eastAsia="仿宋_GB2312" w:cs="仿宋_GB2312"/>
          <w:sz w:val="32"/>
          <w:szCs w:val="32"/>
          <w:lang w:val="zh-CN"/>
        </w:rPr>
        <w:t>减少8.41万元</w:t>
      </w:r>
      <w:r>
        <w:rPr>
          <w:rFonts w:hint="eastAsia" w:ascii="仿宋_GB2312" w:hAnsi="仿宋_GB2312" w:eastAsia="仿宋_GB2312" w:cs="仿宋_GB2312"/>
          <w:sz w:val="32"/>
          <w:szCs w:val="32"/>
        </w:rPr>
        <w:t>，下降2.18%，主要原因：基本工资及绩效</w:t>
      </w:r>
      <w:r>
        <w:rPr>
          <w:rFonts w:hint="eastAsia" w:ascii="仿宋_GB2312" w:hAnsi="仿宋_GB2312" w:eastAsia="仿宋_GB2312" w:cs="仿宋_GB2312"/>
          <w:sz w:val="32"/>
          <w:szCs w:val="32"/>
          <w:lang w:val="en-US" w:eastAsia="zh-CN"/>
        </w:rPr>
        <w:t>调整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退休人员医疗补助金按照规定不再缴纳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使用非财政拨款结余较上年减少。</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10" w:name="_Toc1979"/>
      <w:bookmarkStart w:id="11" w:name="_Toc12142"/>
      <w:r>
        <w:rPr>
          <w:rFonts w:hint="eastAsia" w:ascii="黑体" w:hAnsi="黑体" w:eastAsia="黑体" w:cs="黑体"/>
          <w:bCs/>
          <w:kern w:val="0"/>
          <w:sz w:val="32"/>
          <w:szCs w:val="32"/>
        </w:rPr>
        <w:t>二、收入决算情况说明</w:t>
      </w:r>
      <w:bookmarkEnd w:id="10"/>
      <w:bookmarkEnd w:id="11"/>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本年收入338.37万元，</w:t>
      </w:r>
      <w:r>
        <w:rPr>
          <w:rFonts w:hint="eastAsia" w:ascii="仿宋_GB2312" w:hAnsi="仿宋_GB2312" w:eastAsia="仿宋_GB2312" w:cs="仿宋_GB2312"/>
          <w:sz w:val="32"/>
          <w:szCs w:val="32"/>
        </w:rPr>
        <w:t>其中：财政拨款收入</w:t>
      </w:r>
      <w:r>
        <w:rPr>
          <w:rFonts w:hint="eastAsia" w:ascii="仿宋_GB2312" w:hAnsi="仿宋_GB2312" w:eastAsia="仿宋_GB2312" w:cs="仿宋_GB2312"/>
          <w:sz w:val="32"/>
          <w:szCs w:val="32"/>
          <w:lang w:val="zh-CN"/>
        </w:rPr>
        <w:t>338.00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99.89</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zh-CN"/>
        </w:rPr>
        <w:t>0.37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0.11</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12" w:name="_Toc27961"/>
      <w:bookmarkStart w:id="13" w:name="_Toc13201"/>
      <w:r>
        <w:rPr>
          <w:rFonts w:hint="eastAsia" w:ascii="黑体" w:hAnsi="黑体" w:eastAsia="黑体" w:cs="黑体"/>
          <w:bCs/>
          <w:kern w:val="0"/>
          <w:sz w:val="32"/>
          <w:szCs w:val="32"/>
        </w:rPr>
        <w:t>三、支出决算情况说明</w:t>
      </w:r>
      <w:bookmarkEnd w:id="12"/>
      <w:bookmarkEnd w:id="13"/>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本年支出377.46万元，</w:t>
      </w:r>
      <w:r>
        <w:rPr>
          <w:rFonts w:hint="eastAsia" w:ascii="仿宋_GB2312" w:hAnsi="仿宋_GB2312" w:eastAsia="仿宋_GB2312" w:cs="仿宋_GB2312"/>
          <w:sz w:val="32"/>
          <w:szCs w:val="32"/>
        </w:rPr>
        <w:t>其中：基本支出273.87万元，占72.56%；项目支出103.59万元，占27.44</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；上缴上级支出0.00万元，占0.00</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；经营支出0.00万元，占0.00%；对附属单位补助支出0.00万元，占0.00</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14" w:name="_Toc4393"/>
      <w:bookmarkStart w:id="15" w:name="_Toc26564"/>
      <w:r>
        <w:rPr>
          <w:rFonts w:hint="eastAsia" w:ascii="黑体" w:hAnsi="黑体" w:eastAsia="黑体" w:cs="黑体"/>
          <w:bCs/>
          <w:kern w:val="0"/>
          <w:sz w:val="32"/>
          <w:szCs w:val="32"/>
        </w:rPr>
        <w:t>四、财政拨款收入支出决算总体情况说明</w:t>
      </w:r>
      <w:bookmarkEnd w:id="14"/>
      <w:bookmarkEnd w:id="15"/>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2023年度财政拨款收入总计</w:t>
      </w:r>
      <w:r>
        <w:rPr>
          <w:rFonts w:hint="eastAsia" w:ascii="仿宋_GB2312" w:hAnsi="仿宋_GB2312" w:eastAsia="仿宋_GB2312" w:cs="仿宋_GB2312"/>
          <w:b/>
          <w:bCs/>
          <w:sz w:val="32"/>
          <w:szCs w:val="32"/>
          <w:lang w:val="zh-CN"/>
        </w:rPr>
        <w:t>338.00</w:t>
      </w:r>
      <w:r>
        <w:rPr>
          <w:rFonts w:hint="eastAsia" w:ascii="仿宋_GB2312" w:hAnsi="仿宋_GB2312" w:eastAsia="仿宋_GB2312" w:cs="仿宋_GB2312"/>
          <w:b/>
          <w:bCs/>
          <w:sz w:val="32"/>
          <w:szCs w:val="32"/>
        </w:rPr>
        <w:t>万元，</w:t>
      </w:r>
      <w:r>
        <w:rPr>
          <w:rFonts w:hint="eastAsia" w:ascii="仿宋_GB2312" w:hAnsi="仿宋_GB2312" w:eastAsia="仿宋_GB2312" w:cs="仿宋_GB2312"/>
          <w:sz w:val="32"/>
          <w:szCs w:val="32"/>
        </w:rPr>
        <w:t>其中：年初财政拨款结转和结余</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万元，本年财政拨款收入</w:t>
      </w:r>
      <w:r>
        <w:rPr>
          <w:rFonts w:hint="eastAsia" w:ascii="仿宋_GB2312" w:hAnsi="仿宋_GB2312" w:eastAsia="仿宋_GB2312" w:cs="仿宋_GB2312"/>
          <w:sz w:val="32"/>
          <w:szCs w:val="32"/>
          <w:lang w:val="zh-CN"/>
        </w:rPr>
        <w:t>338.00</w:t>
      </w:r>
      <w:r>
        <w:rPr>
          <w:rFonts w:hint="eastAsia" w:ascii="仿宋_GB2312" w:hAnsi="仿宋_GB2312" w:eastAsia="仿宋_GB2312" w:cs="仿宋_GB2312"/>
          <w:sz w:val="32"/>
          <w:szCs w:val="32"/>
        </w:rPr>
        <w:t>万元；</w:t>
      </w:r>
      <w:r>
        <w:rPr>
          <w:rFonts w:hint="eastAsia" w:ascii="仿宋_GB2312" w:hAnsi="仿宋_GB2312" w:eastAsia="仿宋_GB2312" w:cs="仿宋_GB2312"/>
          <w:b/>
          <w:bCs/>
          <w:sz w:val="32"/>
          <w:szCs w:val="32"/>
        </w:rPr>
        <w:t>财政拨款支出总计</w:t>
      </w:r>
      <w:r>
        <w:rPr>
          <w:rFonts w:hint="eastAsia" w:ascii="仿宋_GB2312" w:hAnsi="仿宋_GB2312" w:eastAsia="仿宋_GB2312" w:cs="仿宋_GB2312"/>
          <w:b/>
          <w:bCs/>
          <w:sz w:val="32"/>
          <w:szCs w:val="32"/>
          <w:lang w:val="zh-CN"/>
        </w:rPr>
        <w:t>338.00</w:t>
      </w:r>
      <w:r>
        <w:rPr>
          <w:rFonts w:hint="eastAsia" w:ascii="仿宋_GB2312" w:hAnsi="仿宋_GB2312" w:eastAsia="仿宋_GB2312" w:cs="仿宋_GB2312"/>
          <w:b/>
          <w:bCs/>
          <w:sz w:val="32"/>
          <w:szCs w:val="32"/>
        </w:rPr>
        <w:t>万元，</w:t>
      </w:r>
      <w:r>
        <w:rPr>
          <w:rFonts w:hint="eastAsia" w:ascii="仿宋_GB2312" w:hAnsi="仿宋_GB2312" w:eastAsia="仿宋_GB2312" w:cs="仿宋_GB2312"/>
          <w:sz w:val="32"/>
          <w:szCs w:val="32"/>
        </w:rPr>
        <w:t>其中：年末财政拨款结转和结余</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万元，本年财政拨款支出</w:t>
      </w:r>
      <w:r>
        <w:rPr>
          <w:rFonts w:hint="eastAsia" w:ascii="仿宋_GB2312" w:hAnsi="仿宋_GB2312" w:eastAsia="仿宋_GB2312" w:cs="仿宋_GB2312"/>
          <w:sz w:val="32"/>
          <w:szCs w:val="32"/>
          <w:lang w:val="zh-CN"/>
        </w:rPr>
        <w:t>338.00</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财政拨款收入支出总计与上年相比，</w:t>
      </w:r>
      <w:r>
        <w:rPr>
          <w:rFonts w:hint="eastAsia" w:ascii="仿宋_GB2312" w:hAnsi="仿宋_GB2312" w:eastAsia="仿宋_GB2312" w:cs="仿宋_GB2312"/>
          <w:sz w:val="32"/>
          <w:szCs w:val="32"/>
          <w:lang w:val="zh-CN"/>
        </w:rPr>
        <w:t>减少6.08万元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下降1.77%，</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：基本工资及绩效</w:t>
      </w:r>
      <w:r>
        <w:rPr>
          <w:rFonts w:hint="eastAsia" w:ascii="仿宋_GB2312" w:hAnsi="仿宋_GB2312" w:eastAsia="仿宋_GB2312" w:cs="仿宋_GB2312"/>
          <w:sz w:val="32"/>
          <w:szCs w:val="32"/>
          <w:lang w:val="en-US" w:eastAsia="zh-CN"/>
        </w:rPr>
        <w:t>调整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退休人员医疗补助金按照规定不再缴纳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项目支出较上年减少</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与年初预算相比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val="zh-CN"/>
        </w:rPr>
        <w:t>341.60</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338.00</w:t>
      </w:r>
      <w:r>
        <w:rPr>
          <w:rFonts w:hint="eastAsia" w:ascii="仿宋_GB2312" w:hAnsi="仿宋_GB2312" w:eastAsia="仿宋_GB2312" w:cs="仿宋_GB2312"/>
          <w:sz w:val="32"/>
          <w:szCs w:val="32"/>
        </w:rPr>
        <w:t>万元，预决算差异率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%，主要原因是：退休人员医疗补助金按照规定不再缴纳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财政</w:t>
      </w:r>
      <w:r>
        <w:rPr>
          <w:rFonts w:hint="eastAsia" w:ascii="仿宋_GB2312" w:hAnsi="仿宋_GB2312" w:eastAsia="仿宋_GB2312" w:cs="仿宋_GB2312"/>
          <w:sz w:val="32"/>
          <w:szCs w:val="32"/>
        </w:rPr>
        <w:t>收回退休人员医疗补助金指标。</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16" w:name="_Toc13833"/>
      <w:bookmarkStart w:id="17" w:name="_Toc20360"/>
      <w:r>
        <w:rPr>
          <w:rFonts w:hint="eastAsia" w:ascii="黑体" w:hAnsi="黑体" w:eastAsia="黑体" w:cs="黑体"/>
          <w:bCs/>
          <w:kern w:val="0"/>
          <w:sz w:val="32"/>
          <w:szCs w:val="32"/>
        </w:rPr>
        <w:t>五、一般公共预算财政拨款支出决算情况说明</w:t>
      </w:r>
      <w:bookmarkEnd w:id="16"/>
      <w:bookmarkEnd w:id="17"/>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（一）一般公共预算财政拨款支出决算总体情况</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2023年度一般公共预算财政拨款支出338.00万元，</w:t>
      </w:r>
      <w:r>
        <w:rPr>
          <w:rFonts w:hint="eastAsia" w:ascii="仿宋_GB2312" w:hAnsi="仿宋_GB2312" w:eastAsia="仿宋_GB2312" w:cs="仿宋_GB2312"/>
          <w:sz w:val="32"/>
          <w:szCs w:val="32"/>
        </w:rPr>
        <w:t>占本年支出合计的</w:t>
      </w:r>
      <w:r>
        <w:rPr>
          <w:rFonts w:hint="eastAsia" w:ascii="仿宋_GB2312" w:hAnsi="仿宋_GB2312" w:eastAsia="仿宋_GB2312" w:cs="仿宋_GB2312"/>
          <w:sz w:val="32"/>
          <w:szCs w:val="32"/>
          <w:lang w:val="zh-CN"/>
        </w:rPr>
        <w:t>89.55%</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与上年相比，</w:t>
      </w:r>
      <w:r>
        <w:rPr>
          <w:rFonts w:hint="eastAsia" w:ascii="仿宋_GB2312" w:hAnsi="仿宋_GB2312" w:eastAsia="仿宋_GB2312" w:cs="仿宋_GB2312"/>
          <w:sz w:val="32"/>
          <w:szCs w:val="32"/>
          <w:lang w:val="zh-CN"/>
        </w:rPr>
        <w:t>减少6.08万元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下降1.77%，</w:t>
      </w:r>
      <w:r>
        <w:rPr>
          <w:rFonts w:hint="eastAsia" w:ascii="仿宋_GB2312" w:hAnsi="仿宋_GB2312" w:eastAsia="仿宋_GB2312" w:cs="仿宋_GB2312"/>
          <w:sz w:val="32"/>
          <w:szCs w:val="32"/>
        </w:rPr>
        <w:t>主要原因是：基本工资及绩效</w:t>
      </w:r>
      <w:r>
        <w:rPr>
          <w:rFonts w:hint="eastAsia" w:ascii="仿宋_GB2312" w:hAnsi="仿宋_GB2312" w:eastAsia="仿宋_GB2312" w:cs="仿宋_GB2312"/>
          <w:sz w:val="32"/>
          <w:szCs w:val="32"/>
          <w:lang w:val="en-US" w:eastAsia="zh-CN"/>
        </w:rPr>
        <w:t>调整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退休人员医疗补助金按照规定不再缴纳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项目支出较上年减少</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与年初预算相比</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val="zh-CN"/>
        </w:rPr>
        <w:t>341.60</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338.00</w:t>
      </w:r>
      <w:r>
        <w:rPr>
          <w:rFonts w:hint="eastAsia" w:ascii="仿宋_GB2312" w:hAnsi="仿宋_GB2312" w:eastAsia="仿宋_GB2312" w:cs="仿宋_GB2312"/>
          <w:sz w:val="32"/>
          <w:szCs w:val="32"/>
        </w:rPr>
        <w:t>万元，预决算差异率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zh-CN"/>
        </w:rPr>
        <w:t>1.0</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，主要原因是：退休人员医疗补助金按照规定不再缴纳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财政</w:t>
      </w:r>
      <w:r>
        <w:rPr>
          <w:rFonts w:hint="eastAsia" w:ascii="仿宋_GB2312" w:hAnsi="仿宋_GB2312" w:eastAsia="仿宋_GB2312" w:cs="仿宋_GB2312"/>
          <w:sz w:val="32"/>
          <w:szCs w:val="32"/>
        </w:rPr>
        <w:t>收回退休人员医疗补助金指标。</w:t>
      </w:r>
    </w:p>
    <w:p>
      <w:pPr>
        <w:keepNext w:val="0"/>
        <w:keepLines w:val="0"/>
        <w:pageBreakBefore w:val="0"/>
        <w:numPr>
          <w:ilvl w:val="0"/>
          <w:numId w:val="1"/>
        </w:numPr>
        <w:kinsoku/>
        <w:wordWrap/>
        <w:overflowPunct/>
        <w:topLinePunct w:val="0"/>
        <w:autoSpaceDE/>
        <w:autoSpaceDN/>
        <w:bidi w:val="0"/>
        <w:adjustRightInd/>
        <w:snapToGrid/>
        <w:spacing w:line="240" w:lineRule="auto"/>
        <w:ind w:right="0" w:rightChars="0" w:firstLine="642" w:firstLineChars="200"/>
        <w:jc w:val="left"/>
        <w:textAlignment w:val="auto"/>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一般公共预算财政拨款支出决算结构情况</w:t>
      </w:r>
    </w:p>
    <w:p>
      <w:pPr>
        <w:pStyle w:val="8"/>
        <w:keepNext w:val="0"/>
        <w:keepLines w:val="0"/>
        <w:pageBreakBefore w:val="0"/>
        <w:widowControl/>
        <w:numPr>
          <w:ilvl w:val="0"/>
          <w:numId w:val="0"/>
        </w:numPr>
        <w:tabs>
          <w:tab w:val="left" w:pos="312"/>
        </w:tabs>
        <w:kinsoku/>
        <w:wordWrap/>
        <w:overflowPunct/>
        <w:topLinePunct w:val="0"/>
        <w:autoSpaceDE/>
        <w:autoSpaceDN/>
        <w:bidi w:val="0"/>
        <w:adjustRightInd/>
        <w:snapToGrid/>
        <w:spacing w:before="0" w:beforeAutospacing="0" w:after="0" w:afterAutospacing="0" w:line="240" w:lineRule="auto"/>
        <w:ind w:right="0" w:rightChars="0" w:firstLine="640" w:firstLineChars="200"/>
        <w:textAlignment w:val="auto"/>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val="zh-CN"/>
        </w:rPr>
        <w:t>社会保障和就业支出（类）65.03万元，占19.24%。</w:t>
      </w:r>
    </w:p>
    <w:p>
      <w:pPr>
        <w:pStyle w:val="8"/>
        <w:keepNext w:val="0"/>
        <w:keepLines w:val="0"/>
        <w:pageBreakBefore w:val="0"/>
        <w:widowControl/>
        <w:numPr>
          <w:ilvl w:val="0"/>
          <w:numId w:val="0"/>
        </w:numPr>
        <w:tabs>
          <w:tab w:val="left" w:pos="312"/>
        </w:tabs>
        <w:kinsoku/>
        <w:wordWrap/>
        <w:overflowPunct/>
        <w:topLinePunct w:val="0"/>
        <w:autoSpaceDE/>
        <w:autoSpaceDN/>
        <w:bidi w:val="0"/>
        <w:adjustRightInd/>
        <w:snapToGrid/>
        <w:spacing w:before="0" w:beforeAutospacing="0" w:after="0" w:afterAutospacing="0" w:line="240" w:lineRule="auto"/>
        <w:ind w:right="0" w:rightChars="0" w:firstLine="640" w:firstLineChars="200"/>
        <w:textAlignment w:val="auto"/>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val="zh-CN"/>
        </w:rPr>
        <w:t>卫生健康支出（类）22.25万元，占6.58%。</w:t>
      </w:r>
    </w:p>
    <w:p>
      <w:pPr>
        <w:pStyle w:val="8"/>
        <w:keepNext w:val="0"/>
        <w:keepLines w:val="0"/>
        <w:pageBreakBefore w:val="0"/>
        <w:widowControl/>
        <w:numPr>
          <w:ilvl w:val="0"/>
          <w:numId w:val="0"/>
        </w:numPr>
        <w:tabs>
          <w:tab w:val="left" w:pos="312"/>
        </w:tabs>
        <w:kinsoku/>
        <w:wordWrap/>
        <w:overflowPunct/>
        <w:topLinePunct w:val="0"/>
        <w:autoSpaceDE/>
        <w:autoSpaceDN/>
        <w:bidi w:val="0"/>
        <w:adjustRightInd/>
        <w:snapToGrid/>
        <w:spacing w:before="0" w:beforeAutospacing="0" w:after="0" w:afterAutospacing="0" w:line="240" w:lineRule="auto"/>
        <w:ind w:right="0" w:rightChars="0" w:firstLine="640" w:firstLineChars="200"/>
        <w:textAlignment w:val="auto"/>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lang w:val="zh-CN"/>
        </w:rPr>
        <w:t>资源勘探信息等支出（类）233.05万元，占68.95%。</w:t>
      </w:r>
    </w:p>
    <w:p>
      <w:pPr>
        <w:pStyle w:val="8"/>
        <w:keepNext w:val="0"/>
        <w:keepLines w:val="0"/>
        <w:pageBreakBefore w:val="0"/>
        <w:widowControl/>
        <w:numPr>
          <w:ilvl w:val="0"/>
          <w:numId w:val="0"/>
        </w:numPr>
        <w:tabs>
          <w:tab w:val="left" w:pos="312"/>
        </w:tabs>
        <w:kinsoku/>
        <w:wordWrap/>
        <w:overflowPunct/>
        <w:topLinePunct w:val="0"/>
        <w:autoSpaceDE/>
        <w:autoSpaceDN/>
        <w:bidi w:val="0"/>
        <w:adjustRightInd/>
        <w:snapToGrid/>
        <w:spacing w:before="0" w:beforeAutospacing="0" w:after="0" w:afterAutospacing="0" w:line="240" w:lineRule="auto"/>
        <w:ind w:right="0" w:rightChars="0" w:firstLine="640" w:firstLineChars="200"/>
        <w:textAlignment w:val="auto"/>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en-US" w:eastAsia="zh-CN"/>
        </w:rPr>
        <w:t>4.</w:t>
      </w:r>
      <w:r>
        <w:rPr>
          <w:rFonts w:hint="eastAsia" w:ascii="仿宋_GB2312" w:hAnsi="仿宋_GB2312" w:eastAsia="仿宋_GB2312" w:cs="仿宋_GB2312"/>
          <w:kern w:val="2"/>
          <w:sz w:val="32"/>
          <w:szCs w:val="32"/>
          <w:lang w:val="zh-CN"/>
        </w:rPr>
        <w:t>住房保障支出（类）17.67万元，占5.23%。</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（三）一般公共预算财政拨款支出决算具体情况</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1.社会保障和就业支出(类)行政事业单位养老支出(款)事业单位离退休(项):支出决算数为42.8万元，比上年决算减少8.16万元，下降16.01%,主要原因是:根据相关规定退休人员医疗费补助不再缴纳，财政收回预算</w:t>
      </w:r>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lang w:val="zh-CN"/>
        </w:rPr>
        <w:t>。</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kern w:val="0"/>
          <w:sz w:val="32"/>
          <w:szCs w:val="32"/>
          <w:highlight w:val="yellow"/>
        </w:rPr>
      </w:pPr>
      <w:r>
        <w:rPr>
          <w:rFonts w:hint="eastAsia" w:ascii="仿宋_GB2312" w:hAnsi="仿宋_GB2312" w:eastAsia="仿宋_GB2312" w:cs="仿宋_GB2312"/>
          <w:kern w:val="0"/>
          <w:sz w:val="32"/>
          <w:szCs w:val="32"/>
        </w:rPr>
        <w:t>2.社会保障和就业支出(类)行政事业单位养老支出(款)机关事业单位基本养老保险缴费支出(项):支出决算数为22.23万元，比上年决算增加3.31万元，增长17.49%,主要原因是:在职人员机关事业单位基本养老保险缴费增长。</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3.卫生健康支出(类)行政事业单位医疗(款)事业单位医疗(项):支出决算数为12.53万元，比上年决算增加2.87万元，增长29.71%,主要原因是:在职人员基本医疗保险缴费增长。</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4.卫生健康支出(类)行政事业单位医疗(款)公务员医疗补助(项):支出决算数为9.72万元，比上年决算增加2.2万元，增长29.26%,主要原因是:在职人员基本医疗保险缴费增长。</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5.资源勘探工业信息等支出(类)工业和信息产业监管(款)事业运行(项):支出决算数为168.65万元，比上年决算减少9.34万元，下降5.25%,主要原因是:2022年补发绩效，导致2023年该项支出较</w:t>
      </w:r>
      <w:r>
        <w:rPr>
          <w:rFonts w:hint="eastAsia" w:ascii="仿宋_GB2312" w:hAnsi="仿宋_GB2312" w:eastAsia="仿宋_GB2312" w:cs="仿宋_GB2312"/>
          <w:kern w:val="0"/>
          <w:sz w:val="32"/>
          <w:szCs w:val="32"/>
          <w:lang w:val="en-US" w:eastAsia="zh-CN"/>
        </w:rPr>
        <w:t>上年减少</w:t>
      </w:r>
      <w:r>
        <w:rPr>
          <w:rFonts w:hint="eastAsia" w:ascii="仿宋_GB2312" w:hAnsi="仿宋_GB2312" w:eastAsia="仿宋_GB2312" w:cs="仿宋_GB2312"/>
          <w:kern w:val="0"/>
          <w:sz w:val="32"/>
          <w:szCs w:val="32"/>
        </w:rPr>
        <w:t>。</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6.资源勘探工业信息等支出(类)工业和信息产业监管(款)其他工业和信息产业监管支出(项):支出决算数为64.4万元，比上年决算减少0.6万元，下降0.92%,主要原因是:根据工作安排及实际需求使用该专项资金。</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仿宋_GB2312" w:hAnsi="仿宋_GB2312" w:eastAsia="仿宋_GB2312" w:cs="仿宋_GB2312"/>
          <w:kern w:val="0"/>
          <w:sz w:val="32"/>
          <w:szCs w:val="32"/>
        </w:rPr>
      </w:pPr>
      <w:bookmarkStart w:id="18" w:name="_Toc11146"/>
      <w:bookmarkStart w:id="19" w:name="_Toc30870"/>
      <w:bookmarkStart w:id="20" w:name="_Toc7190"/>
      <w:bookmarkStart w:id="21" w:name="_Toc21518"/>
      <w:r>
        <w:rPr>
          <w:rFonts w:hint="eastAsia" w:ascii="仿宋_GB2312" w:hAnsi="仿宋_GB2312" w:eastAsia="仿宋_GB2312" w:cs="仿宋_GB2312"/>
          <w:kern w:val="0"/>
          <w:sz w:val="32"/>
          <w:szCs w:val="32"/>
        </w:rPr>
        <w:t>7.住房保障支出(类)住房改革支出(款)住房公积金（项）:支出决算数为17.67万元，比上年决算增加4.23万元，增长31.47%,主要原因是:在职人员住房公积金缴费增长。</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仿宋_GB2312" w:hAnsi="仿宋_GB2312" w:eastAsia="仿宋_GB2312" w:cs="仿宋_GB2312"/>
          <w:bCs/>
          <w:kern w:val="0"/>
          <w:sz w:val="32"/>
          <w:szCs w:val="32"/>
        </w:rPr>
      </w:pPr>
      <w:bookmarkStart w:id="52" w:name="_GoBack"/>
      <w:bookmarkEnd w:id="52"/>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社会保障和就业支出(类)行政事业单位养老支出(款)机关事业单位</w:t>
      </w:r>
      <w:r>
        <w:rPr>
          <w:rFonts w:hint="eastAsia" w:ascii="仿宋_GB2312" w:hAnsi="仿宋_GB2312" w:eastAsia="仿宋_GB2312" w:cs="仿宋_GB2312"/>
          <w:kern w:val="0"/>
          <w:sz w:val="32"/>
          <w:szCs w:val="32"/>
          <w:lang w:val="en-US" w:eastAsia="zh-CN"/>
        </w:rPr>
        <w:t>职业年金</w:t>
      </w:r>
      <w:r>
        <w:rPr>
          <w:rFonts w:hint="eastAsia" w:ascii="仿宋_GB2312" w:hAnsi="仿宋_GB2312" w:eastAsia="仿宋_GB2312" w:cs="仿宋_GB2312"/>
          <w:kern w:val="0"/>
          <w:sz w:val="32"/>
          <w:szCs w:val="32"/>
        </w:rPr>
        <w:t>缴费支出(项):支出决算数为</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万元，比上年决算</w:t>
      </w:r>
      <w:r>
        <w:rPr>
          <w:rFonts w:hint="eastAsia" w:ascii="仿宋_GB2312" w:hAnsi="仿宋_GB2312" w:eastAsia="仿宋_GB2312" w:cs="仿宋_GB2312"/>
          <w:kern w:val="0"/>
          <w:sz w:val="32"/>
          <w:szCs w:val="32"/>
          <w:lang w:val="en-US" w:eastAsia="zh-CN"/>
        </w:rPr>
        <w:t>减少0.61</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val="en-US" w:eastAsia="zh-CN"/>
        </w:rPr>
        <w:t>下降100</w:t>
      </w:r>
      <w:r>
        <w:rPr>
          <w:rFonts w:hint="eastAsia" w:ascii="仿宋_GB2312" w:hAnsi="仿宋_GB2312" w:eastAsia="仿宋_GB2312" w:cs="仿宋_GB2312"/>
          <w:kern w:val="0"/>
          <w:sz w:val="32"/>
          <w:szCs w:val="32"/>
        </w:rPr>
        <w:t>%,主要原因是:</w:t>
      </w:r>
      <w:r>
        <w:rPr>
          <w:rFonts w:hint="eastAsia" w:ascii="仿宋_GB2312" w:hAnsi="仿宋_GB2312" w:eastAsia="仿宋_GB2312" w:cs="仿宋_GB2312"/>
          <w:kern w:val="0"/>
          <w:sz w:val="32"/>
          <w:szCs w:val="32"/>
          <w:lang w:val="en-US" w:eastAsia="zh-CN"/>
        </w:rPr>
        <w:t>2021年单位有1人辞职。</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r>
        <w:rPr>
          <w:rFonts w:hint="eastAsia" w:ascii="黑体" w:hAnsi="黑体" w:eastAsia="黑体" w:cs="黑体"/>
          <w:bCs/>
          <w:kern w:val="0"/>
          <w:sz w:val="32"/>
          <w:szCs w:val="32"/>
        </w:rPr>
        <w:t>六、一般公共预算财政拨款基本支出决算情况说明</w:t>
      </w:r>
      <w:bookmarkEnd w:id="18"/>
      <w:bookmarkEnd w:id="19"/>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2023年度一般公共预算财政拨款基本支出273.60万元，其中：</w:t>
      </w:r>
      <w:r>
        <w:rPr>
          <w:rFonts w:hint="eastAsia" w:ascii="仿宋_GB2312" w:hAnsi="仿宋_GB2312" w:eastAsia="仿宋_GB2312" w:cs="仿宋_GB2312"/>
          <w:b/>
          <w:bCs/>
          <w:sz w:val="32"/>
          <w:szCs w:val="32"/>
        </w:rPr>
        <w:t>人员经费262.38万元，</w:t>
      </w:r>
      <w:r>
        <w:rPr>
          <w:rFonts w:hint="eastAsia" w:ascii="仿宋_GB2312" w:hAnsi="仿宋_GB2312" w:eastAsia="仿宋_GB2312" w:cs="仿宋_GB2312"/>
          <w:sz w:val="32"/>
          <w:szCs w:val="32"/>
        </w:rPr>
        <w:t>包括：基本工资、津贴补贴、奖金、绩效工资、机关事业单位基本养老保险缴费、职工基本医疗保险缴费、公务员医疗补助缴费、其他社会保障缴费、住房公积金、离休费、退休费、其他对个人和家庭的补助。</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b/>
          <w:bCs/>
          <w:sz w:val="32"/>
          <w:szCs w:val="32"/>
        </w:rPr>
        <w:t>公用经费11.21万元，</w:t>
      </w:r>
      <w:r>
        <w:rPr>
          <w:rFonts w:hint="eastAsia" w:ascii="仿宋_GB2312" w:hAnsi="仿宋_GB2312" w:eastAsia="仿宋_GB2312" w:cs="仿宋_GB2312"/>
          <w:sz w:val="32"/>
          <w:szCs w:val="32"/>
        </w:rPr>
        <w:t>包括：办公费、邮电费、差旅费、培训费、工会经费、福利费、公务用车运行维护费。</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七、财政拨款“三公”经费支出决算情况说明</w:t>
      </w:r>
      <w:bookmarkEnd w:id="20"/>
      <w:bookmarkEnd w:id="21"/>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2023年度</w:t>
      </w:r>
      <w:r>
        <w:rPr>
          <w:rFonts w:hint="eastAsia" w:ascii="仿宋_GB2312" w:hAnsi="仿宋_GB2312" w:eastAsia="仿宋_GB2312" w:cs="仿宋_GB2312"/>
          <w:b/>
          <w:bCs/>
          <w:sz w:val="32"/>
          <w:szCs w:val="32"/>
        </w:rPr>
        <w:t>财政拨款</w:t>
      </w:r>
      <w:r>
        <w:rPr>
          <w:rFonts w:hint="eastAsia" w:ascii="仿宋_GB2312" w:hAnsi="仿宋_GB2312" w:eastAsia="仿宋_GB2312" w:cs="仿宋_GB2312"/>
          <w:b/>
          <w:bCs/>
          <w:sz w:val="32"/>
          <w:szCs w:val="32"/>
          <w:lang w:val="zh-CN"/>
        </w:rPr>
        <w:t>“三公”经费支出决算0.70万元，</w:t>
      </w:r>
      <w:r>
        <w:rPr>
          <w:rFonts w:hint="eastAsia" w:ascii="仿宋_GB2312" w:hAnsi="仿宋_GB2312" w:eastAsia="仿宋_GB2312" w:cs="仿宋_GB2312"/>
          <w:sz w:val="32"/>
          <w:szCs w:val="32"/>
        </w:rPr>
        <w:t>比上年</w:t>
      </w:r>
      <w:r>
        <w:rPr>
          <w:rFonts w:hint="eastAsia" w:ascii="仿宋_GB2312" w:hAnsi="仿宋_GB2312" w:eastAsia="仿宋_GB2312" w:cs="仿宋_GB2312"/>
          <w:sz w:val="32"/>
          <w:szCs w:val="32"/>
          <w:lang w:val="zh-CN"/>
        </w:rPr>
        <w:t>减少0.70万元，下降50.0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zh-CN"/>
        </w:rPr>
        <w:t>%，主要原因是：厉行节约，</w:t>
      </w:r>
      <w:r>
        <w:rPr>
          <w:rFonts w:hint="eastAsia" w:ascii="仿宋_GB2312" w:hAnsi="仿宋_GB2312" w:eastAsia="仿宋_GB2312" w:cs="仿宋_GB2312"/>
          <w:sz w:val="32"/>
          <w:szCs w:val="32"/>
          <w:lang w:val="en-US" w:eastAsia="zh-CN"/>
        </w:rPr>
        <w:t>严格控制</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三公</w:t>
      </w:r>
      <w:r>
        <w:rPr>
          <w:rFonts w:hint="eastAsia" w:ascii="仿宋_GB2312" w:hAnsi="仿宋_GB2312" w:eastAsia="仿宋_GB2312" w:cs="仿宋_GB2312"/>
          <w:sz w:val="32"/>
          <w:szCs w:val="32"/>
          <w:lang w:val="zh-CN"/>
        </w:rPr>
        <w:t>”费用</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lang w:val="zh-CN"/>
        </w:rPr>
        <w:t>。其中：因公出国（境）费支出0.00万元，占0.00%，</w:t>
      </w:r>
      <w:r>
        <w:rPr>
          <w:rFonts w:hint="eastAsia" w:ascii="仿宋_GB2312" w:hAnsi="仿宋_GB2312" w:eastAsia="仿宋_GB2312" w:cs="仿宋_GB2312"/>
          <w:b w:val="0"/>
          <w:bCs w:val="0"/>
          <w:sz w:val="32"/>
          <w:szCs w:val="32"/>
          <w:lang w:val="zh-CN" w:eastAsia="zh-CN"/>
        </w:rPr>
        <w:t>比上年增加0.00万元，</w:t>
      </w:r>
      <w:r>
        <w:rPr>
          <w:rFonts w:hint="eastAsia" w:ascii="仿宋_GB2312" w:hAnsi="仿宋_GB2312" w:eastAsia="仿宋_GB2312" w:cs="仿宋_GB2312"/>
          <w:b w:val="0"/>
          <w:bCs w:val="0"/>
          <w:sz w:val="32"/>
          <w:szCs w:val="32"/>
          <w:lang w:val="en-US" w:eastAsia="zh-CN"/>
        </w:rPr>
        <w:t>增长0.00%</w:t>
      </w:r>
      <w:r>
        <w:rPr>
          <w:rFonts w:hint="eastAsia" w:ascii="仿宋_GB2312" w:hAnsi="仿宋_GB2312" w:eastAsia="仿宋_GB2312" w:cs="仿宋_GB2312"/>
          <w:sz w:val="32"/>
          <w:szCs w:val="32"/>
          <w:lang w:val="zh-CN"/>
        </w:rPr>
        <w:t>，主要原因是：我单位无因公出国（境）费；公务用车购置及运行维护费支出0.70万元，占100.00%，比上年减少0.70万元，下降50.0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zh-CN"/>
        </w:rPr>
        <w:t>%，主要原因是：厉行节约，</w:t>
      </w:r>
      <w:r>
        <w:rPr>
          <w:rFonts w:hint="eastAsia" w:ascii="仿宋_GB2312" w:hAnsi="仿宋_GB2312" w:eastAsia="仿宋_GB2312" w:cs="仿宋_GB2312"/>
          <w:sz w:val="32"/>
          <w:szCs w:val="32"/>
          <w:lang w:val="en-US" w:eastAsia="zh-CN"/>
        </w:rPr>
        <w:t>严控</w:t>
      </w:r>
      <w:r>
        <w:rPr>
          <w:rFonts w:hint="eastAsia" w:ascii="仿宋_GB2312" w:hAnsi="仿宋_GB2312" w:eastAsia="仿宋_GB2312" w:cs="仿宋_GB2312"/>
          <w:sz w:val="32"/>
          <w:szCs w:val="32"/>
          <w:lang w:val="zh-CN"/>
        </w:rPr>
        <w:t>车辆运行费用；公务接待费支出0.00万元，占0.00%，</w:t>
      </w:r>
      <w:r>
        <w:rPr>
          <w:rFonts w:hint="eastAsia" w:ascii="仿宋_GB2312" w:hAnsi="仿宋_GB2312" w:eastAsia="仿宋_GB2312" w:cs="仿宋_GB2312"/>
          <w:b w:val="0"/>
          <w:bCs w:val="0"/>
          <w:sz w:val="32"/>
          <w:szCs w:val="32"/>
          <w:lang w:val="zh-CN" w:eastAsia="zh-CN"/>
        </w:rPr>
        <w:t>比上年增加0.00万元，</w:t>
      </w:r>
      <w:r>
        <w:rPr>
          <w:rFonts w:hint="eastAsia" w:ascii="仿宋_GB2312" w:hAnsi="仿宋_GB2312" w:eastAsia="仿宋_GB2312" w:cs="仿宋_GB2312"/>
          <w:b w:val="0"/>
          <w:bCs w:val="0"/>
          <w:sz w:val="32"/>
          <w:szCs w:val="32"/>
          <w:lang w:val="en-US" w:eastAsia="zh-CN"/>
        </w:rPr>
        <w:t>增长0.00%</w:t>
      </w:r>
      <w:r>
        <w:rPr>
          <w:rFonts w:hint="eastAsia" w:ascii="仿宋_GB2312" w:hAnsi="仿宋_GB2312" w:eastAsia="仿宋_GB2312" w:cs="仿宋_GB2312"/>
          <w:sz w:val="32"/>
          <w:szCs w:val="32"/>
          <w:lang w:val="zh-CN"/>
        </w:rPr>
        <w:t>，主要原因是：我单位无公务接待费。</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具体情况如下：</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因公出国（境）费支出0.00万元，开支内容包括我单位无因公出国（境）费。单位全年安排的因公出国（境）团组0个，因公出国（境）0人次。</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公务用车购置及运行维护费0.70万元，其中：公务用车购置费0.00万元，公务用车运行维护费0.70万元。公务用车运行维护费开支内容包括燃油费、维修维护费。公务用车购置数0辆，公务用车保有量1辆。国有资产占用情况</w:t>
      </w:r>
      <w:r>
        <w:rPr>
          <w:rFonts w:hint="eastAsia" w:ascii="仿宋_GB2312" w:hAnsi="仿宋_GB2312" w:eastAsia="仿宋_GB2312" w:cs="仿宋_GB2312"/>
          <w:sz w:val="32"/>
          <w:szCs w:val="32"/>
        </w:rPr>
        <w:t>中固定资产车辆</w:t>
      </w:r>
      <w:r>
        <w:rPr>
          <w:rFonts w:hint="eastAsia" w:ascii="仿宋_GB2312" w:hAnsi="仿宋_GB2312" w:eastAsia="仿宋_GB2312" w:cs="仿宋_GB2312"/>
          <w:sz w:val="32"/>
          <w:szCs w:val="32"/>
          <w:lang w:val="zh-CN"/>
        </w:rPr>
        <w:t>1辆，</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zh-CN"/>
        </w:rPr>
        <w:t>公务用车</w:t>
      </w:r>
      <w:r>
        <w:rPr>
          <w:rFonts w:hint="eastAsia" w:ascii="仿宋_GB2312" w:hAnsi="仿宋_GB2312" w:eastAsia="仿宋_GB2312" w:cs="仿宋_GB2312"/>
          <w:sz w:val="32"/>
          <w:szCs w:val="32"/>
        </w:rPr>
        <w:t>保有量差异</w:t>
      </w:r>
      <w:r>
        <w:rPr>
          <w:rFonts w:hint="eastAsia" w:ascii="仿宋_GB2312" w:hAnsi="仿宋_GB2312" w:eastAsia="仿宋_GB2312" w:cs="仿宋_GB2312"/>
          <w:sz w:val="32"/>
          <w:szCs w:val="32"/>
          <w:lang w:val="zh-CN"/>
        </w:rPr>
        <w:t>原因是：我单位无差异。</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公务接待费0.00万元，开支内容包括我单位无公务接待费。单位全年安排的国内公务接待0批次，0人次。</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与</w:t>
      </w:r>
      <w:r>
        <w:rPr>
          <w:rFonts w:hint="eastAsia" w:ascii="仿宋_GB2312" w:hAnsi="仿宋_GB2312" w:eastAsia="仿宋_GB2312" w:cs="仿宋_GB2312"/>
          <w:b/>
          <w:bCs/>
          <w:sz w:val="32"/>
          <w:szCs w:val="32"/>
        </w:rPr>
        <w:t>全年</w:t>
      </w:r>
      <w:r>
        <w:rPr>
          <w:rFonts w:hint="eastAsia" w:ascii="仿宋_GB2312" w:hAnsi="仿宋_GB2312" w:eastAsia="仿宋_GB2312" w:cs="仿宋_GB2312"/>
          <w:b/>
          <w:bCs/>
          <w:sz w:val="32"/>
          <w:szCs w:val="32"/>
          <w:lang w:val="zh-CN"/>
        </w:rPr>
        <w:t>预算相比：</w:t>
      </w:r>
      <w:r>
        <w:rPr>
          <w:rFonts w:hint="eastAsia" w:ascii="仿宋_GB2312" w:hAnsi="仿宋_GB2312" w:eastAsia="仿宋_GB2312" w:cs="仿宋_GB2312"/>
          <w:b w:val="0"/>
          <w:bCs w:val="0"/>
          <w:sz w:val="32"/>
          <w:szCs w:val="32"/>
          <w:lang w:val="zh-CN"/>
        </w:rPr>
        <w:t>财</w:t>
      </w:r>
      <w:r>
        <w:rPr>
          <w:rFonts w:hint="eastAsia" w:ascii="仿宋_GB2312" w:hAnsi="仿宋_GB2312" w:eastAsia="仿宋_GB2312" w:cs="仿宋_GB2312"/>
          <w:sz w:val="32"/>
          <w:szCs w:val="32"/>
          <w:lang w:val="zh-CN"/>
        </w:rPr>
        <w:t>政拨款“三公”经费支出</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0.70万元，决算数0.70万元，预决算差异率0.00%，主要原因是：厉行节约，严格按照预算执行。其中：因公出国（境）费全年预算数0.00万元，决算数0.00万元，预决算差异率0.00%，主要原因是：我单位无因公出国（境）费；公务用车购置费全年预算数0万元，决算数0万元，预决算差异率0.00%，主要原因是：我单位无公务用车购置费；公务用车运行费全年预算数0.70万元，决算数0.70万元，预决算差异率0.00%，主要原因是：厉行节约，严格按照预算执行；公务接待费全年预算数0.00万元，决算数0.00万元，预决算差异率0.00%，主要原因是：我单位无公务接待费。</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22" w:name="_Toc5810"/>
      <w:bookmarkStart w:id="23" w:name="_Toc7927"/>
      <w:r>
        <w:rPr>
          <w:rFonts w:hint="eastAsia" w:ascii="黑体" w:hAnsi="黑体" w:eastAsia="黑体" w:cs="黑体"/>
          <w:bCs/>
          <w:kern w:val="0"/>
          <w:sz w:val="32"/>
          <w:szCs w:val="32"/>
        </w:rPr>
        <w:t>八、政府性基金预算财政拨款收入支出决算情况说明</w:t>
      </w:r>
      <w:bookmarkEnd w:id="22"/>
      <w:bookmarkEnd w:id="23"/>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我单位本年度无政府性基金预算财政拨款收入、支出及结转和结余，政府性基金预算财政拨款收入支出决算表为空表。</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九、国有资本经营预算财政拨款收入支出决算情况说明</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我单位本年度无国有资本经营预算财政拨款收入、支出及结转和结余，国有资本经营预算财政拨款收入支出决算表为空表。</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24" w:name="_Toc7314"/>
      <w:bookmarkStart w:id="25" w:name="_Toc1235"/>
      <w:r>
        <w:rPr>
          <w:rFonts w:hint="eastAsia" w:ascii="黑体" w:hAnsi="黑体" w:eastAsia="黑体" w:cs="黑体"/>
          <w:bCs/>
          <w:kern w:val="0"/>
          <w:sz w:val="32"/>
          <w:szCs w:val="32"/>
        </w:rPr>
        <w:t>十、其他重要事项的情况说明</w:t>
      </w:r>
      <w:bookmarkEnd w:id="24"/>
      <w:bookmarkEnd w:id="25"/>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outlineLvl w:val="2"/>
        <w:rPr>
          <w:rFonts w:hint="eastAsia" w:ascii="仿宋_GB2312" w:hAnsi="仿宋_GB2312" w:eastAsia="仿宋_GB2312" w:cs="仿宋_GB2312"/>
          <w:b/>
          <w:sz w:val="32"/>
          <w:szCs w:val="32"/>
        </w:rPr>
      </w:pPr>
      <w:bookmarkStart w:id="26" w:name="_Toc14519"/>
      <w:bookmarkStart w:id="27" w:name="_Toc13105"/>
      <w:r>
        <w:rPr>
          <w:rFonts w:hint="eastAsia" w:ascii="仿宋_GB2312" w:hAnsi="仿宋_GB2312" w:eastAsia="仿宋_GB2312" w:cs="仿宋_GB2312"/>
          <w:b/>
          <w:sz w:val="32"/>
          <w:szCs w:val="32"/>
        </w:rPr>
        <w:t>（一）机关运行经费支出情况</w:t>
      </w:r>
      <w:bookmarkEnd w:id="26"/>
      <w:bookmarkEnd w:id="27"/>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textAlignment w:val="auto"/>
        <w:rPr>
          <w:rFonts w:hint="eastAsia" w:ascii="仿宋_GB2312" w:hAnsi="仿宋_GB2312" w:eastAsia="仿宋_GB2312" w:cs="仿宋_GB2312"/>
          <w:sz w:val="32"/>
          <w:szCs w:val="32"/>
          <w:highlight w:val="red"/>
          <w:lang w:val="zh-CN"/>
        </w:rPr>
      </w:pPr>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新疆维吾尔自治区工业和信息化厅信息中心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事业单位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公用</w:t>
      </w:r>
      <w:r>
        <w:rPr>
          <w:rFonts w:hint="eastAsia" w:ascii="仿宋_GB2312" w:hAnsi="仿宋_GB2312" w:eastAsia="仿宋_GB2312" w:cs="仿宋_GB2312"/>
          <w:sz w:val="32"/>
          <w:szCs w:val="32"/>
          <w:lang w:val="zh-CN"/>
        </w:rPr>
        <w:t>经费支出</w:t>
      </w:r>
      <w:r>
        <w:rPr>
          <w:rFonts w:hint="eastAsia" w:ascii="仿宋_GB2312" w:hAnsi="仿宋_GB2312" w:eastAsia="仿宋_GB2312" w:cs="仿宋_GB2312"/>
          <w:sz w:val="32"/>
          <w:szCs w:val="32"/>
          <w:lang w:val="en-US" w:eastAsia="zh-CN"/>
        </w:rPr>
        <w:t>11.21万元，比上年</w:t>
      </w:r>
      <w:r>
        <w:rPr>
          <w:rFonts w:hint="eastAsia" w:ascii="仿宋_GB2312" w:hAnsi="仿宋_GB2312" w:eastAsia="仿宋_GB2312" w:cs="仿宋_GB2312"/>
          <w:sz w:val="32"/>
          <w:szCs w:val="32"/>
          <w:lang w:val="zh-CN"/>
        </w:rPr>
        <w:t>减少1.65万元，下降12.8</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%，主要原因是：差旅费支出</w:t>
      </w:r>
      <w:r>
        <w:rPr>
          <w:rFonts w:hint="eastAsia" w:ascii="仿宋_GB2312" w:hAnsi="仿宋_GB2312" w:eastAsia="仿宋_GB2312" w:cs="仿宋_GB2312"/>
          <w:sz w:val="32"/>
          <w:szCs w:val="32"/>
          <w:lang w:val="en-US" w:eastAsia="zh-CN"/>
        </w:rPr>
        <w:t>较上年</w:t>
      </w:r>
      <w:r>
        <w:rPr>
          <w:rFonts w:hint="eastAsia" w:ascii="仿宋_GB2312" w:hAnsi="仿宋_GB2312" w:eastAsia="仿宋_GB2312" w:cs="仿宋_GB2312"/>
          <w:sz w:val="32"/>
          <w:szCs w:val="32"/>
          <w:lang w:val="zh-CN"/>
        </w:rPr>
        <w:t>减少；2023年未购置防疫物资，相关经费</w:t>
      </w:r>
      <w:r>
        <w:rPr>
          <w:rFonts w:hint="eastAsia" w:ascii="仿宋_GB2312" w:hAnsi="仿宋_GB2312" w:eastAsia="仿宋_GB2312" w:cs="仿宋_GB2312"/>
          <w:sz w:val="32"/>
          <w:szCs w:val="32"/>
          <w:lang w:val="en-US" w:eastAsia="zh-CN"/>
        </w:rPr>
        <w:t>较上年</w:t>
      </w:r>
      <w:r>
        <w:rPr>
          <w:rFonts w:hint="eastAsia" w:ascii="仿宋_GB2312" w:hAnsi="仿宋_GB2312" w:eastAsia="仿宋_GB2312" w:cs="仿宋_GB2312"/>
          <w:sz w:val="32"/>
          <w:szCs w:val="32"/>
          <w:lang w:val="zh-CN"/>
        </w:rPr>
        <w:t>减少。</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outlineLvl w:val="2"/>
        <w:rPr>
          <w:rFonts w:hint="eastAsia" w:ascii="仿宋_GB2312" w:hAnsi="仿宋_GB2312" w:eastAsia="仿宋_GB2312" w:cs="仿宋_GB2312"/>
          <w:b/>
          <w:sz w:val="32"/>
          <w:szCs w:val="32"/>
        </w:rPr>
      </w:pPr>
      <w:bookmarkStart w:id="28" w:name="_Toc227"/>
      <w:bookmarkStart w:id="29" w:name="_Toc26704"/>
      <w:r>
        <w:rPr>
          <w:rFonts w:hint="eastAsia" w:ascii="仿宋_GB2312" w:hAnsi="仿宋_GB2312" w:eastAsia="仿宋_GB2312" w:cs="仿宋_GB2312"/>
          <w:b/>
          <w:sz w:val="32"/>
          <w:szCs w:val="32"/>
        </w:rPr>
        <w:t>（二）政府采购情况</w:t>
      </w:r>
      <w:bookmarkEnd w:id="28"/>
      <w:bookmarkEnd w:id="29"/>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2023年度政府采购支出总额25.14万元，其中：政府采购货物支出1.00万元、政府采购工程支出0.00万元、政府采购服务支出24.14万元。</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授予中小企业合同金额25.14万元，占政府采购支出总额的100.00%，其中：授予小微企业合同金额24.91万元，占政府采购支出总额的99.09%</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240" w:lineRule="auto"/>
        <w:ind w:right="0" w:rightChars="0" w:firstLine="642" w:firstLineChars="200"/>
        <w:jc w:val="left"/>
        <w:textAlignment w:val="auto"/>
        <w:outlineLvl w:val="2"/>
        <w:rPr>
          <w:rFonts w:hint="eastAsia" w:ascii="仿宋_GB2312" w:hAnsi="仿宋_GB2312" w:eastAsia="仿宋_GB2312" w:cs="仿宋_GB2312"/>
          <w:b/>
          <w:sz w:val="32"/>
          <w:szCs w:val="32"/>
        </w:rPr>
      </w:pPr>
      <w:bookmarkStart w:id="30" w:name="_Toc4591"/>
      <w:bookmarkStart w:id="31" w:name="_Toc8391"/>
      <w:r>
        <w:rPr>
          <w:rFonts w:hint="eastAsia" w:ascii="仿宋_GB2312" w:hAnsi="仿宋_GB2312" w:eastAsia="仿宋_GB2312" w:cs="仿宋_GB2312"/>
          <w:b/>
          <w:sz w:val="32"/>
          <w:szCs w:val="32"/>
        </w:rPr>
        <w:t>（三）国有资产占用情况说明</w:t>
      </w:r>
      <w:bookmarkEnd w:id="30"/>
      <w:bookmarkEnd w:id="31"/>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396.42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屋224.04平方米，价值21.76万元。车辆1辆，价值26.03万元，其中：副部（省）级及以上领导用车0辆、主要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outlineLvl w:val="1"/>
        <w:rPr>
          <w:rFonts w:hint="eastAsia" w:ascii="黑体" w:hAnsi="黑体" w:eastAsia="黑体" w:cs="黑体"/>
          <w:bCs/>
          <w:kern w:val="0"/>
          <w:sz w:val="32"/>
          <w:szCs w:val="32"/>
        </w:rPr>
      </w:pPr>
      <w:bookmarkStart w:id="32" w:name="_Toc11283"/>
      <w:bookmarkStart w:id="33" w:name="_Toc435"/>
      <w:r>
        <w:rPr>
          <w:rFonts w:hint="eastAsia" w:ascii="黑体" w:hAnsi="黑体" w:eastAsia="黑体" w:cs="黑体"/>
          <w:bCs/>
          <w:kern w:val="0"/>
          <w:sz w:val="32"/>
          <w:szCs w:val="32"/>
        </w:rPr>
        <w:t>十一、预算绩效的情况说明</w:t>
      </w:r>
      <w:bookmarkEnd w:id="32"/>
      <w:bookmarkEnd w:id="33"/>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kern w:val="0"/>
          <w:sz w:val="32"/>
          <w:szCs w:val="32"/>
        </w:rPr>
        <w:t>个，全年</w:t>
      </w:r>
      <w:r>
        <w:rPr>
          <w:rFonts w:hint="eastAsia" w:ascii="仿宋_GB2312" w:hAnsi="仿宋_GB2312" w:eastAsia="仿宋_GB2312" w:cs="仿宋_GB2312"/>
          <w:sz w:val="32"/>
          <w:szCs w:val="32"/>
        </w:rPr>
        <w:t>预算总额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万元，实际执行总额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我单位整体支出绩效自评表由主管部门编报并公开</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预算绩效评价项目</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个，全年预算数</w:t>
      </w:r>
      <w:r>
        <w:rPr>
          <w:rFonts w:hint="eastAsia" w:ascii="仿宋_GB2312" w:hAnsi="仿宋_GB2312" w:eastAsia="仿宋_GB2312" w:cs="仿宋_GB2312"/>
          <w:sz w:val="32"/>
          <w:szCs w:val="32"/>
          <w:lang w:val="en-US" w:eastAsia="zh-CN"/>
        </w:rPr>
        <w:t>105.00</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lang w:val="en-US" w:eastAsia="zh-CN"/>
        </w:rPr>
        <w:t>103.90</w:t>
      </w:r>
      <w:r>
        <w:rPr>
          <w:rFonts w:hint="eastAsia" w:ascii="仿宋_GB2312" w:hAnsi="仿宋_GB2312" w:eastAsia="仿宋_GB2312" w:cs="仿宋_GB2312"/>
          <w:sz w:val="32"/>
          <w:szCs w:val="32"/>
        </w:rPr>
        <w:t>万元。</w:t>
      </w:r>
      <w:r>
        <w:rPr>
          <w:rFonts w:hint="default" w:ascii="Times New Roman" w:hAnsi="Times New Roman" w:eastAsia="仿宋_GB2312" w:cs="Times New Roman"/>
          <w:color w:val="auto"/>
          <w:sz w:val="32"/>
          <w:szCs w:val="32"/>
          <w:highlight w:val="none"/>
          <w:lang w:eastAsia="zh-CN"/>
        </w:rPr>
        <w:t>本年度安排sm项目</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个，预算金额</w:t>
      </w:r>
      <w:r>
        <w:rPr>
          <w:rFonts w:hint="eastAsia" w:ascii="Times New Roman" w:hAnsi="Times New Roman" w:eastAsia="仿宋_GB2312" w:cs="Times New Roman"/>
          <w:color w:val="auto"/>
          <w:sz w:val="32"/>
          <w:szCs w:val="32"/>
          <w:highlight w:val="none"/>
          <w:lang w:val="en-US" w:eastAsia="zh-CN"/>
        </w:rPr>
        <w:t>31</w:t>
      </w:r>
      <w:r>
        <w:rPr>
          <w:rFonts w:hint="default" w:ascii="Times New Roman" w:hAnsi="Times New Roman" w:eastAsia="仿宋_GB2312" w:cs="Times New Roman"/>
          <w:color w:val="auto"/>
          <w:sz w:val="32"/>
          <w:szCs w:val="32"/>
          <w:highlight w:val="none"/>
          <w:lang w:val="en" w:eastAsia="zh-CN"/>
        </w:rPr>
        <w:t>.00</w:t>
      </w:r>
      <w:r>
        <w:rPr>
          <w:rFonts w:hint="default" w:ascii="Times New Roman" w:hAnsi="Times New Roman" w:eastAsia="仿宋_GB2312" w:cs="Times New Roman"/>
          <w:color w:val="auto"/>
          <w:sz w:val="32"/>
          <w:szCs w:val="32"/>
          <w:highlight w:val="none"/>
          <w:lang w:eastAsia="zh-CN"/>
        </w:rPr>
        <w:t>万元，不公开自评表。</w:t>
      </w:r>
      <w:r>
        <w:rPr>
          <w:rFonts w:hint="eastAsia" w:ascii="仿宋_GB2312" w:hAnsi="仿宋_GB2312" w:eastAsia="仿宋_GB2312" w:cs="仿宋_GB2312"/>
          <w:b w:val="0"/>
          <w:bCs w:val="0"/>
          <w:sz w:val="32"/>
          <w:szCs w:val="32"/>
        </w:rPr>
        <w:t>预算绩效管理取得的成效：一是严格按照《会计法》《预算法》《采购法》等制度规定执行；二是不断修订完善内部控制制度,规范各项预算执行活动,严格执行《工信厅全面预算绩效管理办法》，实际执行中严格实施,有力保障了预算执行的准确性、及时性和规范性,发挥了财政资金的最大效用,取得了良好的绩效成果。发现的问题及原因：</w:t>
      </w:r>
      <w:r>
        <w:rPr>
          <w:rFonts w:hint="eastAsia" w:ascii="仿宋_GB2312" w:hAnsi="仿宋_GB2312" w:eastAsia="仿宋_GB2312" w:cs="仿宋_GB2312"/>
          <w:sz w:val="32"/>
          <w:szCs w:val="32"/>
        </w:rPr>
        <w:t>组织开展重点项目绩效评价工作时,项目采购、合同执行周期长，预算执行率低，致使项目绩效监控节点时，影响单位整体绩效评价总体分值。下一步改进措施：一是继续完善各项内控制度,加强制度落实,不断提高财政预算执行的准确性、及时性和规范性；二是按要求完成绩效目标,切实发挥好财政资金的效用。具体项目自评情况附绩效自评表及自评报告。</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十二、其他需说明的事项</w:t>
      </w:r>
    </w:p>
    <w:p>
      <w:pPr>
        <w:keepNext w:val="0"/>
        <w:keepLines w:val="0"/>
        <w:pageBreakBefore w:val="0"/>
        <w:kinsoku/>
        <w:wordWrap/>
        <w:overflowPunct/>
        <w:topLinePunct w:val="0"/>
        <w:autoSpaceDE/>
        <w:autoSpaceDN/>
        <w:bidi w:val="0"/>
        <w:adjustRightInd/>
        <w:snapToGrid/>
        <w:spacing w:line="240" w:lineRule="auto"/>
        <w:ind w:right="0" w:rightChars="0" w:firstLine="640" w:firstLineChars="200"/>
        <w:jc w:val="left"/>
        <w:textAlignment w:val="auto"/>
        <w:rPr>
          <w:rFonts w:hint="eastAsia" w:ascii="仿宋_GB2312" w:hAnsi="仿宋_GB2312" w:eastAsia="仿宋_GB2312" w:cs="仿宋_GB2312"/>
          <w:kern w:val="0"/>
          <w:sz w:val="32"/>
          <w:szCs w:val="32"/>
        </w:rPr>
      </w:pPr>
      <w:r>
        <w:rPr>
          <w:rFonts w:hint="default" w:ascii="Times New Roman" w:hAnsi="Times New Roman" w:eastAsia="仿宋_GB2312" w:cs="Times New Roman"/>
          <w:color w:val="auto"/>
          <w:sz w:val="32"/>
          <w:szCs w:val="32"/>
          <w:highlight w:val="none"/>
          <w:lang w:val="en-US" w:eastAsia="zh-CN"/>
        </w:rPr>
        <w:t>2023年，新疆维吾尔自治区工业和信息化厅</w:t>
      </w:r>
      <w:r>
        <w:rPr>
          <w:rFonts w:hint="eastAsia" w:ascii="Times New Roman" w:hAnsi="Times New Roman" w:eastAsia="仿宋_GB2312" w:cs="Times New Roman"/>
          <w:color w:val="auto"/>
          <w:sz w:val="32"/>
          <w:szCs w:val="32"/>
          <w:highlight w:val="none"/>
          <w:lang w:val="en-US" w:eastAsia="zh-CN"/>
        </w:rPr>
        <w:t>信息中心使用</w:t>
      </w:r>
      <w:r>
        <w:rPr>
          <w:rFonts w:hint="default" w:ascii="Times New Roman" w:hAnsi="Times New Roman" w:eastAsia="仿宋_GB2312" w:cs="Times New Roman"/>
          <w:color w:val="auto"/>
          <w:sz w:val="32"/>
          <w:szCs w:val="32"/>
          <w:highlight w:val="none"/>
          <w:lang w:val="en" w:eastAsia="zh-CN"/>
        </w:rPr>
        <w:t>非</w:t>
      </w:r>
      <w:r>
        <w:rPr>
          <w:rFonts w:hint="default" w:ascii="Times New Roman" w:hAnsi="Times New Roman" w:eastAsia="仿宋_GB2312" w:cs="Times New Roman"/>
          <w:color w:val="auto"/>
          <w:sz w:val="32"/>
          <w:szCs w:val="32"/>
          <w:highlight w:val="none"/>
          <w:lang w:val="en-US" w:eastAsia="zh-CN"/>
        </w:rPr>
        <w:t>财政拨款资金安排</w:t>
      </w:r>
      <w:r>
        <w:rPr>
          <w:rFonts w:hint="default" w:ascii="Times New Roman" w:hAnsi="Times New Roman" w:eastAsia="仿宋_GB2312" w:cs="Times New Roman"/>
          <w:color w:val="auto"/>
          <w:sz w:val="32"/>
          <w:szCs w:val="32"/>
          <w:highlight w:val="none"/>
          <w:lang w:val="en" w:eastAsia="zh-CN"/>
        </w:rPr>
        <w:t>１</w:t>
      </w:r>
      <w:r>
        <w:rPr>
          <w:rFonts w:hint="default" w:ascii="Times New Roman" w:hAnsi="Times New Roman" w:eastAsia="仿宋_GB2312" w:cs="Times New Roman"/>
          <w:color w:val="auto"/>
          <w:sz w:val="32"/>
          <w:szCs w:val="32"/>
          <w:highlight w:val="none"/>
          <w:lang w:val="en-US" w:eastAsia="zh-CN"/>
        </w:rPr>
        <w:t>个</w:t>
      </w:r>
      <w:r>
        <w:rPr>
          <w:rFonts w:hint="eastAsia" w:eastAsia="仿宋_GB2312" w:cs="Times New Roman"/>
          <w:color w:val="auto"/>
          <w:sz w:val="32"/>
          <w:szCs w:val="32"/>
          <w:highlight w:val="none"/>
          <w:lang w:val="en-US" w:eastAsia="zh-CN"/>
        </w:rPr>
        <w:t>sm</w:t>
      </w:r>
      <w:r>
        <w:rPr>
          <w:rFonts w:hint="default" w:ascii="Times New Roman" w:hAnsi="Times New Roman" w:eastAsia="仿宋_GB2312" w:cs="Times New Roman"/>
          <w:color w:val="auto"/>
          <w:sz w:val="32"/>
          <w:szCs w:val="32"/>
          <w:highlight w:val="none"/>
          <w:lang w:val="en-US" w:eastAsia="zh-CN"/>
        </w:rPr>
        <w:t>项目，涉及金额</w:t>
      </w:r>
      <w:r>
        <w:rPr>
          <w:rFonts w:hint="eastAsia" w:ascii="Times New Roman" w:hAnsi="Times New Roman" w:eastAsia="仿宋_GB2312" w:cs="Times New Roman"/>
          <w:color w:val="auto"/>
          <w:sz w:val="32"/>
          <w:szCs w:val="32"/>
          <w:highlight w:val="none"/>
          <w:lang w:val="en-US" w:eastAsia="zh-CN"/>
        </w:rPr>
        <w:t>31</w:t>
      </w:r>
      <w:r>
        <w:rPr>
          <w:rFonts w:hint="default" w:ascii="Times New Roman" w:hAnsi="Times New Roman" w:eastAsia="仿宋_GB2312" w:cs="Times New Roman"/>
          <w:color w:val="auto"/>
          <w:sz w:val="32"/>
          <w:szCs w:val="32"/>
          <w:highlight w:val="none"/>
          <w:lang w:val="en" w:eastAsia="zh-CN"/>
        </w:rPr>
        <w:t>.00</w:t>
      </w:r>
      <w:r>
        <w:rPr>
          <w:rFonts w:hint="default" w:ascii="Times New Roman" w:hAnsi="Times New Roman" w:eastAsia="仿宋_GB2312" w:cs="Times New Roman"/>
          <w:color w:val="auto"/>
          <w:sz w:val="32"/>
          <w:szCs w:val="32"/>
          <w:highlight w:val="none"/>
          <w:lang w:val="en-US" w:eastAsia="zh-CN"/>
        </w:rPr>
        <w:t xml:space="preserve"> 万元</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bidi w:val="0"/>
        <w:adjustRightInd/>
        <w:snapToGrid/>
        <w:spacing w:line="560" w:lineRule="exact"/>
        <w:ind w:right="0" w:rightChars="0"/>
        <w:jc w:val="center"/>
        <w:textAlignment w:val="auto"/>
        <w:outlineLvl w:val="0"/>
        <w:rPr>
          <w:rFonts w:hint="eastAsia" w:ascii="仿宋_GB2312" w:hAnsi="仿宋_GB2312" w:eastAsia="仿宋_GB2312" w:cs="仿宋_GB2312"/>
          <w:sz w:val="32"/>
          <w:szCs w:val="32"/>
        </w:rPr>
      </w:pPr>
      <w:bookmarkStart w:id="34" w:name="_Toc3250"/>
      <w:bookmarkStart w:id="35" w:name="_Toc24143"/>
      <w:r>
        <w:rPr>
          <w:rFonts w:hint="eastAsia" w:ascii="仿宋_GB2312" w:hAnsi="仿宋_GB2312" w:eastAsia="仿宋_GB2312" w:cs="仿宋_GB2312"/>
          <w:sz w:val="32"/>
          <w:szCs w:val="32"/>
        </w:rPr>
        <w:br w:type="page"/>
      </w:r>
      <w:r>
        <w:rPr>
          <w:rFonts w:hint="eastAsia" w:ascii="黑体" w:hAnsi="黑体" w:eastAsia="黑体" w:cs="黑体"/>
          <w:sz w:val="32"/>
          <w:szCs w:val="32"/>
        </w:rPr>
        <w:t>第三部分 专业名词解释</w:t>
      </w:r>
      <w:bookmarkEnd w:id="34"/>
      <w:bookmarkEnd w:id="35"/>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一、财政拨款收入：</w:t>
      </w:r>
      <w:r>
        <w:rPr>
          <w:rFonts w:hint="eastAsia" w:ascii="仿宋_GB2312" w:hAnsi="仿宋_GB2312" w:eastAsia="仿宋_GB2312" w:cs="仿宋_GB2312"/>
          <w:sz w:val="32"/>
          <w:szCs w:val="32"/>
        </w:rPr>
        <w:t>指同级财政当年拨付的资金。</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二、上级补助收入：</w:t>
      </w:r>
      <w:r>
        <w:rPr>
          <w:rFonts w:hint="eastAsia" w:ascii="仿宋_GB2312" w:hAnsi="仿宋_GB2312" w:eastAsia="仿宋_GB2312" w:cs="仿宋_GB2312"/>
          <w:sz w:val="32"/>
          <w:szCs w:val="32"/>
        </w:rPr>
        <w:t>指事业单位从主管部门和上级单位取得的非财政补助收入。</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三、事业收入：</w:t>
      </w:r>
      <w:r>
        <w:rPr>
          <w:rFonts w:hint="eastAsia" w:ascii="仿宋_GB2312" w:hAnsi="仿宋_GB2312" w:eastAsia="仿宋_GB2312" w:cs="仿宋_GB2312"/>
          <w:sz w:val="32"/>
          <w:szCs w:val="32"/>
        </w:rPr>
        <w:t>指事业单位开展专业业务活动及其辅助活动所取得的收入。</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四、经营收入：</w:t>
      </w:r>
      <w:r>
        <w:rPr>
          <w:rFonts w:hint="eastAsia" w:ascii="仿宋_GB2312" w:hAnsi="仿宋_GB2312" w:eastAsia="仿宋_GB2312" w:cs="仿宋_GB2312"/>
          <w:sz w:val="32"/>
          <w:szCs w:val="32"/>
        </w:rPr>
        <w:t>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五、附属单位上缴收入：</w:t>
      </w:r>
      <w:r>
        <w:rPr>
          <w:rFonts w:hint="eastAsia" w:ascii="仿宋_GB2312" w:hAnsi="仿宋_GB2312" w:eastAsia="仿宋_GB2312" w:cs="仿宋_GB2312"/>
          <w:sz w:val="32"/>
          <w:szCs w:val="32"/>
        </w:rPr>
        <w:t>指事业单位附属的独立核算单位按有关规定上缴的收入。</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六、其他收入：</w:t>
      </w:r>
      <w:r>
        <w:rPr>
          <w:rFonts w:hint="eastAsia" w:ascii="仿宋_GB2312" w:hAnsi="仿宋_GB2312" w:eastAsia="仿宋_GB2312" w:cs="仿宋_GB2312"/>
          <w:sz w:val="32"/>
          <w:szCs w:val="32"/>
        </w:rPr>
        <w:t>指除上述“财政拨款收入”、“事业收入”、“经营收入”、“附属单位上缴收入”等之外取得的收入。</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七、年初结转和结余：</w:t>
      </w:r>
      <w:r>
        <w:rPr>
          <w:rFonts w:hint="eastAsia" w:ascii="仿宋_GB2312" w:hAnsi="仿宋_GB2312" w:eastAsia="仿宋_GB2312" w:cs="仿宋_GB2312"/>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八、年末结转和结余：</w:t>
      </w:r>
      <w:r>
        <w:rPr>
          <w:rFonts w:hint="eastAsia" w:ascii="仿宋_GB2312" w:hAnsi="仿宋_GB2312" w:eastAsia="仿宋_GB2312" w:cs="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九、基本支出：</w:t>
      </w:r>
      <w:r>
        <w:rPr>
          <w:rFonts w:hint="eastAsia" w:ascii="仿宋_GB2312" w:hAnsi="仿宋_GB2312" w:eastAsia="仿宋_GB2312" w:cs="仿宋_GB2312"/>
          <w:sz w:val="32"/>
          <w:szCs w:val="32"/>
        </w:rPr>
        <w:t>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十、项目支出：</w:t>
      </w:r>
      <w:r>
        <w:rPr>
          <w:rFonts w:hint="eastAsia" w:ascii="仿宋_GB2312" w:hAnsi="仿宋_GB2312" w:eastAsia="仿宋_GB2312" w:cs="仿宋_GB2312"/>
          <w:sz w:val="32"/>
          <w:szCs w:val="32"/>
        </w:rPr>
        <w:t>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十一、经营支出：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十二、对附属单位补助支出：</w:t>
      </w:r>
      <w:r>
        <w:rPr>
          <w:rFonts w:hint="eastAsia" w:ascii="仿宋_GB2312" w:hAnsi="仿宋_GB2312" w:eastAsia="仿宋_GB2312" w:cs="仿宋_GB2312"/>
          <w:sz w:val="32"/>
          <w:szCs w:val="32"/>
        </w:rPr>
        <w:t>指事业单位发生的用非财政预算资金对附属单位的补助支出。</w:t>
      </w:r>
    </w:p>
    <w:p>
      <w:pPr>
        <w:keepNext w:val="0"/>
        <w:keepLines w:val="0"/>
        <w:pageBreakBefore w:val="0"/>
        <w:kinsoku/>
        <w:wordWrap/>
        <w:overflowPunct/>
        <w:topLinePunct w:val="0"/>
        <w:autoSpaceDE w:val="0"/>
        <w:autoSpaceDN w:val="0"/>
        <w:bidi w:val="0"/>
        <w:adjustRightInd/>
        <w:snapToGrid/>
        <w:spacing w:line="560" w:lineRule="exact"/>
        <w:ind w:right="0" w:righ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十三、“三公”经费：</w:t>
      </w:r>
      <w:r>
        <w:rPr>
          <w:rFonts w:hint="eastAsia" w:ascii="仿宋_GB2312" w:hAnsi="仿宋_GB2312" w:eastAsia="仿宋_GB2312" w:cs="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bidi w:val="0"/>
        <w:adjustRightInd/>
        <w:snapToGrid/>
        <w:spacing w:line="560" w:lineRule="exact"/>
        <w:ind w:right="0" w:rightChars="0"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十四、机关运行经费：</w:t>
      </w:r>
      <w:r>
        <w:rPr>
          <w:rFonts w:hint="eastAsia" w:ascii="仿宋_GB2312" w:hAnsi="仿宋_GB2312" w:eastAsia="仿宋_GB2312" w:cs="仿宋_GB2312"/>
          <w:sz w:val="32"/>
          <w:szCs w:val="32"/>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center"/>
        <w:textAlignment w:val="auto"/>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36" w:name="_Toc6062"/>
      <w:bookmarkStart w:id="37" w:name="_Toc2183"/>
      <w:r>
        <w:rPr>
          <w:rFonts w:hint="eastAsia" w:ascii="仿宋_GB2312" w:hAnsi="仿宋_GB2312" w:eastAsia="仿宋_GB2312" w:cs="仿宋_GB2312"/>
          <w:bCs/>
          <w:kern w:val="0"/>
          <w:sz w:val="32"/>
          <w:szCs w:val="32"/>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38" w:name="_Toc30364"/>
      <w:bookmarkStart w:id="39" w:name="_Toc24532"/>
      <w:r>
        <w:rPr>
          <w:rFonts w:hint="eastAsia" w:ascii="仿宋_GB2312" w:hAnsi="仿宋_GB2312" w:eastAsia="仿宋_GB2312" w:cs="仿宋_GB2312"/>
          <w:bCs/>
          <w:kern w:val="0"/>
          <w:sz w:val="32"/>
          <w:szCs w:val="32"/>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40" w:name="_Toc21304"/>
      <w:bookmarkStart w:id="41" w:name="_Toc32434"/>
      <w:r>
        <w:rPr>
          <w:rFonts w:hint="eastAsia" w:ascii="仿宋_GB2312" w:hAnsi="仿宋_GB2312" w:eastAsia="仿宋_GB2312" w:cs="仿宋_GB2312"/>
          <w:bCs/>
          <w:kern w:val="0"/>
          <w:sz w:val="32"/>
          <w:szCs w:val="32"/>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42" w:name="_Toc28786"/>
      <w:bookmarkStart w:id="43" w:name="_Toc14238"/>
      <w:r>
        <w:rPr>
          <w:rFonts w:hint="eastAsia" w:ascii="仿宋_GB2312" w:hAnsi="仿宋_GB2312" w:eastAsia="仿宋_GB2312" w:cs="仿宋_GB2312"/>
          <w:bCs/>
          <w:kern w:val="0"/>
          <w:sz w:val="32"/>
          <w:szCs w:val="32"/>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44" w:name="_Toc10347"/>
      <w:bookmarkStart w:id="45" w:name="_Toc14869"/>
      <w:r>
        <w:rPr>
          <w:rFonts w:hint="eastAsia" w:ascii="仿宋_GB2312" w:hAnsi="仿宋_GB2312" w:eastAsia="仿宋_GB2312" w:cs="仿宋_GB2312"/>
          <w:bCs/>
          <w:kern w:val="0"/>
          <w:sz w:val="32"/>
          <w:szCs w:val="32"/>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46" w:name="_Toc5626"/>
      <w:bookmarkStart w:id="47" w:name="_Toc8884"/>
      <w:r>
        <w:rPr>
          <w:rFonts w:hint="eastAsia" w:ascii="仿宋_GB2312" w:hAnsi="仿宋_GB2312" w:eastAsia="仿宋_GB2312" w:cs="仿宋_GB2312"/>
          <w:bCs/>
          <w:kern w:val="0"/>
          <w:sz w:val="32"/>
          <w:szCs w:val="32"/>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8" w:name="_Toc32663"/>
      <w:bookmarkStart w:id="49" w:name="_Toc29106"/>
      <w:r>
        <w:rPr>
          <w:rFonts w:hint="eastAsia" w:ascii="仿宋_GB2312" w:hAnsi="仿宋_GB2312" w:eastAsia="仿宋_GB2312" w:cs="仿宋_GB2312"/>
          <w:bCs/>
          <w:kern w:val="0"/>
          <w:sz w:val="32"/>
          <w:szCs w:val="32"/>
        </w:rPr>
        <w:t>《财政拨款“三公”经费支出决算表》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bookmarkStart w:id="50" w:name="_Toc7643"/>
      <w:bookmarkStart w:id="51" w:name="_Toc5453"/>
      <w:r>
        <w:rPr>
          <w:rFonts w:hint="eastAsia" w:ascii="仿宋_GB2312" w:hAnsi="仿宋_GB2312" w:eastAsia="仿宋_GB2312" w:cs="仿宋_GB2312"/>
          <w:bCs/>
          <w:kern w:val="0"/>
          <w:sz w:val="32"/>
          <w:szCs w:val="32"/>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nchorCtr="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DOqXm5zwAAAAUBAAAPAAAAAAAAAAEAIAAAADgAAABk&#10;cnMvZG93bnJldi54bWxQSwECFAAUAAAACACHTuJAIPnr38ABAABrAwAADgAAAAAAAAABACAAAAA0&#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4ZTk4ZThiOTlhYTkyOGVkOWQ5NDlhNjIwNjNhNzEifQ=="/>
  </w:docVars>
  <w:rsids>
    <w:rsidRoot w:val="00B02D91"/>
    <w:rsid w:val="00004866"/>
    <w:rsid w:val="00032053"/>
    <w:rsid w:val="00042B53"/>
    <w:rsid w:val="00043C7F"/>
    <w:rsid w:val="000459D5"/>
    <w:rsid w:val="0005292F"/>
    <w:rsid w:val="000A57D4"/>
    <w:rsid w:val="000D3EB1"/>
    <w:rsid w:val="00213C59"/>
    <w:rsid w:val="0022444D"/>
    <w:rsid w:val="00225546"/>
    <w:rsid w:val="00271F2E"/>
    <w:rsid w:val="002C7681"/>
    <w:rsid w:val="002D3CFD"/>
    <w:rsid w:val="00314CEA"/>
    <w:rsid w:val="003210CE"/>
    <w:rsid w:val="00346ED6"/>
    <w:rsid w:val="003566AC"/>
    <w:rsid w:val="00390176"/>
    <w:rsid w:val="00412DD1"/>
    <w:rsid w:val="00416842"/>
    <w:rsid w:val="00467645"/>
    <w:rsid w:val="004A3E10"/>
    <w:rsid w:val="005525E0"/>
    <w:rsid w:val="005931F4"/>
    <w:rsid w:val="005949B0"/>
    <w:rsid w:val="005B3542"/>
    <w:rsid w:val="005D7FCF"/>
    <w:rsid w:val="00642903"/>
    <w:rsid w:val="006515F1"/>
    <w:rsid w:val="00652C85"/>
    <w:rsid w:val="00675120"/>
    <w:rsid w:val="00675272"/>
    <w:rsid w:val="006A12E3"/>
    <w:rsid w:val="006D1835"/>
    <w:rsid w:val="006E4FE2"/>
    <w:rsid w:val="0074529F"/>
    <w:rsid w:val="0075761F"/>
    <w:rsid w:val="00770D2D"/>
    <w:rsid w:val="007965C3"/>
    <w:rsid w:val="00882987"/>
    <w:rsid w:val="00886AE5"/>
    <w:rsid w:val="008F1555"/>
    <w:rsid w:val="0095457D"/>
    <w:rsid w:val="009E031F"/>
    <w:rsid w:val="009F11F8"/>
    <w:rsid w:val="00A0322F"/>
    <w:rsid w:val="00A3151D"/>
    <w:rsid w:val="00AA30C6"/>
    <w:rsid w:val="00B02D91"/>
    <w:rsid w:val="00B53FD4"/>
    <w:rsid w:val="00B660C0"/>
    <w:rsid w:val="00B70D59"/>
    <w:rsid w:val="00BD5C02"/>
    <w:rsid w:val="00BF1C43"/>
    <w:rsid w:val="00C64AC0"/>
    <w:rsid w:val="00C80D8B"/>
    <w:rsid w:val="00D617F8"/>
    <w:rsid w:val="00DA10B1"/>
    <w:rsid w:val="00DC7320"/>
    <w:rsid w:val="00E070EE"/>
    <w:rsid w:val="00EB6310"/>
    <w:rsid w:val="00EF7B2A"/>
    <w:rsid w:val="00F116A3"/>
    <w:rsid w:val="00FA448D"/>
    <w:rsid w:val="00FE1B79"/>
    <w:rsid w:val="00FF5CAB"/>
    <w:rsid w:val="0271368F"/>
    <w:rsid w:val="02DA5BA2"/>
    <w:rsid w:val="02F73D26"/>
    <w:rsid w:val="030A796E"/>
    <w:rsid w:val="034D4FEF"/>
    <w:rsid w:val="035D1785"/>
    <w:rsid w:val="039F47CE"/>
    <w:rsid w:val="03E05CE8"/>
    <w:rsid w:val="03F973EE"/>
    <w:rsid w:val="041A78D7"/>
    <w:rsid w:val="043E5B56"/>
    <w:rsid w:val="053F5AE6"/>
    <w:rsid w:val="057C0B0F"/>
    <w:rsid w:val="05EF4B48"/>
    <w:rsid w:val="05F76ECA"/>
    <w:rsid w:val="06792773"/>
    <w:rsid w:val="07093795"/>
    <w:rsid w:val="074A1D85"/>
    <w:rsid w:val="07804730"/>
    <w:rsid w:val="0826416E"/>
    <w:rsid w:val="08422688"/>
    <w:rsid w:val="0879188F"/>
    <w:rsid w:val="08A0354D"/>
    <w:rsid w:val="08D613F6"/>
    <w:rsid w:val="09114954"/>
    <w:rsid w:val="096466E3"/>
    <w:rsid w:val="0968304D"/>
    <w:rsid w:val="09AF3D17"/>
    <w:rsid w:val="0A7B4867"/>
    <w:rsid w:val="0A9928ED"/>
    <w:rsid w:val="0B8C3ECC"/>
    <w:rsid w:val="0B9C639D"/>
    <w:rsid w:val="0BB052B2"/>
    <w:rsid w:val="0BC32FEB"/>
    <w:rsid w:val="0BD33FFC"/>
    <w:rsid w:val="0BE97AC1"/>
    <w:rsid w:val="0C1C4780"/>
    <w:rsid w:val="0C3613A3"/>
    <w:rsid w:val="0C5E519C"/>
    <w:rsid w:val="0C7227A7"/>
    <w:rsid w:val="0CA52EE8"/>
    <w:rsid w:val="0CBD6988"/>
    <w:rsid w:val="0CD208AC"/>
    <w:rsid w:val="0D336330"/>
    <w:rsid w:val="0E640559"/>
    <w:rsid w:val="0F78534A"/>
    <w:rsid w:val="0F89358A"/>
    <w:rsid w:val="0F8C6D51"/>
    <w:rsid w:val="112E58D0"/>
    <w:rsid w:val="114535BD"/>
    <w:rsid w:val="11731CAC"/>
    <w:rsid w:val="11C0733B"/>
    <w:rsid w:val="120E0809"/>
    <w:rsid w:val="123A0C48"/>
    <w:rsid w:val="12F7068C"/>
    <w:rsid w:val="13851720"/>
    <w:rsid w:val="14B932DA"/>
    <w:rsid w:val="14F450DE"/>
    <w:rsid w:val="158C5B77"/>
    <w:rsid w:val="160D1149"/>
    <w:rsid w:val="163563C0"/>
    <w:rsid w:val="16D50C50"/>
    <w:rsid w:val="16E120E1"/>
    <w:rsid w:val="16E14BF5"/>
    <w:rsid w:val="17385A05"/>
    <w:rsid w:val="173B3901"/>
    <w:rsid w:val="176747F9"/>
    <w:rsid w:val="17954A6E"/>
    <w:rsid w:val="17C674BC"/>
    <w:rsid w:val="184510FD"/>
    <w:rsid w:val="190648B0"/>
    <w:rsid w:val="19071D6C"/>
    <w:rsid w:val="195C314C"/>
    <w:rsid w:val="19D26CD4"/>
    <w:rsid w:val="1A3E3450"/>
    <w:rsid w:val="1AD807E5"/>
    <w:rsid w:val="1B39345B"/>
    <w:rsid w:val="1C290ED5"/>
    <w:rsid w:val="1C317E4F"/>
    <w:rsid w:val="1C472464"/>
    <w:rsid w:val="1DAF458D"/>
    <w:rsid w:val="1E086ACE"/>
    <w:rsid w:val="1E1F03BC"/>
    <w:rsid w:val="1E97358B"/>
    <w:rsid w:val="1EAA4A5F"/>
    <w:rsid w:val="1EAB0F03"/>
    <w:rsid w:val="1FA15E62"/>
    <w:rsid w:val="1FED69B6"/>
    <w:rsid w:val="2064678E"/>
    <w:rsid w:val="20DC1AB9"/>
    <w:rsid w:val="20DD6197"/>
    <w:rsid w:val="212631E0"/>
    <w:rsid w:val="21751354"/>
    <w:rsid w:val="21A53757"/>
    <w:rsid w:val="21C67E02"/>
    <w:rsid w:val="221236C6"/>
    <w:rsid w:val="232D31D5"/>
    <w:rsid w:val="23326B7F"/>
    <w:rsid w:val="2380045B"/>
    <w:rsid w:val="23BC04D2"/>
    <w:rsid w:val="24A32D55"/>
    <w:rsid w:val="24FE2ECF"/>
    <w:rsid w:val="25BA2154"/>
    <w:rsid w:val="25C8773F"/>
    <w:rsid w:val="27201D62"/>
    <w:rsid w:val="27286E73"/>
    <w:rsid w:val="27470B9A"/>
    <w:rsid w:val="27CF2642"/>
    <w:rsid w:val="27E27CE1"/>
    <w:rsid w:val="27E777F5"/>
    <w:rsid w:val="27EA1D4C"/>
    <w:rsid w:val="282459E2"/>
    <w:rsid w:val="282B5FFF"/>
    <w:rsid w:val="285F51FF"/>
    <w:rsid w:val="28964140"/>
    <w:rsid w:val="28DF2665"/>
    <w:rsid w:val="29072599"/>
    <w:rsid w:val="291029F3"/>
    <w:rsid w:val="29CB58F0"/>
    <w:rsid w:val="2A053397"/>
    <w:rsid w:val="2A145E96"/>
    <w:rsid w:val="2AF5378F"/>
    <w:rsid w:val="2C6F314E"/>
    <w:rsid w:val="2CC206BE"/>
    <w:rsid w:val="2D1136DF"/>
    <w:rsid w:val="2D20606D"/>
    <w:rsid w:val="2DB93C54"/>
    <w:rsid w:val="2E891204"/>
    <w:rsid w:val="2F3F0A28"/>
    <w:rsid w:val="2FD0187F"/>
    <w:rsid w:val="2FD27414"/>
    <w:rsid w:val="2FFE4BB0"/>
    <w:rsid w:val="300E7B60"/>
    <w:rsid w:val="306E15EA"/>
    <w:rsid w:val="314029C9"/>
    <w:rsid w:val="31C63837"/>
    <w:rsid w:val="31C82E39"/>
    <w:rsid w:val="3389023A"/>
    <w:rsid w:val="343642F2"/>
    <w:rsid w:val="343F3010"/>
    <w:rsid w:val="345D0A00"/>
    <w:rsid w:val="34713BFD"/>
    <w:rsid w:val="348E2A01"/>
    <w:rsid w:val="34C13589"/>
    <w:rsid w:val="354D466A"/>
    <w:rsid w:val="35511725"/>
    <w:rsid w:val="35E00D72"/>
    <w:rsid w:val="36C549FD"/>
    <w:rsid w:val="37A755DD"/>
    <w:rsid w:val="37F94FA0"/>
    <w:rsid w:val="38115B1F"/>
    <w:rsid w:val="382956F7"/>
    <w:rsid w:val="387D6B9E"/>
    <w:rsid w:val="38B75FF0"/>
    <w:rsid w:val="38D45016"/>
    <w:rsid w:val="38D90432"/>
    <w:rsid w:val="3914510A"/>
    <w:rsid w:val="3926770B"/>
    <w:rsid w:val="398D3668"/>
    <w:rsid w:val="3A013C75"/>
    <w:rsid w:val="3A893816"/>
    <w:rsid w:val="3A893B6D"/>
    <w:rsid w:val="3AD1763A"/>
    <w:rsid w:val="3B467E79"/>
    <w:rsid w:val="3B6716E3"/>
    <w:rsid w:val="3B6C6B2D"/>
    <w:rsid w:val="3BB608B8"/>
    <w:rsid w:val="3BBB7983"/>
    <w:rsid w:val="3C242659"/>
    <w:rsid w:val="3C96719C"/>
    <w:rsid w:val="3CA72BE8"/>
    <w:rsid w:val="3CF37F8C"/>
    <w:rsid w:val="3D137554"/>
    <w:rsid w:val="3D5275AC"/>
    <w:rsid w:val="3DCC2473"/>
    <w:rsid w:val="3DEB0883"/>
    <w:rsid w:val="3EA7725F"/>
    <w:rsid w:val="3EB03713"/>
    <w:rsid w:val="3EBF1A11"/>
    <w:rsid w:val="3EE11398"/>
    <w:rsid w:val="3EEC6CEF"/>
    <w:rsid w:val="3F183429"/>
    <w:rsid w:val="3FB77A1D"/>
    <w:rsid w:val="3FED7F8A"/>
    <w:rsid w:val="4036243B"/>
    <w:rsid w:val="40834692"/>
    <w:rsid w:val="414B3C0F"/>
    <w:rsid w:val="417C1CE7"/>
    <w:rsid w:val="41900018"/>
    <w:rsid w:val="41944406"/>
    <w:rsid w:val="41A42FD0"/>
    <w:rsid w:val="41CE128F"/>
    <w:rsid w:val="41DA6F12"/>
    <w:rsid w:val="41E055BB"/>
    <w:rsid w:val="42171FB1"/>
    <w:rsid w:val="430554A1"/>
    <w:rsid w:val="434E6957"/>
    <w:rsid w:val="43BA0E31"/>
    <w:rsid w:val="43C15147"/>
    <w:rsid w:val="43E14DD2"/>
    <w:rsid w:val="43F800E9"/>
    <w:rsid w:val="443A7E4B"/>
    <w:rsid w:val="454E7FD2"/>
    <w:rsid w:val="457D7117"/>
    <w:rsid w:val="46061BDC"/>
    <w:rsid w:val="461404F8"/>
    <w:rsid w:val="46184308"/>
    <w:rsid w:val="46413018"/>
    <w:rsid w:val="464B7E04"/>
    <w:rsid w:val="468041AA"/>
    <w:rsid w:val="46901EEE"/>
    <w:rsid w:val="469C74D2"/>
    <w:rsid w:val="47445515"/>
    <w:rsid w:val="47BC742D"/>
    <w:rsid w:val="47D90D14"/>
    <w:rsid w:val="48387FB0"/>
    <w:rsid w:val="483A6114"/>
    <w:rsid w:val="488727DB"/>
    <w:rsid w:val="48B50474"/>
    <w:rsid w:val="48C354B3"/>
    <w:rsid w:val="493D58B5"/>
    <w:rsid w:val="494A7A04"/>
    <w:rsid w:val="4A2019A5"/>
    <w:rsid w:val="4A241A0B"/>
    <w:rsid w:val="4A7B2875"/>
    <w:rsid w:val="4A934476"/>
    <w:rsid w:val="4AAA220A"/>
    <w:rsid w:val="4AE12E67"/>
    <w:rsid w:val="4B164B51"/>
    <w:rsid w:val="4B4C0111"/>
    <w:rsid w:val="4BDB3730"/>
    <w:rsid w:val="4C200F7A"/>
    <w:rsid w:val="4CE45892"/>
    <w:rsid w:val="4CEE3180"/>
    <w:rsid w:val="4E0A1DD5"/>
    <w:rsid w:val="4E8C6496"/>
    <w:rsid w:val="4E9305EE"/>
    <w:rsid w:val="4EFD18DE"/>
    <w:rsid w:val="4F0E4A13"/>
    <w:rsid w:val="4F0F4199"/>
    <w:rsid w:val="4F144236"/>
    <w:rsid w:val="4F663C87"/>
    <w:rsid w:val="4F7E29A8"/>
    <w:rsid w:val="4F9E1FFC"/>
    <w:rsid w:val="4FB615D2"/>
    <w:rsid w:val="50447CC2"/>
    <w:rsid w:val="50895EE7"/>
    <w:rsid w:val="50921B9D"/>
    <w:rsid w:val="50DB5F45"/>
    <w:rsid w:val="51141503"/>
    <w:rsid w:val="52F92565"/>
    <w:rsid w:val="53D03877"/>
    <w:rsid w:val="542F73CA"/>
    <w:rsid w:val="5430786D"/>
    <w:rsid w:val="556A442D"/>
    <w:rsid w:val="55CB12E5"/>
    <w:rsid w:val="55DA564E"/>
    <w:rsid w:val="56026C78"/>
    <w:rsid w:val="5604127D"/>
    <w:rsid w:val="56166703"/>
    <w:rsid w:val="562D6249"/>
    <w:rsid w:val="56510474"/>
    <w:rsid w:val="56861525"/>
    <w:rsid w:val="56BD550C"/>
    <w:rsid w:val="56E07045"/>
    <w:rsid w:val="56FF28AF"/>
    <w:rsid w:val="57540E7D"/>
    <w:rsid w:val="577B4878"/>
    <w:rsid w:val="57926973"/>
    <w:rsid w:val="58175352"/>
    <w:rsid w:val="581F2200"/>
    <w:rsid w:val="583059FA"/>
    <w:rsid w:val="584A0929"/>
    <w:rsid w:val="591B41B2"/>
    <w:rsid w:val="59254A26"/>
    <w:rsid w:val="59326325"/>
    <w:rsid w:val="595C505B"/>
    <w:rsid w:val="595E55C3"/>
    <w:rsid w:val="596E7E20"/>
    <w:rsid w:val="59937F9B"/>
    <w:rsid w:val="59F6057D"/>
    <w:rsid w:val="5A60780B"/>
    <w:rsid w:val="5AA161F5"/>
    <w:rsid w:val="5AB34579"/>
    <w:rsid w:val="5AFC6609"/>
    <w:rsid w:val="5BB71F8E"/>
    <w:rsid w:val="5BD456CE"/>
    <w:rsid w:val="5C0D1F49"/>
    <w:rsid w:val="5CBB0CE2"/>
    <w:rsid w:val="5CC17177"/>
    <w:rsid w:val="5CF306BC"/>
    <w:rsid w:val="5D3F3D64"/>
    <w:rsid w:val="5D833043"/>
    <w:rsid w:val="5DDB1CFD"/>
    <w:rsid w:val="5E4B033F"/>
    <w:rsid w:val="5ED44800"/>
    <w:rsid w:val="5F350BDE"/>
    <w:rsid w:val="5FA17648"/>
    <w:rsid w:val="5FE705CB"/>
    <w:rsid w:val="603D5080"/>
    <w:rsid w:val="60C07423"/>
    <w:rsid w:val="60D0261B"/>
    <w:rsid w:val="61947DCA"/>
    <w:rsid w:val="61A46A97"/>
    <w:rsid w:val="61D1382F"/>
    <w:rsid w:val="61F114A2"/>
    <w:rsid w:val="62512BB4"/>
    <w:rsid w:val="625D7D1A"/>
    <w:rsid w:val="62BC60AC"/>
    <w:rsid w:val="62DD7D21"/>
    <w:rsid w:val="63160A1A"/>
    <w:rsid w:val="63A5560B"/>
    <w:rsid w:val="63E2573B"/>
    <w:rsid w:val="63E9091F"/>
    <w:rsid w:val="64D6010D"/>
    <w:rsid w:val="64D82665"/>
    <w:rsid w:val="64E47C96"/>
    <w:rsid w:val="651E5741"/>
    <w:rsid w:val="658A4877"/>
    <w:rsid w:val="65A00902"/>
    <w:rsid w:val="65D97752"/>
    <w:rsid w:val="66085536"/>
    <w:rsid w:val="66105BF7"/>
    <w:rsid w:val="6628010D"/>
    <w:rsid w:val="669B4528"/>
    <w:rsid w:val="66CC12D7"/>
    <w:rsid w:val="67134CEF"/>
    <w:rsid w:val="671F1ABD"/>
    <w:rsid w:val="67521A59"/>
    <w:rsid w:val="6786101F"/>
    <w:rsid w:val="67C304AB"/>
    <w:rsid w:val="683F0658"/>
    <w:rsid w:val="68DB0208"/>
    <w:rsid w:val="691B3D98"/>
    <w:rsid w:val="69846A0E"/>
    <w:rsid w:val="69AD798C"/>
    <w:rsid w:val="69D005C0"/>
    <w:rsid w:val="69D80B96"/>
    <w:rsid w:val="6ADD3562"/>
    <w:rsid w:val="6ADF4F4D"/>
    <w:rsid w:val="6B68175F"/>
    <w:rsid w:val="6BFD799F"/>
    <w:rsid w:val="6C136D6D"/>
    <w:rsid w:val="6C4A2E5A"/>
    <w:rsid w:val="6C4B6506"/>
    <w:rsid w:val="6CEF0725"/>
    <w:rsid w:val="6D4B2604"/>
    <w:rsid w:val="6D8030E4"/>
    <w:rsid w:val="6DD7535F"/>
    <w:rsid w:val="6E0F7A08"/>
    <w:rsid w:val="6E3947F5"/>
    <w:rsid w:val="6F7C1D2E"/>
    <w:rsid w:val="6F8E0407"/>
    <w:rsid w:val="6FDD069F"/>
    <w:rsid w:val="7111480F"/>
    <w:rsid w:val="711A2927"/>
    <w:rsid w:val="71261F49"/>
    <w:rsid w:val="71473612"/>
    <w:rsid w:val="71504F32"/>
    <w:rsid w:val="7152309F"/>
    <w:rsid w:val="718F7F65"/>
    <w:rsid w:val="71925C7B"/>
    <w:rsid w:val="71E075EB"/>
    <w:rsid w:val="720158B9"/>
    <w:rsid w:val="727B234E"/>
    <w:rsid w:val="728C7879"/>
    <w:rsid w:val="72D068C7"/>
    <w:rsid w:val="72E42ED8"/>
    <w:rsid w:val="735F4CB9"/>
    <w:rsid w:val="73674C62"/>
    <w:rsid w:val="73845865"/>
    <w:rsid w:val="739B6D9E"/>
    <w:rsid w:val="73BC1D76"/>
    <w:rsid w:val="73FB6630"/>
    <w:rsid w:val="748D790E"/>
    <w:rsid w:val="749820CC"/>
    <w:rsid w:val="74CE04EC"/>
    <w:rsid w:val="74E76DCD"/>
    <w:rsid w:val="74FF40D3"/>
    <w:rsid w:val="75722D56"/>
    <w:rsid w:val="7616619B"/>
    <w:rsid w:val="76660D7C"/>
    <w:rsid w:val="766C5968"/>
    <w:rsid w:val="7680706D"/>
    <w:rsid w:val="76BE0C8F"/>
    <w:rsid w:val="76CD53B2"/>
    <w:rsid w:val="770719AC"/>
    <w:rsid w:val="77A262E1"/>
    <w:rsid w:val="77B13C33"/>
    <w:rsid w:val="77ED6F44"/>
    <w:rsid w:val="77F45548"/>
    <w:rsid w:val="784E7CA6"/>
    <w:rsid w:val="78574801"/>
    <w:rsid w:val="7873527F"/>
    <w:rsid w:val="795A0A34"/>
    <w:rsid w:val="79F00650"/>
    <w:rsid w:val="7A6242BF"/>
    <w:rsid w:val="7AE952D2"/>
    <w:rsid w:val="7C976D69"/>
    <w:rsid w:val="7CD752DA"/>
    <w:rsid w:val="7CDE40AB"/>
    <w:rsid w:val="7D1548B5"/>
    <w:rsid w:val="7DF84014"/>
    <w:rsid w:val="7E0B2D20"/>
    <w:rsid w:val="7E207949"/>
    <w:rsid w:val="7E670C75"/>
    <w:rsid w:val="7E711896"/>
    <w:rsid w:val="7EE24272"/>
    <w:rsid w:val="7EE32689"/>
    <w:rsid w:val="7EEA6053"/>
    <w:rsid w:val="7F487C04"/>
    <w:rsid w:val="7FB45F21"/>
    <w:rsid w:val="7FE57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5169</Words>
  <Characters>5774</Characters>
  <Lines>65</Lines>
  <Paragraphs>18</Paragraphs>
  <TotalTime>0</TotalTime>
  <ScaleCrop>false</ScaleCrop>
  <LinksUpToDate>false</LinksUpToDate>
  <CharactersWithSpaces>5785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user</cp:lastModifiedBy>
  <dcterms:modified xsi:type="dcterms:W3CDTF">2024-11-04T17:58:47Z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7F1BA76700A04C6DA077E64EC2EDFE18_13</vt:lpwstr>
  </property>
</Properties>
</file>