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507DD5">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14:paraId="19D58AA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14:paraId="79554A7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eastAsia="zh-CN"/>
        </w:rPr>
      </w:pPr>
      <w:r>
        <w:rPr>
          <w:rFonts w:hint="eastAsia" w:ascii="方正小标宋_GBK" w:hAnsi="宋体" w:eastAsia="方正小标宋_GBK"/>
          <w:color w:val="auto"/>
          <w:sz w:val="44"/>
          <w:szCs w:val="44"/>
          <w:highlight w:val="none"/>
          <w:lang w:val="en-US" w:eastAsia="zh-CN"/>
        </w:rPr>
        <w:t>博尔塔拉蒙古自治州无线电管理局</w:t>
      </w:r>
      <w:r>
        <w:rPr>
          <w:rFonts w:hint="eastAsia" w:ascii="方正小标宋_GBK" w:hAnsi="宋体" w:eastAsia="方正小标宋_GBK"/>
          <w:color w:val="auto"/>
          <w:sz w:val="44"/>
          <w:szCs w:val="44"/>
          <w:highlight w:val="none"/>
          <w:lang w:eastAsia="zh-CN"/>
        </w:rPr>
        <w:t>2023</w:t>
      </w:r>
    </w:p>
    <w:p w14:paraId="7AE7756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年度</w:t>
      </w:r>
      <w:r>
        <w:rPr>
          <w:rFonts w:hint="eastAsia" w:ascii="方正小标宋_GBK" w:hAnsi="宋体" w:eastAsia="方正小标宋_GBK"/>
          <w:color w:val="auto"/>
          <w:sz w:val="44"/>
          <w:szCs w:val="44"/>
          <w:highlight w:val="none"/>
        </w:rPr>
        <w:t>决算公开说明</w:t>
      </w:r>
    </w:p>
    <w:p w14:paraId="40FF30B9">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14:paraId="2B928957">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14:paraId="2C4D253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14:paraId="6D80CCA7">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14:paraId="1B0AFDD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14:paraId="0359495E">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14:paraId="6BE7127C">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14:paraId="54DEEBD6">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14:paraId="0BC098ED">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14:paraId="22BBEFD9">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14:paraId="391D0A9A">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14:paraId="57A6B03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14:paraId="5B9A998F">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2AE86A35">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14:paraId="43F874E5">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14:paraId="35578014">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14:paraId="19E824A2">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14:paraId="285A6F92">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14:paraId="39995309">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14:paraId="43C84087">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14:paraId="33AC66C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14:paraId="643B0BA3">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14:paraId="1810AC4B">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14:paraId="121723DB">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14:paraId="3925FA2C">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14:paraId="14BEBF92">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14:paraId="1DC2DF12">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14:paraId="5E9031E0">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14:paraId="34520510">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14:paraId="4E25B137">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14:paraId="15536393">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14:paraId="3814C391">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14:paraId="59D9A17F">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14:paraId="181EDA58">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14:paraId="55DE0D4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14:paraId="145A6EF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14:paraId="11959BC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仿宋_GB2312" w:eastAsia="仿宋_GB2312"/>
          <w:sz w:val="32"/>
          <w:szCs w:val="32"/>
          <w:highlight w:val="none"/>
        </w:rPr>
      </w:pPr>
      <w:bookmarkStart w:id="4" w:name="_Toc31238"/>
      <w:bookmarkStart w:id="5" w:name="_Toc2151"/>
      <w:r>
        <w:rPr>
          <w:rFonts w:ascii="仿宋_GB2312" w:eastAsia="仿宋_GB2312"/>
          <w:sz w:val="32"/>
          <w:szCs w:val="32"/>
          <w:highlight w:val="none"/>
        </w:rPr>
        <w:t>根据《中华人民共和国无线电管理条例》《关于调整全区无线电管理机构编制事宜的批复》（新机编办〔2011〕39号）《关于印发&lt;新疆维吾尔自治区经济和信息化委员会（新疆维吾尔自治区国防科学技术工业办公室）所属事业单位分类改革方案&gt;的通知》（新事改办〔2014〕11号），</w:t>
      </w:r>
      <w:r>
        <w:rPr>
          <w:rFonts w:hint="eastAsia" w:ascii="仿宋_GB2312" w:eastAsia="仿宋_GB2312"/>
          <w:sz w:val="32"/>
          <w:szCs w:val="32"/>
          <w:highlight w:val="none"/>
        </w:rPr>
        <w:t xml:space="preserve">博尔塔 </w:t>
      </w:r>
    </w:p>
    <w:p w14:paraId="4F5A17C2">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1"/>
        <w:rPr>
          <w:rFonts w:hint="eastAsia" w:ascii="黑体" w:hAnsi="黑体" w:eastAsia="黑体" w:cs="宋体"/>
          <w:bCs/>
          <w:color w:val="auto"/>
          <w:kern w:val="0"/>
          <w:sz w:val="32"/>
          <w:szCs w:val="32"/>
          <w:highlight w:val="none"/>
          <w:lang w:val="en-US" w:eastAsia="zh-CN"/>
        </w:rPr>
      </w:pPr>
      <w:r>
        <w:rPr>
          <w:rFonts w:hint="eastAsia" w:ascii="仿宋_GB2312" w:eastAsia="仿宋_GB2312"/>
          <w:sz w:val="32"/>
          <w:szCs w:val="32"/>
          <w:highlight w:val="none"/>
        </w:rPr>
        <w:t>拉蒙古自治州无线电管理局</w:t>
      </w:r>
      <w:r>
        <w:rPr>
          <w:rFonts w:ascii="仿宋_GB2312" w:eastAsia="仿宋_GB2312"/>
          <w:sz w:val="32"/>
          <w:szCs w:val="32"/>
          <w:highlight w:val="none"/>
        </w:rPr>
        <w:t>是新疆维吾尔自治区工业和信息化厅派驻</w:t>
      </w:r>
      <w:r>
        <w:rPr>
          <w:rFonts w:hint="eastAsia" w:ascii="仿宋_GB2312" w:eastAsia="仿宋_GB2312"/>
          <w:sz w:val="32"/>
          <w:szCs w:val="32"/>
          <w:highlight w:val="none"/>
          <w:lang w:val="en-US" w:eastAsia="zh-CN"/>
        </w:rPr>
        <w:t>博州</w:t>
      </w:r>
      <w:r>
        <w:rPr>
          <w:rFonts w:ascii="仿宋_GB2312" w:eastAsia="仿宋_GB2312"/>
          <w:sz w:val="32"/>
          <w:szCs w:val="32"/>
          <w:highlight w:val="none"/>
        </w:rPr>
        <w:t>负责无线电管理工作的公益一类事业单位，其主要职责任务是：负责本行政区域除军事系统外的无线电管理工作。贯彻落实国家和自治区无线电管理的法规、规章、政策；根据审批权限实施无线电频率使用许可，审查无线电台（站）的建设布局和台址，核发无线电台执照及无线电台识别码（含呼号）；负责本行政区域无线电监测和干扰查处；协调处理本行政区域无线电管理相关事宜。负责本行政区域无线电管理的行政执法检查，按照有关规定对无线电台(站)的设置、使用和无线电发射设备的研制、生产、进口、销售实施监督检查，征收无线电频率占用费，依法组织实施无线电管制</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 xml:space="preserve">  </w:t>
      </w:r>
      <w:r>
        <w:rPr>
          <w:rFonts w:hint="eastAsia" w:ascii="黑体" w:hAnsi="黑体" w:eastAsia="黑体" w:cs="宋体"/>
          <w:bCs/>
          <w:color w:val="auto"/>
          <w:kern w:val="0"/>
          <w:sz w:val="32"/>
          <w:szCs w:val="32"/>
          <w:highlight w:val="none"/>
          <w:lang w:val="en-US" w:eastAsia="zh-CN"/>
        </w:rPr>
        <w:t xml:space="preserve">          </w:t>
      </w:r>
    </w:p>
    <w:p w14:paraId="1D47901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rPr>
        <w:t>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14:paraId="06AA583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sz w:val="32"/>
          <w:szCs w:val="32"/>
          <w:highlight w:val="none"/>
        </w:rPr>
        <w:t>博州无线电管理局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w:t>
      </w:r>
    </w:p>
    <w:p w14:paraId="724AA9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宋体" w:eastAsia="仿宋_GB2312" w:cs="宋体"/>
          <w:kern w:val="0"/>
          <w:sz w:val="32"/>
          <w:szCs w:val="32"/>
          <w:highlight w:val="none"/>
        </w:rPr>
      </w:pPr>
      <w:bookmarkStart w:id="6" w:name="_Toc3092"/>
      <w:bookmarkStart w:id="7" w:name="_Toc29374"/>
      <w:r>
        <w:rPr>
          <w:rFonts w:hint="eastAsia" w:ascii="仿宋_GB2312" w:hAnsi="黑体" w:eastAsia="仿宋_GB2312" w:cs="宋体"/>
          <w:bCs/>
          <w:kern w:val="0"/>
          <w:sz w:val="32"/>
          <w:szCs w:val="32"/>
          <w:highlight w:val="none"/>
        </w:rPr>
        <w:t>单位无下属预算单位，下设</w:t>
      </w:r>
      <w:r>
        <w:rPr>
          <w:rFonts w:hint="eastAsia" w:ascii="仿宋_GB2312" w:eastAsia="仿宋_GB2312"/>
          <w:sz w:val="32"/>
          <w:szCs w:val="32"/>
          <w:highlight w:val="none"/>
        </w:rPr>
        <w:t>3</w:t>
      </w:r>
      <w:r>
        <w:rPr>
          <w:rFonts w:hint="eastAsia" w:ascii="仿宋_GB2312" w:hAnsi="黑体" w:eastAsia="仿宋_GB2312" w:cs="宋体"/>
          <w:bCs/>
          <w:kern w:val="0"/>
          <w:sz w:val="32"/>
          <w:szCs w:val="32"/>
          <w:highlight w:val="none"/>
        </w:rPr>
        <w:t>个处室，分别是：综合科、业务科、监测站</w:t>
      </w:r>
      <w:r>
        <w:rPr>
          <w:rFonts w:hint="eastAsia" w:ascii="仿宋_GB2312" w:hAnsi="宋体" w:eastAsia="仿宋_GB2312" w:cs="宋体"/>
          <w:kern w:val="0"/>
          <w:sz w:val="32"/>
          <w:szCs w:val="32"/>
          <w:highlight w:val="none"/>
        </w:rPr>
        <w:t>。</w:t>
      </w:r>
    </w:p>
    <w:p w14:paraId="3A2E16BC">
      <w:pPr>
        <w:pStyle w:val="3"/>
        <w:rPr>
          <w:highlight w:val="yellow"/>
        </w:rPr>
      </w:pPr>
    </w:p>
    <w:p w14:paraId="3220343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14:paraId="763FFCA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14:paraId="31B1B07E">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FangSong_GB2312" w:eastAsia="FangSong_GB2312"/>
          <w:b/>
          <w:bCs/>
          <w:sz w:val="32"/>
          <w:szCs w:val="32"/>
          <w:highlight w:val="none"/>
        </w:rPr>
        <w:t>307.13</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其中：本年收入合计</w:t>
      </w:r>
      <w:r>
        <w:rPr>
          <w:rFonts w:hint="eastAsia" w:ascii="FangSong_GB2312" w:eastAsia="FangSong_GB2312"/>
          <w:sz w:val="32"/>
          <w:szCs w:val="32"/>
          <w:highlight w:val="none"/>
        </w:rPr>
        <w:t>295.34</w:t>
      </w:r>
      <w:r>
        <w:rPr>
          <w:rFonts w:hint="eastAsia" w:ascii="仿宋_GB2312" w:eastAsia="仿宋_GB2312"/>
          <w:color w:val="auto"/>
          <w:spacing w:val="0"/>
          <w:sz w:val="32"/>
          <w:szCs w:val="32"/>
          <w:highlight w:val="none"/>
          <w:lang w:eastAsia="zh-CN"/>
        </w:rPr>
        <w:t>万元，使用非财政拨款结余</w:t>
      </w:r>
      <w:r>
        <w:rPr>
          <w:rFonts w:hint="eastAsia" w:ascii="FangSong_GB2312" w:eastAsia="FangSong_GB2312"/>
          <w:sz w:val="32"/>
          <w:szCs w:val="32"/>
          <w:highlight w:val="none"/>
        </w:rPr>
        <w:t>4.51</w:t>
      </w:r>
      <w:r>
        <w:rPr>
          <w:rFonts w:hint="eastAsia" w:ascii="仿宋_GB2312" w:eastAsia="仿宋_GB2312"/>
          <w:color w:val="auto"/>
          <w:spacing w:val="0"/>
          <w:sz w:val="32"/>
          <w:szCs w:val="32"/>
          <w:highlight w:val="none"/>
          <w:lang w:eastAsia="zh-CN"/>
        </w:rPr>
        <w:t>万元，年初结转和结余</w:t>
      </w:r>
      <w:r>
        <w:rPr>
          <w:rFonts w:hint="eastAsia" w:ascii="仿宋_GB2312" w:eastAsia="仿宋_GB2312"/>
          <w:color w:val="auto"/>
          <w:spacing w:val="0"/>
          <w:sz w:val="32"/>
          <w:szCs w:val="32"/>
          <w:highlight w:val="none"/>
          <w:lang w:val="en-US" w:eastAsia="zh-CN"/>
        </w:rPr>
        <w:t>7.28</w:t>
      </w:r>
      <w:r>
        <w:rPr>
          <w:rFonts w:hint="eastAsia" w:ascii="仿宋_GB2312" w:eastAsia="仿宋_GB2312"/>
          <w:color w:val="auto"/>
          <w:spacing w:val="0"/>
          <w:sz w:val="32"/>
          <w:szCs w:val="32"/>
          <w:highlight w:val="none"/>
          <w:lang w:eastAsia="zh-CN"/>
        </w:rPr>
        <w:t>万元。</w:t>
      </w:r>
    </w:p>
    <w:p w14:paraId="6A4C5580">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FangSong_GB2312" w:eastAsia="FangSong_GB2312"/>
          <w:b/>
          <w:bCs/>
          <w:sz w:val="32"/>
          <w:szCs w:val="32"/>
          <w:highlight w:val="none"/>
        </w:rPr>
        <w:t>307.13</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其中：本年支出合计</w:t>
      </w:r>
      <w:r>
        <w:rPr>
          <w:rFonts w:hint="eastAsia" w:ascii="FangSong_GB2312" w:eastAsia="FangSong_GB2312"/>
          <w:sz w:val="32"/>
          <w:szCs w:val="32"/>
          <w:highlight w:val="none"/>
        </w:rPr>
        <w:t>307.13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14:paraId="136B36B2">
      <w:pPr>
        <w:ind w:firstLine="643" w:firstLineChars="200"/>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99.30</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，增长</w:t>
      </w:r>
      <w:r>
        <w:rPr>
          <w:rFonts w:hint="eastAsia" w:ascii="仿宋_GB2312" w:eastAsia="仿宋_GB2312"/>
          <w:color w:val="auto"/>
          <w:spacing w:val="0"/>
          <w:sz w:val="32"/>
          <w:szCs w:val="32"/>
          <w:highlight w:val="none"/>
          <w:lang w:val="en-US" w:eastAsia="zh-CN"/>
        </w:rPr>
        <w:t>47.78</w:t>
      </w:r>
      <w:r>
        <w:rPr>
          <w:rFonts w:hint="eastAsia" w:ascii="仿宋_GB2312" w:eastAsia="仿宋_GB2312"/>
          <w:color w:val="auto"/>
          <w:spacing w:val="0"/>
          <w:sz w:val="32"/>
          <w:szCs w:val="32"/>
          <w:highlight w:val="none"/>
          <w:lang w:eastAsia="zh-CN"/>
        </w:rPr>
        <w:t>%，主要原因是：</w:t>
      </w:r>
      <w:r>
        <w:rPr>
          <w:rFonts w:hint="eastAsia" w:ascii="仿宋_GB2312" w:eastAsia="仿宋_GB2312"/>
          <w:b/>
          <w:bCs/>
          <w:color w:val="auto"/>
          <w:sz w:val="32"/>
          <w:szCs w:val="32"/>
          <w:highlight w:val="none"/>
          <w:lang w:eastAsia="zh-CN"/>
        </w:rPr>
        <w:t>一是</w:t>
      </w:r>
      <w:r>
        <w:rPr>
          <w:rFonts w:hint="eastAsia" w:ascii="仿宋_GB2312" w:eastAsia="仿宋_GB2312"/>
          <w:color w:val="auto"/>
          <w:sz w:val="32"/>
          <w:szCs w:val="32"/>
          <w:highlight w:val="none"/>
          <w:lang w:eastAsia="zh-CN"/>
        </w:rPr>
        <w:t>一般公共预算财政拨款</w:t>
      </w:r>
      <w:r>
        <w:rPr>
          <w:rFonts w:hint="eastAsia" w:ascii="仿宋_GB2312" w:eastAsia="仿宋_GB2312"/>
          <w:color w:val="auto"/>
          <w:sz w:val="32"/>
          <w:szCs w:val="32"/>
          <w:highlight w:val="none"/>
        </w:rPr>
        <w:t>基本支出收入较上年增加</w:t>
      </w:r>
      <w:r>
        <w:rPr>
          <w:rFonts w:hint="eastAsia" w:ascii="仿宋_GB2312" w:eastAsia="仿宋_GB2312"/>
          <w:color w:val="auto"/>
          <w:sz w:val="32"/>
          <w:szCs w:val="32"/>
          <w:highlight w:val="none"/>
          <w:lang w:val="en-US" w:eastAsia="zh-CN"/>
        </w:rPr>
        <w:t>1.58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主要为社会保险费住房公积金缴费基数上调</w:t>
      </w:r>
      <w:r>
        <w:rPr>
          <w:rFonts w:hint="eastAsia" w:ascii="仿宋_GB2312" w:eastAsia="仿宋_GB2312"/>
          <w:color w:val="auto"/>
          <w:sz w:val="32"/>
          <w:szCs w:val="32"/>
          <w:highlight w:val="none"/>
        </w:rPr>
        <w:t>，预算收入相应增加；</w:t>
      </w:r>
      <w:r>
        <w:rPr>
          <w:rFonts w:hint="eastAsia" w:ascii="仿宋_GB2312" w:eastAsia="仿宋_GB2312"/>
          <w:b/>
          <w:bCs/>
          <w:color w:val="auto"/>
          <w:sz w:val="32"/>
          <w:szCs w:val="32"/>
          <w:highlight w:val="none"/>
        </w:rPr>
        <w:t>二是</w:t>
      </w:r>
      <w:r>
        <w:rPr>
          <w:rFonts w:hint="eastAsia" w:ascii="仿宋_GB2312" w:eastAsia="仿宋_GB2312"/>
          <w:color w:val="auto"/>
          <w:sz w:val="32"/>
          <w:szCs w:val="32"/>
          <w:highlight w:val="none"/>
        </w:rPr>
        <w:t>一般公共预算财政拨款项目支出增加</w:t>
      </w:r>
      <w:r>
        <w:rPr>
          <w:rFonts w:hint="eastAsia" w:ascii="仿宋_GB2312" w:eastAsia="仿宋_GB2312"/>
          <w:color w:val="auto"/>
          <w:sz w:val="32"/>
          <w:szCs w:val="32"/>
          <w:highlight w:val="none"/>
          <w:lang w:val="en-US" w:eastAsia="zh-CN"/>
        </w:rPr>
        <w:t>99.98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为</w:t>
      </w:r>
      <w:r>
        <w:rPr>
          <w:rFonts w:hint="eastAsia" w:ascii="仿宋_GB2312" w:eastAsia="仿宋_GB2312"/>
          <w:color w:val="auto"/>
          <w:sz w:val="32"/>
          <w:szCs w:val="32"/>
          <w:highlight w:val="none"/>
        </w:rPr>
        <w:t>中央无线电管理经费</w:t>
      </w:r>
      <w:r>
        <w:rPr>
          <w:rFonts w:hint="eastAsia" w:ascii="仿宋_GB2312" w:eastAsia="仿宋_GB2312"/>
          <w:color w:val="auto"/>
          <w:sz w:val="32"/>
          <w:szCs w:val="32"/>
          <w:highlight w:val="none"/>
          <w:lang w:val="en-US" w:eastAsia="zh-CN"/>
        </w:rPr>
        <w:t>增加</w:t>
      </w:r>
      <w:r>
        <w:rPr>
          <w:rFonts w:hint="eastAsia" w:ascii="仿宋_GB2312" w:eastAsia="仿宋_GB2312"/>
          <w:color w:val="auto"/>
          <w:sz w:val="32"/>
          <w:szCs w:val="32"/>
          <w:highlight w:val="none"/>
        </w:rPr>
        <w:t>；</w:t>
      </w: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是</w:t>
      </w:r>
      <w:r>
        <w:rPr>
          <w:rFonts w:hint="eastAsia" w:ascii="仿宋_GB2312" w:eastAsia="仿宋_GB2312"/>
          <w:color w:val="auto"/>
          <w:sz w:val="32"/>
          <w:szCs w:val="32"/>
          <w:highlight w:val="none"/>
        </w:rPr>
        <w:t>使用非财政拨款结余较上年增加1.9</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万元，主要是本年使用非财政拨款结余资金安排项目</w:t>
      </w:r>
      <w:r>
        <w:rPr>
          <w:rFonts w:hint="eastAsia" w:ascii="仿宋_GB2312" w:eastAsia="仿宋_GB2312"/>
          <w:color w:val="auto"/>
          <w:sz w:val="32"/>
          <w:szCs w:val="32"/>
          <w:highlight w:val="none"/>
          <w:lang w:eastAsia="zh-CN"/>
        </w:rPr>
        <w:t>；</w:t>
      </w: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是</w:t>
      </w:r>
      <w:r>
        <w:rPr>
          <w:rFonts w:hint="eastAsia" w:ascii="仿宋_GB2312" w:eastAsia="仿宋_GB2312"/>
          <w:color w:val="auto"/>
          <w:sz w:val="32"/>
          <w:szCs w:val="32"/>
          <w:highlight w:val="none"/>
        </w:rPr>
        <w:t>年初结转和结余较上年</w:t>
      </w:r>
      <w:r>
        <w:rPr>
          <w:rFonts w:hint="eastAsia" w:ascii="仿宋_GB2312" w:eastAsia="仿宋_GB2312"/>
          <w:color w:val="auto"/>
          <w:sz w:val="32"/>
          <w:szCs w:val="32"/>
          <w:highlight w:val="none"/>
          <w:lang w:val="en-US" w:eastAsia="zh-CN"/>
        </w:rPr>
        <w:t>减少4.2万元，</w:t>
      </w:r>
      <w:r>
        <w:rPr>
          <w:rFonts w:hint="eastAsia" w:ascii="仿宋_GB2312" w:eastAsia="仿宋_GB2312"/>
          <w:color w:val="auto"/>
          <w:sz w:val="32"/>
          <w:szCs w:val="32"/>
          <w:highlight w:val="none"/>
        </w:rPr>
        <w:t>主要是</w:t>
      </w:r>
      <w:r>
        <w:rPr>
          <w:rFonts w:ascii="FangSong_GB2312" w:hAnsi="FangSong_GB2312" w:eastAsia="FangSong_GB2312" w:cs="FangSong_GB2312"/>
          <w:color w:val="auto"/>
          <w:spacing w:val="6"/>
          <w:sz w:val="31"/>
          <w:szCs w:val="31"/>
          <w:highlight w:val="none"/>
          <w:lang w:eastAsia="zh-CN"/>
        </w:rPr>
        <w:t>湖北</w:t>
      </w:r>
      <w:r>
        <w:rPr>
          <w:rFonts w:ascii="FangSong_GB2312" w:hAnsi="FangSong_GB2312" w:eastAsia="FangSong_GB2312" w:cs="FangSong_GB2312"/>
          <w:color w:val="auto"/>
          <w:spacing w:val="3"/>
          <w:sz w:val="31"/>
          <w:szCs w:val="31"/>
          <w:highlight w:val="none"/>
          <w:lang w:eastAsia="zh-CN"/>
        </w:rPr>
        <w:t>援疆项目-</w:t>
      </w:r>
      <w:r>
        <w:rPr>
          <w:rFonts w:hint="eastAsia" w:ascii="FangSong_GB2312" w:hAnsi="FangSong_GB2312" w:eastAsia="FangSong_GB2312" w:cs="FangSong_GB2312"/>
          <w:color w:val="auto"/>
          <w:spacing w:val="3"/>
          <w:sz w:val="31"/>
          <w:szCs w:val="31"/>
          <w:highlight w:val="none"/>
          <w:lang w:eastAsia="zh-CN"/>
        </w:rPr>
        <w:t>数字压制系统</w:t>
      </w:r>
      <w:r>
        <w:rPr>
          <w:rFonts w:ascii="FangSong_GB2312" w:hAnsi="FangSong_GB2312" w:eastAsia="FangSong_GB2312" w:cs="FangSong_GB2312"/>
          <w:color w:val="auto"/>
          <w:spacing w:val="3"/>
          <w:sz w:val="31"/>
          <w:szCs w:val="31"/>
          <w:highlight w:val="none"/>
          <w:lang w:eastAsia="zh-CN"/>
        </w:rPr>
        <w:t>”项目结转较上年减少</w:t>
      </w:r>
      <w:r>
        <w:rPr>
          <w:rFonts w:hint="eastAsia" w:ascii="FangSong_GB2312" w:hAnsi="FangSong_GB2312" w:eastAsia="FangSong_GB2312" w:cs="FangSong_GB2312"/>
          <w:color w:val="auto"/>
          <w:spacing w:val="3"/>
          <w:sz w:val="31"/>
          <w:szCs w:val="31"/>
          <w:highlight w:val="none"/>
          <w:lang w:eastAsia="zh-CN"/>
        </w:rPr>
        <w:t>4.2</w:t>
      </w:r>
      <w:r>
        <w:rPr>
          <w:rFonts w:ascii="FangSong_GB2312" w:hAnsi="FangSong_GB2312" w:eastAsia="FangSong_GB2312" w:cs="FangSong_GB2312"/>
          <w:color w:val="auto"/>
          <w:spacing w:val="3"/>
          <w:sz w:val="31"/>
          <w:szCs w:val="31"/>
          <w:highlight w:val="none"/>
          <w:lang w:eastAsia="zh-CN"/>
        </w:rPr>
        <w:t>万元</w:t>
      </w:r>
      <w:r>
        <w:rPr>
          <w:rFonts w:hint="eastAsia" w:ascii="FangSong_GB2312" w:hAnsi="FangSong_GB2312" w:eastAsia="FangSong_GB2312" w:cs="FangSong_GB2312"/>
          <w:color w:val="auto"/>
          <w:spacing w:val="3"/>
          <w:sz w:val="31"/>
          <w:szCs w:val="31"/>
          <w:highlight w:val="none"/>
          <w:lang w:eastAsia="zh-CN"/>
        </w:rPr>
        <w:t>。</w:t>
      </w:r>
      <w:r>
        <w:rPr>
          <w:rFonts w:hint="eastAsia" w:ascii="仿宋_GB2312" w:eastAsia="仿宋_GB2312"/>
          <w:color w:val="auto"/>
          <w:sz w:val="32"/>
          <w:szCs w:val="32"/>
          <w:highlight w:val="none"/>
        </w:rPr>
        <w:t>综上各项资金有增有减，因此202</w:t>
      </w: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年度收入</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rPr>
        <w:t>总计较上年</w:t>
      </w:r>
      <w:r>
        <w:rPr>
          <w:rFonts w:hint="eastAsia" w:ascii="仿宋_GB2312" w:eastAsia="仿宋_GB2312"/>
          <w:color w:val="auto"/>
          <w:sz w:val="32"/>
          <w:szCs w:val="32"/>
          <w:highlight w:val="none"/>
          <w:lang w:val="en-US" w:eastAsia="zh-CN"/>
        </w:rPr>
        <w:t>增加</w:t>
      </w:r>
      <w:r>
        <w:rPr>
          <w:rFonts w:hint="eastAsia" w:ascii="仿宋_GB2312" w:eastAsia="仿宋_GB2312"/>
          <w:color w:val="auto"/>
          <w:sz w:val="32"/>
          <w:szCs w:val="32"/>
          <w:highlight w:val="none"/>
        </w:rPr>
        <w:t>。</w:t>
      </w:r>
    </w:p>
    <w:p w14:paraId="0CD9799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14:paraId="0BFCD800">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仿宋_GB2312" w:eastAsia="仿宋_GB2312"/>
          <w:color w:val="auto"/>
          <w:sz w:val="32"/>
          <w:szCs w:val="32"/>
          <w:highlight w:val="none"/>
        </w:rPr>
      </w:pPr>
      <w:bookmarkStart w:id="12" w:name="_Toc13201"/>
      <w:bookmarkStart w:id="13" w:name="_Toc27961"/>
      <w:r>
        <w:rPr>
          <w:rFonts w:hint="eastAsia" w:ascii="仿宋_GB2312" w:eastAsia="仿宋_GB2312"/>
          <w:b/>
          <w:bCs/>
          <w:color w:val="auto"/>
          <w:sz w:val="32"/>
          <w:szCs w:val="32"/>
          <w:highlight w:val="none"/>
        </w:rPr>
        <w:t>本年收入295.34万元，</w:t>
      </w:r>
      <w:r>
        <w:rPr>
          <w:rFonts w:hint="eastAsia" w:ascii="仿宋_GB2312" w:eastAsia="仿宋_GB2312"/>
          <w:color w:val="auto"/>
          <w:sz w:val="32"/>
          <w:szCs w:val="32"/>
          <w:highlight w:val="none"/>
        </w:rPr>
        <w:t>其中：财政拨款收入295.25万元，占99.97%；上级补助收入0.00万元，占0.00%；事业收入0.00万元，占0.00%；经营收入0.00万元，占0.00%；附属单位上缴收入0.00万元，占0.00%；其他收入0.09万元，占0.03%。</w:t>
      </w:r>
    </w:p>
    <w:p w14:paraId="72F7D0C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三、支出决算情况说明</w:t>
      </w:r>
      <w:bookmarkEnd w:id="12"/>
      <w:bookmarkEnd w:id="13"/>
    </w:p>
    <w:p w14:paraId="1816D8DA">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outlineLvl w:val="1"/>
        <w:rPr>
          <w:rFonts w:hint="eastAsia" w:ascii="仿宋_GB2312" w:eastAsia="仿宋_GB2312"/>
          <w:color w:val="auto"/>
          <w:sz w:val="32"/>
          <w:szCs w:val="32"/>
          <w:highlight w:val="none"/>
          <w:lang w:val="zh-CN" w:eastAsia="zh-CN"/>
        </w:rPr>
      </w:pPr>
      <w:bookmarkStart w:id="14" w:name="_Toc26564"/>
      <w:bookmarkStart w:id="15" w:name="_Toc4393"/>
      <w:r>
        <w:rPr>
          <w:rFonts w:hint="eastAsia" w:ascii="仿宋_GB2312" w:eastAsia="仿宋_GB2312"/>
          <w:b/>
          <w:bCs/>
          <w:color w:val="auto"/>
          <w:sz w:val="32"/>
          <w:szCs w:val="32"/>
          <w:highlight w:val="none"/>
          <w:lang w:val="zh-CN" w:eastAsia="zh-CN"/>
        </w:rPr>
        <w:t>本年支出307.13万元，</w:t>
      </w:r>
      <w:r>
        <w:rPr>
          <w:rFonts w:hint="eastAsia" w:ascii="仿宋_GB2312" w:eastAsia="仿宋_GB2312"/>
          <w:color w:val="auto"/>
          <w:sz w:val="32"/>
          <w:szCs w:val="32"/>
          <w:highlight w:val="none"/>
          <w:lang w:val="zh-CN" w:eastAsia="zh-CN"/>
        </w:rPr>
        <w:t>其中：基本支出141.87万元，占46.19%；项目支出165.26万元，占53.81%；上缴上级支出0.00万元，占0.00%；经营支出0.00万元，占0.00%；对附属单位补助支出0.00万元，占0.00%。</w:t>
      </w:r>
    </w:p>
    <w:p w14:paraId="5192559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14:paraId="1000507B">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FangSong_GB2312" w:eastAsia="FangSong_GB2312"/>
          <w:b/>
          <w:bCs/>
          <w:sz w:val="32"/>
          <w:szCs w:val="32"/>
          <w:highlight w:val="none"/>
          <w:lang w:val="zh-CN"/>
        </w:rPr>
        <w:t>295.25</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FangSong_GB2312" w:eastAsia="FangSong_GB2312"/>
          <w:sz w:val="32"/>
          <w:szCs w:val="32"/>
          <w:highlight w:val="none"/>
          <w:lang w:val="zh-CN"/>
        </w:rPr>
        <w:t>295.25</w:t>
      </w:r>
      <w:r>
        <w:rPr>
          <w:rFonts w:hint="eastAsia" w:ascii="仿宋_GB2312" w:eastAsia="仿宋_GB2312"/>
          <w:color w:val="auto"/>
          <w:spacing w:val="0"/>
          <w:sz w:val="32"/>
          <w:szCs w:val="32"/>
          <w:highlight w:val="none"/>
          <w:lang w:eastAsia="zh-CN"/>
        </w:rPr>
        <w:t>万元。</w:t>
      </w:r>
      <w:r>
        <w:rPr>
          <w:rFonts w:hint="eastAsia" w:ascii="仿宋_GB2312" w:eastAsia="仿宋_GB2312"/>
          <w:b/>
          <w:bCs/>
          <w:color w:val="auto"/>
          <w:spacing w:val="0"/>
          <w:sz w:val="32"/>
          <w:szCs w:val="32"/>
          <w:highlight w:val="none"/>
          <w:lang w:eastAsia="zh-CN"/>
        </w:rPr>
        <w:t>财政拨款支出</w:t>
      </w:r>
      <w:r>
        <w:rPr>
          <w:rFonts w:hint="eastAsia" w:ascii="仿宋_GB2312" w:eastAsia="仿宋_GB2312"/>
          <w:b/>
          <w:bCs/>
          <w:color w:val="auto"/>
          <w:spacing w:val="0"/>
          <w:sz w:val="32"/>
          <w:szCs w:val="32"/>
          <w:highlight w:val="none"/>
          <w:lang w:val="en-US" w:eastAsia="zh-CN"/>
        </w:rPr>
        <w:t>总计</w:t>
      </w:r>
      <w:r>
        <w:rPr>
          <w:rFonts w:hint="eastAsia" w:ascii="FangSong_GB2312" w:eastAsia="FangSong_GB2312"/>
          <w:b/>
          <w:bCs/>
          <w:sz w:val="32"/>
          <w:szCs w:val="32"/>
          <w:highlight w:val="none"/>
          <w:lang w:val="zh-CN"/>
        </w:rPr>
        <w:t>295.25</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FangSong_GB2312" w:eastAsia="FangSong_GB2312"/>
          <w:sz w:val="32"/>
          <w:szCs w:val="32"/>
          <w:highlight w:val="none"/>
          <w:lang w:val="zh-CN"/>
        </w:rPr>
        <w:t>295.25</w:t>
      </w:r>
      <w:r>
        <w:rPr>
          <w:rFonts w:hint="eastAsia" w:ascii="仿宋_GB2312" w:eastAsia="仿宋_GB2312"/>
          <w:color w:val="auto"/>
          <w:spacing w:val="0"/>
          <w:sz w:val="32"/>
          <w:szCs w:val="32"/>
          <w:highlight w:val="none"/>
          <w:lang w:eastAsia="zh-CN"/>
        </w:rPr>
        <w:t>万元。</w:t>
      </w:r>
    </w:p>
    <w:p w14:paraId="4D9951AF">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FF0000"/>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w:t>
      </w:r>
      <w:r>
        <w:rPr>
          <w:rFonts w:hint="eastAsia" w:ascii="FangSong_GB2312" w:eastAsia="FangSong_GB2312"/>
          <w:sz w:val="32"/>
          <w:szCs w:val="32"/>
          <w:highlight w:val="none"/>
          <w:lang w:val="zh-CN"/>
        </w:rPr>
        <w:t>101.56</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w:t>
      </w:r>
      <w:r>
        <w:rPr>
          <w:rFonts w:hint="eastAsia" w:ascii="FangSong_GB2312" w:eastAsia="FangSong_GB2312"/>
          <w:sz w:val="32"/>
          <w:szCs w:val="32"/>
          <w:highlight w:val="none"/>
        </w:rPr>
        <w:t>52.43%</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z w:val="32"/>
          <w:szCs w:val="32"/>
          <w:highlight w:val="none"/>
        </w:rPr>
        <w:t>一是一般公共预算财政拨款基本支</w:t>
      </w:r>
      <w:r>
        <w:rPr>
          <w:rFonts w:hint="eastAsia" w:ascii="仿宋_GB2312" w:eastAsia="仿宋_GB2312"/>
          <w:color w:val="auto"/>
          <w:sz w:val="32"/>
          <w:szCs w:val="32"/>
          <w:highlight w:val="none"/>
          <w:lang w:val="en-US" w:eastAsia="zh-CN"/>
        </w:rPr>
        <w:t>出</w:t>
      </w:r>
      <w:r>
        <w:rPr>
          <w:rFonts w:hint="eastAsia" w:ascii="仿宋_GB2312" w:eastAsia="仿宋_GB2312"/>
          <w:color w:val="auto"/>
          <w:sz w:val="32"/>
          <w:szCs w:val="32"/>
          <w:highlight w:val="none"/>
        </w:rPr>
        <w:t>增加</w:t>
      </w:r>
      <w:r>
        <w:rPr>
          <w:rFonts w:hint="eastAsia" w:ascii="仿宋_GB2312" w:eastAsia="仿宋_GB2312"/>
          <w:color w:val="auto"/>
          <w:sz w:val="32"/>
          <w:szCs w:val="32"/>
          <w:highlight w:val="none"/>
          <w:lang w:val="en-US" w:eastAsia="zh-CN"/>
        </w:rPr>
        <w:t>1.58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主要为</w:t>
      </w:r>
      <w:r>
        <w:rPr>
          <w:rFonts w:hint="eastAsia" w:ascii="仿宋_GB2312" w:eastAsia="仿宋_GB2312"/>
          <w:color w:val="auto"/>
          <w:sz w:val="32"/>
          <w:szCs w:val="32"/>
          <w:highlight w:val="none"/>
        </w:rPr>
        <w:t>社会保险费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住房公积金缴</w:t>
      </w:r>
      <w:r>
        <w:rPr>
          <w:rFonts w:hint="eastAsia" w:ascii="仿宋_GB2312" w:eastAsia="仿宋_GB2312"/>
          <w:color w:val="auto"/>
          <w:sz w:val="32"/>
          <w:szCs w:val="32"/>
        </w:rPr>
        <w:t>费基数上调，预算收入相应增加；二是一般公共预算财政拨款</w:t>
      </w:r>
      <w:r>
        <w:rPr>
          <w:rFonts w:hint="eastAsia" w:ascii="仿宋_GB2312" w:hAnsi="仿宋_GB2312" w:eastAsia="仿宋_GB2312" w:cs="仿宋_GB2312"/>
          <w:color w:val="auto"/>
          <w:spacing w:val="4"/>
          <w:sz w:val="32"/>
          <w:szCs w:val="32"/>
          <w:lang w:val="en-US" w:eastAsia="zh-CN"/>
        </w:rPr>
        <w:t>项目支出</w:t>
      </w:r>
      <w:r>
        <w:rPr>
          <w:rFonts w:hint="eastAsia" w:ascii="仿宋_GB2312" w:eastAsia="仿宋_GB2312"/>
          <w:color w:val="auto"/>
          <w:sz w:val="32"/>
          <w:szCs w:val="32"/>
        </w:rPr>
        <w:t>较上年</w:t>
      </w:r>
      <w:r>
        <w:rPr>
          <w:rFonts w:hint="eastAsia" w:ascii="仿宋_GB2312" w:eastAsia="仿宋_GB2312"/>
          <w:color w:val="auto"/>
          <w:sz w:val="32"/>
          <w:szCs w:val="32"/>
          <w:lang w:val="en-US" w:eastAsia="zh-CN"/>
        </w:rPr>
        <w:t>增加99.98</w:t>
      </w:r>
      <w:r>
        <w:rPr>
          <w:rFonts w:hint="eastAsia" w:ascii="仿宋_GB2312" w:eastAsia="仿宋_GB2312"/>
          <w:color w:val="auto"/>
          <w:sz w:val="32"/>
          <w:szCs w:val="32"/>
        </w:rPr>
        <w:t>万元，主要</w:t>
      </w:r>
      <w:r>
        <w:rPr>
          <w:rFonts w:hint="eastAsia" w:ascii="仿宋_GB2312" w:eastAsia="仿宋_GB2312"/>
          <w:color w:val="auto"/>
          <w:sz w:val="32"/>
          <w:szCs w:val="32"/>
          <w:lang w:val="en-US" w:eastAsia="zh-CN"/>
        </w:rPr>
        <w:t>为</w:t>
      </w:r>
      <w:r>
        <w:rPr>
          <w:rFonts w:hint="eastAsia" w:ascii="仿宋_GB2312" w:eastAsia="仿宋_GB2312"/>
          <w:color w:val="auto"/>
          <w:sz w:val="32"/>
          <w:szCs w:val="32"/>
        </w:rPr>
        <w:t>中央无线电管理经费项目</w:t>
      </w:r>
      <w:r>
        <w:rPr>
          <w:rFonts w:hint="eastAsia" w:ascii="仿宋_GB2312" w:eastAsia="仿宋_GB2312"/>
          <w:color w:val="auto"/>
          <w:sz w:val="32"/>
          <w:szCs w:val="32"/>
          <w:lang w:val="en-US" w:eastAsia="zh-CN"/>
        </w:rPr>
        <w:t>较上年</w:t>
      </w:r>
      <w:r>
        <w:rPr>
          <w:rFonts w:hint="eastAsia" w:ascii="仿宋_GB2312" w:eastAsia="仿宋_GB2312"/>
          <w:color w:val="auto"/>
          <w:sz w:val="32"/>
          <w:szCs w:val="32"/>
        </w:rPr>
        <w:t>增加</w:t>
      </w:r>
      <w:r>
        <w:rPr>
          <w:rFonts w:hint="eastAsia" w:ascii="仿宋_GB2312" w:eastAsia="仿宋_GB2312"/>
          <w:sz w:val="32"/>
          <w:szCs w:val="32"/>
        </w:rPr>
        <w:t>。</w:t>
      </w: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FangSong_GB2312" w:eastAsia="FangSong_GB2312"/>
          <w:sz w:val="32"/>
          <w:szCs w:val="32"/>
          <w:lang w:val="zh-CN"/>
        </w:rPr>
        <w:t>283.81</w:t>
      </w:r>
      <w:r>
        <w:rPr>
          <w:rFonts w:hint="eastAsia" w:ascii="仿宋_GB2312" w:eastAsia="仿宋_GB2312"/>
          <w:color w:val="auto"/>
          <w:spacing w:val="0"/>
          <w:sz w:val="32"/>
          <w:szCs w:val="32"/>
          <w:highlight w:val="none"/>
          <w:lang w:eastAsia="zh-CN"/>
        </w:rPr>
        <w:t>万元，决算数</w:t>
      </w:r>
      <w:r>
        <w:rPr>
          <w:rFonts w:hint="eastAsia" w:ascii="FangSong_GB2312" w:eastAsia="FangSong_GB2312"/>
          <w:sz w:val="32"/>
          <w:szCs w:val="32"/>
          <w:highlight w:val="none"/>
          <w:lang w:val="zh-CN"/>
        </w:rPr>
        <w:t>295.25</w:t>
      </w:r>
      <w:r>
        <w:rPr>
          <w:rFonts w:hint="eastAsia" w:ascii="仿宋_GB2312" w:eastAsia="仿宋_GB2312"/>
          <w:color w:val="auto"/>
          <w:spacing w:val="0"/>
          <w:sz w:val="32"/>
          <w:szCs w:val="32"/>
          <w:highlight w:val="none"/>
          <w:lang w:eastAsia="zh-CN"/>
        </w:rPr>
        <w:t>万元，预决算差异率</w:t>
      </w:r>
      <w:r>
        <w:rPr>
          <w:rFonts w:hint="eastAsia" w:ascii="FangSong_GB2312" w:eastAsia="FangSong_GB2312"/>
          <w:sz w:val="32"/>
          <w:szCs w:val="32"/>
          <w:highlight w:val="none"/>
        </w:rPr>
        <w:t>4.03</w:t>
      </w:r>
      <w:r>
        <w:rPr>
          <w:rFonts w:hint="eastAsia" w:ascii="仿宋_GB2312" w:eastAsia="仿宋_GB2312"/>
          <w:color w:val="auto"/>
          <w:spacing w:val="0"/>
          <w:sz w:val="32"/>
          <w:szCs w:val="32"/>
          <w:highlight w:val="none"/>
          <w:lang w:eastAsia="zh-CN"/>
        </w:rPr>
        <w:t>%，</w:t>
      </w:r>
      <w:r>
        <w:rPr>
          <w:rFonts w:hint="eastAsia" w:ascii="仿宋_GB2312" w:eastAsia="仿宋_GB2312"/>
          <w:color w:val="auto"/>
          <w:sz w:val="32"/>
          <w:szCs w:val="32"/>
          <w:highlight w:val="none"/>
        </w:rPr>
        <w:t>主要原因是：</w:t>
      </w:r>
      <w:r>
        <w:rPr>
          <w:rFonts w:hint="eastAsia" w:ascii="仿宋_GB2312" w:eastAsia="仿宋_GB2312"/>
          <w:color w:val="auto"/>
          <w:spacing w:val="0"/>
          <w:sz w:val="32"/>
          <w:szCs w:val="32"/>
          <w:highlight w:val="none"/>
          <w:lang w:eastAsia="zh-CN"/>
        </w:rPr>
        <w:t>在年度执行中，根据自治区财政厅下达文件追加及调减预算：①基本支出中，追加自治区人员类项目经费</w:t>
      </w:r>
      <w:r>
        <w:rPr>
          <w:rFonts w:hint="eastAsia" w:ascii="仿宋_GB2312" w:eastAsia="仿宋_GB2312"/>
          <w:color w:val="auto"/>
          <w:spacing w:val="0"/>
          <w:sz w:val="32"/>
          <w:szCs w:val="32"/>
          <w:highlight w:val="none"/>
          <w:lang w:val="en-US" w:eastAsia="zh-CN"/>
        </w:rPr>
        <w:t>12.47</w:t>
      </w:r>
      <w:r>
        <w:rPr>
          <w:rFonts w:hint="eastAsia" w:ascii="仿宋_GB2312" w:eastAsia="仿宋_GB2312"/>
          <w:color w:val="auto"/>
          <w:spacing w:val="0"/>
          <w:sz w:val="32"/>
          <w:szCs w:val="32"/>
          <w:highlight w:val="none"/>
          <w:lang w:eastAsia="zh-CN"/>
        </w:rPr>
        <w:t>万元；调减自治区人员类项目经费</w:t>
      </w:r>
      <w:r>
        <w:rPr>
          <w:rFonts w:hint="eastAsia" w:ascii="仿宋_GB2312" w:eastAsia="仿宋_GB2312"/>
          <w:color w:val="auto"/>
          <w:spacing w:val="0"/>
          <w:sz w:val="32"/>
          <w:szCs w:val="32"/>
          <w:highlight w:val="none"/>
          <w:lang w:val="en-US" w:eastAsia="zh-CN"/>
        </w:rPr>
        <w:t>1.01</w:t>
      </w:r>
      <w:r>
        <w:rPr>
          <w:rFonts w:hint="eastAsia" w:ascii="仿宋_GB2312" w:eastAsia="仿宋_GB2312"/>
          <w:color w:val="auto"/>
          <w:spacing w:val="0"/>
          <w:sz w:val="32"/>
          <w:szCs w:val="32"/>
          <w:highlight w:val="none"/>
          <w:lang w:eastAsia="zh-CN"/>
        </w:rPr>
        <w:t>万元；②项目支出中，调减2023年中央无线电管理经费</w:t>
      </w:r>
      <w:r>
        <w:rPr>
          <w:rFonts w:hint="eastAsia" w:ascii="仿宋_GB2312" w:eastAsia="仿宋_GB2312"/>
          <w:color w:val="auto"/>
          <w:spacing w:val="0"/>
          <w:sz w:val="32"/>
          <w:szCs w:val="32"/>
          <w:highlight w:val="none"/>
          <w:lang w:val="en-US" w:eastAsia="zh-CN"/>
        </w:rPr>
        <w:t>0.02</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z w:val="32"/>
          <w:szCs w:val="32"/>
          <w:highlight w:val="none"/>
        </w:rPr>
        <w:t>由于以上事项，财政拨款收入</w:t>
      </w:r>
      <w:r>
        <w:rPr>
          <w:rFonts w:hint="eastAsia" w:ascii="仿宋_GB2312" w:eastAsia="仿宋_GB2312"/>
          <w:color w:val="auto"/>
          <w:sz w:val="32"/>
          <w:szCs w:val="32"/>
          <w:highlight w:val="none"/>
          <w:lang w:val="en-US" w:eastAsia="zh-CN"/>
        </w:rPr>
        <w:t>支出</w:t>
      </w:r>
      <w:r>
        <w:rPr>
          <w:rFonts w:hint="eastAsia" w:ascii="仿宋_GB2312" w:eastAsia="仿宋_GB2312"/>
          <w:color w:val="auto"/>
          <w:sz w:val="32"/>
          <w:szCs w:val="32"/>
          <w:highlight w:val="none"/>
        </w:rPr>
        <w:t>决算数与年初预算数存在差异。</w:t>
      </w:r>
    </w:p>
    <w:p w14:paraId="082C30F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20360"/>
      <w:bookmarkStart w:id="17" w:name="_Toc13833"/>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14:paraId="1DC5FD4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14:paraId="1B7DB87D">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eastAsia="仿宋_GB2312"/>
          <w:color w:val="FF0000"/>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2023年度一般公共预算财政拨款支出295.25万元，</w:t>
      </w:r>
      <w:r>
        <w:rPr>
          <w:rFonts w:hint="eastAsia" w:ascii="仿宋_GB2312" w:eastAsia="仿宋_GB2312"/>
          <w:color w:val="auto"/>
          <w:spacing w:val="0"/>
          <w:sz w:val="32"/>
          <w:szCs w:val="32"/>
          <w:highlight w:val="none"/>
          <w:lang w:eastAsia="zh-CN"/>
        </w:rPr>
        <w:t>占本年支出合计的96.13%。</w:t>
      </w:r>
      <w:r>
        <w:rPr>
          <w:rFonts w:hint="eastAsia" w:ascii="仿宋_GB2312" w:eastAsia="仿宋_GB2312"/>
          <w:b/>
          <w:bCs/>
          <w:color w:val="auto"/>
          <w:spacing w:val="0"/>
          <w:sz w:val="32"/>
          <w:szCs w:val="32"/>
          <w:highlight w:val="none"/>
          <w:lang w:eastAsia="zh-CN"/>
        </w:rPr>
        <w:t>与上年相比，</w:t>
      </w:r>
      <w:r>
        <w:rPr>
          <w:rFonts w:hint="eastAsia" w:ascii="仿宋_GB2312" w:eastAsia="仿宋_GB2312"/>
          <w:color w:val="auto"/>
          <w:spacing w:val="0"/>
          <w:sz w:val="32"/>
          <w:szCs w:val="32"/>
          <w:highlight w:val="none"/>
          <w:lang w:eastAsia="zh-CN"/>
        </w:rPr>
        <w:t>增加101.56万元，增长52.43%,主要原因是：</w:t>
      </w:r>
      <w:r>
        <w:rPr>
          <w:rFonts w:hint="eastAsia" w:ascii="仿宋_GB2312" w:eastAsia="仿宋_GB2312"/>
          <w:color w:val="auto"/>
          <w:sz w:val="32"/>
          <w:szCs w:val="32"/>
          <w:highlight w:val="none"/>
        </w:rPr>
        <w:t>一是一般公共预算财政拨款基本支</w:t>
      </w:r>
      <w:r>
        <w:rPr>
          <w:rFonts w:hint="eastAsia" w:ascii="仿宋_GB2312" w:eastAsia="仿宋_GB2312"/>
          <w:color w:val="auto"/>
          <w:sz w:val="32"/>
          <w:szCs w:val="32"/>
          <w:highlight w:val="none"/>
          <w:lang w:val="en-US" w:eastAsia="zh-CN"/>
        </w:rPr>
        <w:t>出</w:t>
      </w:r>
      <w:r>
        <w:rPr>
          <w:rFonts w:hint="eastAsia" w:ascii="仿宋_GB2312" w:eastAsia="仿宋_GB2312"/>
          <w:color w:val="auto"/>
          <w:sz w:val="32"/>
          <w:szCs w:val="32"/>
          <w:highlight w:val="none"/>
        </w:rPr>
        <w:t>增加</w:t>
      </w:r>
      <w:r>
        <w:rPr>
          <w:rFonts w:hint="eastAsia" w:ascii="仿宋_GB2312" w:eastAsia="仿宋_GB2312"/>
          <w:color w:val="auto"/>
          <w:sz w:val="32"/>
          <w:szCs w:val="32"/>
          <w:highlight w:val="none"/>
          <w:lang w:val="en-US" w:eastAsia="zh-CN"/>
        </w:rPr>
        <w:t>1.58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val="en-US" w:eastAsia="zh-CN"/>
        </w:rPr>
        <w:t>主要为</w:t>
      </w:r>
      <w:r>
        <w:rPr>
          <w:rFonts w:hint="eastAsia" w:ascii="仿宋_GB2312" w:eastAsia="仿宋_GB2312"/>
          <w:color w:val="auto"/>
          <w:sz w:val="32"/>
          <w:szCs w:val="32"/>
          <w:highlight w:val="none"/>
        </w:rPr>
        <w:t>社会保险费</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住房公积金缴</w:t>
      </w:r>
      <w:r>
        <w:rPr>
          <w:rFonts w:hint="eastAsia" w:ascii="仿宋_GB2312" w:eastAsia="仿宋_GB2312"/>
          <w:color w:val="auto"/>
          <w:sz w:val="32"/>
          <w:szCs w:val="32"/>
        </w:rPr>
        <w:t>费基数上调，预算收入相应增加；二是一般公共预算财政拨款</w:t>
      </w:r>
      <w:r>
        <w:rPr>
          <w:rFonts w:hint="eastAsia" w:ascii="仿宋_GB2312" w:hAnsi="仿宋_GB2312" w:eastAsia="仿宋_GB2312" w:cs="仿宋_GB2312"/>
          <w:color w:val="auto"/>
          <w:spacing w:val="4"/>
          <w:sz w:val="32"/>
          <w:szCs w:val="32"/>
          <w:lang w:val="en-US" w:eastAsia="zh-CN"/>
        </w:rPr>
        <w:t>项目支出</w:t>
      </w:r>
      <w:r>
        <w:rPr>
          <w:rFonts w:hint="eastAsia" w:ascii="仿宋_GB2312" w:eastAsia="仿宋_GB2312"/>
          <w:color w:val="auto"/>
          <w:sz w:val="32"/>
          <w:szCs w:val="32"/>
        </w:rPr>
        <w:t>较上年</w:t>
      </w:r>
      <w:r>
        <w:rPr>
          <w:rFonts w:hint="eastAsia" w:ascii="仿宋_GB2312" w:eastAsia="仿宋_GB2312"/>
          <w:color w:val="auto"/>
          <w:sz w:val="32"/>
          <w:szCs w:val="32"/>
          <w:lang w:val="en-US" w:eastAsia="zh-CN"/>
        </w:rPr>
        <w:t>增加99.98</w:t>
      </w:r>
      <w:r>
        <w:rPr>
          <w:rFonts w:hint="eastAsia" w:ascii="仿宋_GB2312" w:eastAsia="仿宋_GB2312"/>
          <w:color w:val="auto"/>
          <w:sz w:val="32"/>
          <w:szCs w:val="32"/>
        </w:rPr>
        <w:t>万元，主要</w:t>
      </w:r>
      <w:r>
        <w:rPr>
          <w:rFonts w:hint="eastAsia" w:ascii="仿宋_GB2312" w:eastAsia="仿宋_GB2312"/>
          <w:color w:val="auto"/>
          <w:sz w:val="32"/>
          <w:szCs w:val="32"/>
          <w:lang w:val="en-US" w:eastAsia="zh-CN"/>
        </w:rPr>
        <w:t>为</w:t>
      </w:r>
      <w:r>
        <w:rPr>
          <w:rFonts w:hint="eastAsia" w:ascii="仿宋_GB2312" w:eastAsia="仿宋_GB2312"/>
          <w:color w:val="auto"/>
          <w:sz w:val="32"/>
          <w:szCs w:val="32"/>
        </w:rPr>
        <w:t>中央无线电管理经费项目</w:t>
      </w:r>
      <w:r>
        <w:rPr>
          <w:rFonts w:hint="eastAsia" w:ascii="仿宋_GB2312" w:eastAsia="仿宋_GB2312"/>
          <w:color w:val="auto"/>
          <w:sz w:val="32"/>
          <w:szCs w:val="32"/>
          <w:lang w:val="en-US" w:eastAsia="zh-CN"/>
        </w:rPr>
        <w:t>较上年</w:t>
      </w:r>
      <w:r>
        <w:rPr>
          <w:rFonts w:hint="eastAsia" w:ascii="仿宋_GB2312" w:eastAsia="仿宋_GB2312"/>
          <w:color w:val="auto"/>
          <w:sz w:val="32"/>
          <w:szCs w:val="32"/>
        </w:rPr>
        <w:t>增加</w:t>
      </w:r>
      <w:r>
        <w:rPr>
          <w:rFonts w:hint="eastAsia" w:ascii="仿宋_GB2312" w:eastAsia="仿宋_GB2312"/>
          <w:sz w:val="32"/>
          <w:szCs w:val="32"/>
        </w:rPr>
        <w:t>。</w:t>
      </w:r>
      <w:r>
        <w:rPr>
          <w:rFonts w:hint="eastAsia" w:ascii="FangSong_GB2312" w:eastAsia="FangSong_GB2312"/>
          <w:b/>
          <w:bCs/>
          <w:color w:val="auto"/>
          <w:sz w:val="32"/>
          <w:szCs w:val="32"/>
          <w:highlight w:val="none"/>
        </w:rPr>
        <w:t>与年初预算相比,</w:t>
      </w:r>
      <w:r>
        <w:rPr>
          <w:rFonts w:hint="eastAsia" w:ascii="FangSong_GB2312" w:eastAsia="FangSong_GB2312"/>
          <w:color w:val="auto"/>
          <w:sz w:val="32"/>
          <w:szCs w:val="32"/>
          <w:highlight w:val="none"/>
        </w:rPr>
        <w:t>年初预算数</w:t>
      </w:r>
      <w:r>
        <w:rPr>
          <w:rFonts w:hint="eastAsia" w:ascii="FangSong_GB2312" w:eastAsia="FangSong_GB2312"/>
          <w:color w:val="auto"/>
          <w:sz w:val="32"/>
          <w:szCs w:val="32"/>
          <w:highlight w:val="none"/>
          <w:lang w:val="zh-CN"/>
        </w:rPr>
        <w:t>283.81</w:t>
      </w:r>
      <w:r>
        <w:rPr>
          <w:rFonts w:hint="eastAsia" w:ascii="FangSong_GB2312" w:eastAsia="FangSong_GB2312"/>
          <w:color w:val="auto"/>
          <w:sz w:val="32"/>
          <w:szCs w:val="32"/>
          <w:highlight w:val="none"/>
        </w:rPr>
        <w:t>万元，决算数</w:t>
      </w:r>
      <w:r>
        <w:rPr>
          <w:rFonts w:hint="eastAsia" w:ascii="FangSong_GB2312" w:eastAsia="FangSong_GB2312"/>
          <w:color w:val="auto"/>
          <w:sz w:val="32"/>
          <w:szCs w:val="32"/>
          <w:highlight w:val="none"/>
          <w:lang w:val="zh-CN"/>
        </w:rPr>
        <w:t>295.25</w:t>
      </w:r>
      <w:r>
        <w:rPr>
          <w:rFonts w:hint="eastAsia" w:ascii="FangSong_GB2312" w:eastAsia="FangSong_GB2312"/>
          <w:color w:val="auto"/>
          <w:sz w:val="32"/>
          <w:szCs w:val="32"/>
          <w:highlight w:val="none"/>
        </w:rPr>
        <w:t>万元，预决算差异率</w:t>
      </w:r>
      <w:r>
        <w:rPr>
          <w:rFonts w:hint="eastAsia" w:ascii="FangSong_GB2312" w:eastAsia="FangSong_GB2312"/>
          <w:color w:val="auto"/>
          <w:sz w:val="32"/>
          <w:szCs w:val="32"/>
          <w:highlight w:val="none"/>
          <w:lang w:val="zh-CN"/>
        </w:rPr>
        <w:t>4.03%</w:t>
      </w:r>
      <w:r>
        <w:rPr>
          <w:rFonts w:hint="eastAsia" w:ascii="FangSong_GB2312" w:eastAsia="FangSong_GB2312"/>
          <w:color w:val="auto"/>
          <w:sz w:val="32"/>
          <w:szCs w:val="32"/>
          <w:highlight w:val="none"/>
        </w:rPr>
        <w:t>，主要原因是：</w:t>
      </w:r>
      <w:r>
        <w:rPr>
          <w:rFonts w:hint="eastAsia" w:ascii="仿宋_GB2312" w:eastAsia="仿宋_GB2312"/>
          <w:color w:val="auto"/>
          <w:sz w:val="32"/>
          <w:szCs w:val="32"/>
          <w:highlight w:val="none"/>
        </w:rPr>
        <w:t>在年度执行中，根据自治区财政厅下达文件追加及调减预算：①基本支出中，追加自治区人员类项目经费12.47万元；调减自治区人员类项目经费1.01万元；②项目支出中，调减2023年中央无线电管理经费</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.02万元。</w:t>
      </w:r>
    </w:p>
    <w:p w14:paraId="53C539C9">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14:paraId="111143B2">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12.</w:t>
      </w:r>
      <w:r>
        <w:rPr>
          <w:rFonts w:hint="eastAsia" w:ascii="仿宋_GB2312" w:eastAsia="仿宋_GB2312" w:cs="Times New Roman"/>
          <w:color w:val="auto"/>
          <w:spacing w:val="0"/>
          <w:kern w:val="2"/>
          <w:sz w:val="32"/>
          <w:szCs w:val="32"/>
          <w:highlight w:val="none"/>
          <w:lang w:val="en-US" w:eastAsia="zh-CN" w:bidi="ar-SA"/>
        </w:rPr>
        <w:t>15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eastAsia="仿宋_GB2312" w:cs="Times New Roman"/>
          <w:color w:val="auto"/>
          <w:spacing w:val="0"/>
          <w:kern w:val="2"/>
          <w:sz w:val="32"/>
          <w:szCs w:val="32"/>
          <w:highlight w:val="none"/>
          <w:lang w:val="en-US" w:eastAsia="zh-CN" w:bidi="ar-SA"/>
        </w:rPr>
        <w:t>4.11</w:t>
      </w:r>
      <w:r>
        <w:rPr>
          <w:rFonts w:hint="default" w:ascii="仿宋_GB2312" w:hAnsi="Times New Roman" w:eastAsia="仿宋_GB2312" w:cs="Times New Roman"/>
          <w:color w:val="auto"/>
          <w:spacing w:val="0"/>
          <w:kern w:val="2"/>
          <w:sz w:val="32"/>
          <w:szCs w:val="32"/>
          <w:highlight w:val="none"/>
          <w:lang w:val="zh-CN" w:eastAsia="zh-CN" w:bidi="ar-SA"/>
        </w:rPr>
        <w:t>%；</w:t>
      </w:r>
    </w:p>
    <w:p w14:paraId="6330BDE6">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eastAsia="仿宋_GB2312" w:cs="Times New Roman"/>
          <w:color w:val="auto"/>
          <w:spacing w:val="0"/>
          <w:kern w:val="2"/>
          <w:sz w:val="32"/>
          <w:szCs w:val="32"/>
          <w:highlight w:val="none"/>
          <w:lang w:val="en-US" w:eastAsia="zh-CN" w:bidi="ar-SA"/>
        </w:rPr>
        <w:t>9.17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w:t>
      </w:r>
      <w:r>
        <w:rPr>
          <w:rFonts w:hint="eastAsia" w:ascii="仿宋_GB2312" w:eastAsia="仿宋_GB2312" w:cs="Times New Roman"/>
          <w:color w:val="auto"/>
          <w:spacing w:val="0"/>
          <w:kern w:val="2"/>
          <w:sz w:val="32"/>
          <w:szCs w:val="32"/>
          <w:highlight w:val="none"/>
          <w:lang w:val="en-US" w:eastAsia="zh-CN" w:bidi="ar-SA"/>
        </w:rPr>
        <w:t>11</w:t>
      </w:r>
      <w:r>
        <w:rPr>
          <w:rFonts w:hint="default" w:ascii="仿宋_GB2312" w:hAnsi="Times New Roman" w:eastAsia="仿宋_GB2312" w:cs="Times New Roman"/>
          <w:color w:val="auto"/>
          <w:spacing w:val="0"/>
          <w:kern w:val="2"/>
          <w:sz w:val="32"/>
          <w:szCs w:val="32"/>
          <w:highlight w:val="none"/>
          <w:lang w:val="zh-CN" w:eastAsia="zh-CN" w:bidi="ar-SA"/>
        </w:rPr>
        <w:t>%；</w:t>
      </w:r>
    </w:p>
    <w:p w14:paraId="5E702333">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.资源勘探信息等支出（类）</w:t>
      </w:r>
      <w:r>
        <w:rPr>
          <w:rFonts w:hint="eastAsia" w:ascii="仿宋_GB2312" w:hAnsi="Times New Roman" w:eastAsia="仿宋_GB2312" w:cs="Times New Roman"/>
          <w:color w:val="auto"/>
          <w:spacing w:val="0"/>
          <w:kern w:val="2"/>
          <w:sz w:val="32"/>
          <w:szCs w:val="32"/>
          <w:highlight w:val="none"/>
          <w:lang w:val="zh-CN" w:eastAsia="zh-CN" w:bidi="ar-SA"/>
        </w:rPr>
        <w:t>2</w:t>
      </w:r>
      <w:r>
        <w:rPr>
          <w:rFonts w:hint="eastAsia" w:ascii="仿宋_GB2312" w:eastAsia="仿宋_GB2312" w:cs="Times New Roman"/>
          <w:color w:val="auto"/>
          <w:spacing w:val="0"/>
          <w:kern w:val="2"/>
          <w:sz w:val="32"/>
          <w:szCs w:val="32"/>
          <w:highlight w:val="none"/>
          <w:lang w:val="en-US" w:eastAsia="zh-CN" w:bidi="ar-SA"/>
        </w:rPr>
        <w:t>64.82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w:t>
      </w:r>
      <w:r>
        <w:rPr>
          <w:rFonts w:hint="eastAsia" w:ascii="仿宋_GB2312" w:eastAsia="仿宋_GB2312" w:cs="Times New Roman"/>
          <w:color w:val="auto"/>
          <w:spacing w:val="0"/>
          <w:kern w:val="2"/>
          <w:sz w:val="32"/>
          <w:szCs w:val="32"/>
          <w:highlight w:val="none"/>
          <w:lang w:val="en-US" w:eastAsia="zh-CN" w:bidi="ar-SA"/>
        </w:rPr>
        <w:t>9.69</w:t>
      </w:r>
      <w:r>
        <w:rPr>
          <w:rFonts w:hint="default" w:ascii="仿宋_GB2312" w:hAnsi="Times New Roman" w:eastAsia="仿宋_GB2312" w:cs="Times New Roman"/>
          <w:color w:val="auto"/>
          <w:spacing w:val="0"/>
          <w:kern w:val="2"/>
          <w:sz w:val="32"/>
          <w:szCs w:val="32"/>
          <w:highlight w:val="none"/>
          <w:lang w:val="zh-CN" w:eastAsia="zh-CN" w:bidi="ar-SA"/>
        </w:rPr>
        <w:t>%；</w:t>
      </w:r>
    </w:p>
    <w:p w14:paraId="6C819891">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eastAsia="仿宋_GB2312" w:cs="Times New Roman"/>
          <w:color w:val="auto"/>
          <w:spacing w:val="0"/>
          <w:kern w:val="2"/>
          <w:sz w:val="32"/>
          <w:szCs w:val="32"/>
          <w:highlight w:val="none"/>
          <w:lang w:val="en-US" w:eastAsia="zh-CN" w:bidi="ar-SA"/>
        </w:rPr>
        <w:t>9.11</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w:t>
      </w:r>
      <w:r>
        <w:rPr>
          <w:rFonts w:hint="eastAsia" w:ascii="仿宋_GB2312" w:eastAsia="仿宋_GB2312" w:cs="Times New Roman"/>
          <w:color w:val="auto"/>
          <w:spacing w:val="0"/>
          <w:kern w:val="2"/>
          <w:sz w:val="32"/>
          <w:szCs w:val="32"/>
          <w:highlight w:val="none"/>
          <w:lang w:val="en-US" w:eastAsia="zh-CN" w:bidi="ar-SA"/>
        </w:rPr>
        <w:t>09</w:t>
      </w:r>
      <w:r>
        <w:rPr>
          <w:rFonts w:hint="default" w:ascii="仿宋_GB2312" w:hAnsi="Times New Roman" w:eastAsia="仿宋_GB2312" w:cs="Times New Roman"/>
          <w:color w:val="auto"/>
          <w:spacing w:val="0"/>
          <w:kern w:val="2"/>
          <w:sz w:val="32"/>
          <w:szCs w:val="32"/>
          <w:highlight w:val="none"/>
          <w:lang w:val="zh-CN" w:eastAsia="zh-CN" w:bidi="ar-SA"/>
        </w:rPr>
        <w:t>%；</w:t>
      </w:r>
    </w:p>
    <w:p w14:paraId="563BB6E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14:paraId="2154A1D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z w:val="32"/>
          <w:szCs w:val="32"/>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1.卫生健康支出（类）行政事业单位医疗（款）事业单位医疗（项）:支出决算数为6.14万元，比上年决算增加1.04万元，增长20.3</w:t>
      </w: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%，主要原因是：事业单位医疗</w:t>
      </w:r>
      <w:r>
        <w:rPr>
          <w:rFonts w:hint="eastAsia" w:ascii="仿宋_GB2312" w:eastAsia="仿宋_GB2312"/>
          <w:color w:val="auto"/>
          <w:sz w:val="32"/>
          <w:szCs w:val="32"/>
          <w:lang w:val="en-US" w:eastAsia="zh-CN"/>
        </w:rPr>
        <w:t>缴费基数上调</w:t>
      </w:r>
      <w:r>
        <w:rPr>
          <w:rFonts w:hint="eastAsia" w:ascii="仿宋_GB2312" w:eastAsia="仿宋_GB2312"/>
          <w:color w:val="auto"/>
          <w:sz w:val="32"/>
          <w:szCs w:val="32"/>
        </w:rPr>
        <w:t>，相应人员费用</w:t>
      </w:r>
      <w:r>
        <w:rPr>
          <w:rFonts w:hint="eastAsia" w:ascii="仿宋_GB2312" w:eastAsia="仿宋_GB2312"/>
          <w:color w:val="auto"/>
          <w:sz w:val="32"/>
          <w:szCs w:val="32"/>
          <w:lang w:val="en-US" w:eastAsia="zh-CN"/>
        </w:rPr>
        <w:t>增加</w:t>
      </w:r>
      <w:r>
        <w:rPr>
          <w:rFonts w:hint="eastAsia" w:ascii="仿宋_GB2312" w:eastAsia="仿宋_GB2312"/>
          <w:color w:val="auto"/>
          <w:sz w:val="32"/>
          <w:szCs w:val="32"/>
        </w:rPr>
        <w:t>，所以事业单位医疗支出</w:t>
      </w:r>
      <w:r>
        <w:rPr>
          <w:rFonts w:hint="eastAsia" w:ascii="仿宋_GB2312" w:eastAsia="仿宋_GB2312"/>
          <w:color w:val="auto"/>
          <w:sz w:val="32"/>
          <w:szCs w:val="32"/>
          <w:lang w:val="en-US" w:eastAsia="zh-CN"/>
        </w:rPr>
        <w:t>增加</w:t>
      </w:r>
      <w:r>
        <w:rPr>
          <w:rFonts w:hint="eastAsia" w:ascii="仿宋_GB2312" w:eastAsia="仿宋_GB2312"/>
          <w:color w:val="auto"/>
          <w:sz w:val="32"/>
          <w:szCs w:val="32"/>
        </w:rPr>
        <w:t>。</w:t>
      </w:r>
    </w:p>
    <w:p w14:paraId="648CFC6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z w:val="32"/>
          <w:szCs w:val="32"/>
          <w:lang w:eastAsia="zh-CN"/>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2.卫生健康支出（类）行政事业单位医疗（款）公务员医疗补助（项）:支出决算数为3.03万元，比上年决算减少0.94万元，下降23.</w:t>
      </w:r>
      <w:r>
        <w:rPr>
          <w:rFonts w:hint="eastAsia" w:eastAsia="仿宋_GB2312" w:cs="Times New Roman"/>
          <w:color w:val="auto"/>
          <w:kern w:val="2"/>
          <w:sz w:val="32"/>
          <w:szCs w:val="32"/>
          <w:highlight w:val="none"/>
          <w:lang w:val="en-US" w:eastAsia="zh-CN" w:bidi="ar-SA"/>
        </w:rPr>
        <w:t>68</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因2022年预算编制不够精准，使用事业单位</w:t>
      </w:r>
      <w:r>
        <w:rPr>
          <w:rFonts w:hint="eastAsia" w:ascii="Times New Roman" w:hAnsi="Times New Roman" w:eastAsia="仿宋_GB2312" w:cs="Times New Roman"/>
          <w:color w:val="auto"/>
          <w:kern w:val="2"/>
          <w:sz w:val="32"/>
          <w:szCs w:val="32"/>
          <w:highlight w:val="none"/>
          <w:lang w:val="en-US" w:eastAsia="zh-CN" w:bidi="ar-SA"/>
        </w:rPr>
        <w:t>公务员医疗补助</w:t>
      </w:r>
      <w:r>
        <w:rPr>
          <w:rFonts w:hint="eastAsia" w:eastAsia="仿宋_GB2312" w:cs="Times New Roman"/>
          <w:color w:val="auto"/>
          <w:kern w:val="2"/>
          <w:sz w:val="32"/>
          <w:szCs w:val="32"/>
          <w:highlight w:val="none"/>
          <w:lang w:val="en-US" w:eastAsia="zh-CN" w:bidi="ar-SA"/>
        </w:rPr>
        <w:t>预算支付了其他社会保险，造成2023年</w:t>
      </w:r>
      <w:r>
        <w:rPr>
          <w:rFonts w:hint="eastAsia" w:ascii="仿宋_GB2312" w:eastAsia="仿宋_GB2312"/>
          <w:color w:val="auto"/>
          <w:sz w:val="32"/>
          <w:szCs w:val="32"/>
          <w:lang w:eastAsia="zh-CN"/>
        </w:rPr>
        <w:t>事业单位</w:t>
      </w:r>
      <w:r>
        <w:rPr>
          <w:rFonts w:hint="eastAsia" w:ascii="仿宋_GB2312" w:eastAsia="仿宋_GB2312"/>
          <w:color w:val="auto"/>
          <w:sz w:val="32"/>
          <w:szCs w:val="32"/>
          <w:lang w:val="en-US" w:eastAsia="zh-CN"/>
        </w:rPr>
        <w:t>公务员</w:t>
      </w:r>
      <w:r>
        <w:rPr>
          <w:rFonts w:hint="eastAsia" w:ascii="仿宋_GB2312" w:eastAsia="仿宋_GB2312"/>
          <w:color w:val="auto"/>
          <w:sz w:val="32"/>
          <w:szCs w:val="32"/>
          <w:lang w:eastAsia="zh-CN"/>
        </w:rPr>
        <w:t>医疗</w:t>
      </w:r>
      <w:r>
        <w:rPr>
          <w:rFonts w:hint="eastAsia" w:ascii="仿宋_GB2312" w:eastAsia="仿宋_GB2312"/>
          <w:color w:val="auto"/>
          <w:sz w:val="32"/>
          <w:szCs w:val="32"/>
          <w:lang w:val="en-US" w:eastAsia="zh-CN"/>
        </w:rPr>
        <w:t>补助</w:t>
      </w:r>
      <w:bookmarkStart w:id="48" w:name="_GoBack"/>
      <w:bookmarkEnd w:id="48"/>
      <w:r>
        <w:rPr>
          <w:rFonts w:hint="eastAsia" w:ascii="仿宋_GB2312" w:eastAsia="仿宋_GB2312"/>
          <w:color w:val="auto"/>
          <w:sz w:val="32"/>
          <w:szCs w:val="32"/>
          <w:lang w:eastAsia="zh-CN"/>
        </w:rPr>
        <w:t>支出</w:t>
      </w:r>
      <w:r>
        <w:rPr>
          <w:rFonts w:hint="eastAsia" w:ascii="仿宋_GB2312" w:eastAsia="仿宋_GB2312"/>
          <w:color w:val="auto"/>
          <w:sz w:val="32"/>
          <w:szCs w:val="32"/>
          <w:lang w:val="en-US" w:eastAsia="zh-CN"/>
        </w:rPr>
        <w:t>减少</w:t>
      </w:r>
      <w:r>
        <w:rPr>
          <w:rFonts w:hint="eastAsia" w:ascii="仿宋_GB2312" w:eastAsia="仿宋_GB2312"/>
          <w:color w:val="auto"/>
          <w:sz w:val="32"/>
          <w:szCs w:val="32"/>
          <w:lang w:eastAsia="zh-CN"/>
        </w:rPr>
        <w:t>。</w:t>
      </w:r>
    </w:p>
    <w:p w14:paraId="63065DBA">
      <w:pPr>
        <w:keepNext w:val="0"/>
        <w:keepLines w:val="0"/>
        <w:pageBreakBefore w:val="0"/>
        <w:widowControl w:val="0"/>
        <w:kinsoku/>
        <w:wordWrap/>
        <w:overflowPunct/>
        <w:topLinePunct w:val="0"/>
        <w:autoSpaceDE/>
        <w:autoSpaceDN/>
        <w:bidi w:val="0"/>
        <w:adjustRightInd/>
        <w:snapToGrid/>
        <w:spacing w:line="600" w:lineRule="exact"/>
        <w:ind w:firstLine="320" w:firstLineChars="100"/>
        <w:jc w:val="both"/>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仿宋_GB2312" w:eastAsia="仿宋_GB2312"/>
          <w:color w:val="auto"/>
          <w:sz w:val="32"/>
          <w:szCs w:val="32"/>
          <w:lang w:val="en-US" w:eastAsia="zh-CN"/>
        </w:rPr>
        <w:t xml:space="preserve"> </w:t>
      </w:r>
      <w:r>
        <w:rPr>
          <w:rFonts w:hint="eastAsia" w:ascii="Times New Roman" w:hAnsi="Times New Roman" w:eastAsia="仿宋_GB2312" w:cs="Times New Roman"/>
          <w:color w:val="auto"/>
          <w:kern w:val="2"/>
          <w:sz w:val="32"/>
          <w:szCs w:val="32"/>
          <w:highlight w:val="none"/>
          <w:lang w:val="en-US" w:eastAsia="zh-CN" w:bidi="ar-SA"/>
        </w:rPr>
        <w:t>3.资源勘探工业信息等支出（类）工业和信息产业监管（款）无线电及信息通信监管（项）:支出决算数为264.82万元，比上年决算增加101.36万元，增长62.01%，主要原因是：</w:t>
      </w:r>
      <w:r>
        <w:rPr>
          <w:rFonts w:hint="eastAsia" w:ascii="仿宋_GB2312" w:hAnsi="仿宋_GB2312" w:eastAsia="仿宋_GB2312" w:cs="仿宋_GB2312"/>
          <w:kern w:val="0"/>
          <w:sz w:val="32"/>
          <w:szCs w:val="32"/>
          <w:highlight w:val="none"/>
        </w:rPr>
        <w:t>本年单位新增无线电基础设施构建项目支出，相应全年支出增加。</w:t>
      </w:r>
    </w:p>
    <w:p w14:paraId="0FC50AE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z w:val="32"/>
          <w:szCs w:val="32"/>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w:t>
      </w:r>
      <w:r>
        <w:rPr>
          <w:rFonts w:hint="eastAsia" w:eastAsia="FangSong_GB2312"/>
          <w:sz w:val="32"/>
          <w:szCs w:val="32"/>
        </w:rPr>
        <w:t>支出决算数为9.11万元，比上年决算增加2.02万元，增长28.</w:t>
      </w:r>
      <w:r>
        <w:rPr>
          <w:rFonts w:hint="eastAsia" w:eastAsia="FangSong_GB2312"/>
          <w:sz w:val="32"/>
          <w:szCs w:val="32"/>
          <w:lang w:val="en-US" w:eastAsia="zh-CN"/>
        </w:rPr>
        <w:t>49</w:t>
      </w:r>
      <w:r>
        <w:rPr>
          <w:rFonts w:hint="eastAsia" w:eastAsia="FangSong_GB2312"/>
          <w:sz w:val="32"/>
          <w:szCs w:val="32"/>
        </w:rPr>
        <w:t>%</w:t>
      </w:r>
      <w:r>
        <w:rPr>
          <w:rFonts w:hint="eastAsia" w:ascii="Times New Roman" w:hAnsi="Times New Roman" w:eastAsia="仿宋_GB2312" w:cs="Times New Roman"/>
          <w:color w:val="auto"/>
          <w:kern w:val="2"/>
          <w:sz w:val="32"/>
          <w:szCs w:val="32"/>
          <w:highlight w:val="none"/>
          <w:lang w:val="en-US" w:eastAsia="zh-CN" w:bidi="ar-SA"/>
        </w:rPr>
        <w:t>，主要原因是：事业单位住房公积金</w:t>
      </w:r>
      <w:r>
        <w:rPr>
          <w:rFonts w:hint="eastAsia" w:ascii="仿宋_GB2312" w:eastAsia="仿宋_GB2312"/>
          <w:color w:val="auto"/>
          <w:sz w:val="32"/>
          <w:szCs w:val="32"/>
          <w:lang w:val="en-US" w:eastAsia="zh-CN"/>
        </w:rPr>
        <w:t>缴费基数上调</w:t>
      </w:r>
      <w:r>
        <w:rPr>
          <w:rFonts w:hint="eastAsia" w:ascii="仿宋_GB2312" w:eastAsia="仿宋_GB2312"/>
          <w:color w:val="auto"/>
          <w:sz w:val="32"/>
          <w:szCs w:val="32"/>
        </w:rPr>
        <w:t>，相应人员费用</w:t>
      </w:r>
      <w:r>
        <w:rPr>
          <w:rFonts w:hint="eastAsia" w:ascii="仿宋_GB2312" w:eastAsia="仿宋_GB2312"/>
          <w:color w:val="auto"/>
          <w:sz w:val="32"/>
          <w:szCs w:val="32"/>
          <w:lang w:val="en-US" w:eastAsia="zh-CN"/>
        </w:rPr>
        <w:t>增加</w:t>
      </w:r>
      <w:r>
        <w:rPr>
          <w:rFonts w:hint="eastAsia" w:ascii="仿宋_GB2312" w:eastAsia="仿宋_GB2312"/>
          <w:color w:val="auto"/>
          <w:sz w:val="32"/>
          <w:szCs w:val="32"/>
        </w:rPr>
        <w:t>，所以事业单位</w:t>
      </w:r>
      <w:r>
        <w:rPr>
          <w:rFonts w:hint="eastAsia" w:ascii="Times New Roman" w:hAnsi="Times New Roman" w:eastAsia="仿宋_GB2312" w:cs="Times New Roman"/>
          <w:color w:val="auto"/>
          <w:kern w:val="2"/>
          <w:sz w:val="32"/>
          <w:szCs w:val="32"/>
          <w:highlight w:val="none"/>
          <w:lang w:val="en-US" w:eastAsia="zh-CN" w:bidi="ar-SA"/>
        </w:rPr>
        <w:t>住房公积金</w:t>
      </w:r>
      <w:r>
        <w:rPr>
          <w:rFonts w:hint="eastAsia" w:ascii="仿宋_GB2312" w:eastAsia="仿宋_GB2312"/>
          <w:color w:val="auto"/>
          <w:sz w:val="32"/>
          <w:szCs w:val="32"/>
        </w:rPr>
        <w:t>支出</w:t>
      </w:r>
      <w:r>
        <w:rPr>
          <w:rFonts w:hint="eastAsia" w:ascii="仿宋_GB2312" w:eastAsia="仿宋_GB2312"/>
          <w:color w:val="auto"/>
          <w:sz w:val="32"/>
          <w:szCs w:val="32"/>
          <w:lang w:val="en-US" w:eastAsia="zh-CN"/>
        </w:rPr>
        <w:t>增加</w:t>
      </w:r>
      <w:r>
        <w:rPr>
          <w:rFonts w:hint="eastAsia" w:ascii="仿宋_GB2312" w:eastAsia="仿宋_GB2312"/>
          <w:color w:val="auto"/>
          <w:sz w:val="32"/>
          <w:szCs w:val="32"/>
        </w:rPr>
        <w:t>。</w:t>
      </w:r>
    </w:p>
    <w:p w14:paraId="102DB5A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z w:val="32"/>
          <w:szCs w:val="32"/>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5.社会保障和就业支出（类）行政事业单位养老支出（款）机关事业单位基本养老保险缴费支出（项）:支出决算数为</w:t>
      </w:r>
      <w:r>
        <w:rPr>
          <w:rFonts w:hint="eastAsia" w:eastAsia="FangSong_GB2312"/>
          <w:sz w:val="32"/>
          <w:szCs w:val="32"/>
        </w:rPr>
        <w:t>12.15万元，比上年决算增加2.69万元，增长28.4</w:t>
      </w:r>
      <w:r>
        <w:rPr>
          <w:rFonts w:hint="eastAsia" w:eastAsia="FangSong_GB2312"/>
          <w:sz w:val="32"/>
          <w:szCs w:val="32"/>
          <w:lang w:val="en-US" w:eastAsia="zh-CN"/>
        </w:rPr>
        <w:t>4</w:t>
      </w:r>
      <w:r>
        <w:rPr>
          <w:rFonts w:hint="eastAsia" w:eastAsia="FangSong_GB2312"/>
          <w:sz w:val="32"/>
          <w:szCs w:val="32"/>
        </w:rPr>
        <w:t>%</w:t>
      </w:r>
      <w:r>
        <w:rPr>
          <w:rFonts w:hint="eastAsia" w:ascii="Times New Roman" w:hAnsi="Times New Roman" w:eastAsia="仿宋_GB2312" w:cs="Times New Roman"/>
          <w:color w:val="auto"/>
          <w:kern w:val="2"/>
          <w:sz w:val="32"/>
          <w:szCs w:val="32"/>
          <w:highlight w:val="none"/>
          <w:lang w:val="en-US" w:eastAsia="zh-CN" w:bidi="ar-SA"/>
        </w:rPr>
        <w:t>，主要原因是：事业单位基本养老保险缴</w:t>
      </w:r>
      <w:r>
        <w:rPr>
          <w:rFonts w:hint="eastAsia" w:eastAsia="仿宋_GB2312" w:cs="Times New Roman"/>
          <w:color w:val="auto"/>
          <w:kern w:val="2"/>
          <w:sz w:val="32"/>
          <w:szCs w:val="32"/>
          <w:highlight w:val="none"/>
          <w:lang w:val="en-US" w:eastAsia="zh-CN" w:bidi="ar-SA"/>
        </w:rPr>
        <w:t>费</w:t>
      </w:r>
      <w:r>
        <w:rPr>
          <w:rFonts w:hint="eastAsia" w:ascii="仿宋_GB2312" w:eastAsia="仿宋_GB2312"/>
          <w:color w:val="auto"/>
          <w:sz w:val="32"/>
          <w:szCs w:val="32"/>
          <w:lang w:val="en-US" w:eastAsia="zh-CN"/>
        </w:rPr>
        <w:t>基数上调</w:t>
      </w:r>
      <w:r>
        <w:rPr>
          <w:rFonts w:hint="eastAsia" w:ascii="仿宋_GB2312" w:eastAsia="仿宋_GB2312"/>
          <w:color w:val="auto"/>
          <w:sz w:val="32"/>
          <w:szCs w:val="32"/>
        </w:rPr>
        <w:t>，相应人员费用</w:t>
      </w:r>
      <w:r>
        <w:rPr>
          <w:rFonts w:hint="eastAsia" w:ascii="仿宋_GB2312" w:eastAsia="仿宋_GB2312"/>
          <w:color w:val="auto"/>
          <w:sz w:val="32"/>
          <w:szCs w:val="32"/>
          <w:lang w:val="en-US" w:eastAsia="zh-CN"/>
        </w:rPr>
        <w:t>增加</w:t>
      </w:r>
      <w:r>
        <w:rPr>
          <w:rFonts w:hint="eastAsia" w:ascii="仿宋_GB2312" w:eastAsia="仿宋_GB2312"/>
          <w:color w:val="auto"/>
          <w:sz w:val="32"/>
          <w:szCs w:val="32"/>
        </w:rPr>
        <w:t>，所以事业单位</w:t>
      </w:r>
      <w:r>
        <w:rPr>
          <w:rFonts w:hint="eastAsia" w:ascii="Times New Roman" w:hAnsi="Times New Roman" w:eastAsia="仿宋_GB2312" w:cs="Times New Roman"/>
          <w:color w:val="auto"/>
          <w:kern w:val="2"/>
          <w:sz w:val="32"/>
          <w:szCs w:val="32"/>
          <w:highlight w:val="none"/>
          <w:lang w:val="en-US" w:eastAsia="zh-CN" w:bidi="ar-SA"/>
        </w:rPr>
        <w:t>基本养老保险缴</w:t>
      </w:r>
      <w:r>
        <w:rPr>
          <w:rFonts w:hint="eastAsia" w:eastAsia="仿宋_GB2312" w:cs="Times New Roman"/>
          <w:color w:val="auto"/>
          <w:kern w:val="2"/>
          <w:sz w:val="32"/>
          <w:szCs w:val="32"/>
          <w:highlight w:val="none"/>
          <w:lang w:val="en-US" w:eastAsia="zh-CN" w:bidi="ar-SA"/>
        </w:rPr>
        <w:t>费</w:t>
      </w:r>
      <w:r>
        <w:rPr>
          <w:rFonts w:hint="eastAsia" w:ascii="仿宋_GB2312" w:eastAsia="仿宋_GB2312"/>
          <w:color w:val="auto"/>
          <w:sz w:val="32"/>
          <w:szCs w:val="32"/>
        </w:rPr>
        <w:t>支出</w:t>
      </w:r>
      <w:r>
        <w:rPr>
          <w:rFonts w:hint="eastAsia" w:ascii="仿宋_GB2312" w:eastAsia="仿宋_GB2312"/>
          <w:color w:val="auto"/>
          <w:sz w:val="32"/>
          <w:szCs w:val="32"/>
          <w:lang w:val="en-US" w:eastAsia="zh-CN"/>
        </w:rPr>
        <w:t>增加</w:t>
      </w:r>
      <w:r>
        <w:rPr>
          <w:rFonts w:hint="eastAsia" w:ascii="仿宋_GB2312" w:eastAsia="仿宋_GB2312"/>
          <w:color w:val="auto"/>
          <w:sz w:val="32"/>
          <w:szCs w:val="32"/>
        </w:rPr>
        <w:t>。</w:t>
      </w:r>
    </w:p>
    <w:p w14:paraId="315796A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6.社会保障和就业支出（类）行政事业单位养老支出（款）机关事业单位职业年金缴费支出（项）:支出决算数为0.00万元，比上年决算减少4.61万元，下降100%，主要原因是：本年未安排机关事业单位职业年金缴费支出预算。</w:t>
      </w:r>
    </w:p>
    <w:p w14:paraId="3A7A0D5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14:paraId="0575B8E7">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2023年度一般公共预算财政拨款基本支出141.87万元，其中：</w:t>
      </w:r>
      <w:r>
        <w:rPr>
          <w:rFonts w:hint="eastAsia" w:ascii="仿宋_GB2312" w:eastAsia="仿宋_GB2312"/>
          <w:b/>
          <w:bCs/>
          <w:color w:val="auto"/>
          <w:spacing w:val="0"/>
          <w:sz w:val="32"/>
          <w:szCs w:val="32"/>
          <w:highlight w:val="none"/>
          <w:lang w:eastAsia="zh-CN"/>
        </w:rPr>
        <w:t>人员经费119.73万元，</w:t>
      </w:r>
      <w:r>
        <w:rPr>
          <w:rFonts w:hint="eastAsia" w:ascii="仿宋_GB2312" w:eastAsia="仿宋_GB2312"/>
          <w:color w:val="auto"/>
          <w:spacing w:val="0"/>
          <w:sz w:val="32"/>
          <w:szCs w:val="32"/>
          <w:highlight w:val="none"/>
          <w:lang w:eastAsia="zh-CN"/>
        </w:rPr>
        <w:t>包括：基本工资、津贴补贴、奖金、绩效工资、机关事业单位基本养老保险缴费、职工基本医疗保险缴费、公务员医疗补助缴费、其他社会保障缴费、住房公积金。</w:t>
      </w:r>
    </w:p>
    <w:p w14:paraId="7619368F">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b/>
          <w:bCs/>
          <w:color w:val="auto"/>
          <w:spacing w:val="0"/>
          <w:sz w:val="32"/>
          <w:szCs w:val="32"/>
          <w:highlight w:val="none"/>
          <w:lang w:eastAsia="zh-CN"/>
        </w:rPr>
        <w:t>公用经费22.14万元，</w:t>
      </w:r>
      <w:r>
        <w:rPr>
          <w:rFonts w:hint="eastAsia" w:ascii="仿宋_GB2312" w:eastAsia="仿宋_GB2312"/>
          <w:color w:val="auto"/>
          <w:spacing w:val="0"/>
          <w:sz w:val="32"/>
          <w:szCs w:val="32"/>
          <w:highlight w:val="none"/>
          <w:lang w:eastAsia="zh-CN"/>
        </w:rPr>
        <w:t>包括：办公费、邮电费、取暖费、差旅费、培训费、工会经费、福利费、公务用车运行维护费</w:t>
      </w:r>
      <w:r>
        <w:rPr>
          <w:rFonts w:hint="eastAsia" w:ascii="仿宋_GB2312" w:eastAsia="仿宋_GB2312"/>
          <w:color w:val="auto"/>
          <w:sz w:val="32"/>
          <w:szCs w:val="32"/>
          <w:highlight w:val="none"/>
          <w:lang w:val="en-US" w:eastAsia="zh-CN"/>
        </w:rPr>
        <w:t>。</w:t>
      </w:r>
    </w:p>
    <w:p w14:paraId="628EAEA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14:paraId="6A171736">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2023年度</w:t>
      </w:r>
      <w:r>
        <w:rPr>
          <w:rFonts w:hint="eastAsia" w:ascii="仿宋_GB2312" w:eastAsia="仿宋_GB2312"/>
          <w:b/>
          <w:bCs/>
          <w:color w:val="auto"/>
          <w:sz w:val="32"/>
          <w:szCs w:val="32"/>
          <w:highlight w:val="none"/>
          <w:lang w:val="en-US" w:eastAsia="zh-CN"/>
        </w:rPr>
        <w:t>财政拨款</w:t>
      </w:r>
      <w:r>
        <w:rPr>
          <w:rFonts w:hint="eastAsia" w:ascii="仿宋_GB2312" w:eastAsia="仿宋_GB2312"/>
          <w:b/>
          <w:bCs/>
          <w:color w:val="auto"/>
          <w:sz w:val="32"/>
          <w:szCs w:val="32"/>
          <w:highlight w:val="none"/>
          <w:lang w:val="zh-CN" w:eastAsia="zh-CN"/>
        </w:rPr>
        <w:t>“三公”经费支出12.01万元，</w:t>
      </w:r>
      <w:r>
        <w:rPr>
          <w:rFonts w:hint="eastAsia" w:ascii="仿宋_GB2312" w:eastAsia="仿宋_GB2312"/>
          <w:color w:val="auto"/>
          <w:sz w:val="32"/>
          <w:szCs w:val="32"/>
          <w:highlight w:val="none"/>
          <w:lang w:val="zh-CN" w:eastAsia="zh-CN"/>
        </w:rPr>
        <w:t>比上年减少0.</w:t>
      </w:r>
      <w:r>
        <w:rPr>
          <w:rFonts w:hint="eastAsia" w:ascii="仿宋_GB2312" w:eastAsia="仿宋_GB2312"/>
          <w:color w:val="auto"/>
          <w:sz w:val="32"/>
          <w:szCs w:val="32"/>
          <w:highlight w:val="none"/>
          <w:lang w:val="en-US" w:eastAsia="zh-CN"/>
        </w:rPr>
        <w:t>09</w:t>
      </w:r>
      <w:r>
        <w:rPr>
          <w:rFonts w:hint="eastAsia" w:ascii="仿宋_GB2312" w:eastAsia="仿宋_GB2312"/>
          <w:color w:val="auto"/>
          <w:sz w:val="32"/>
          <w:szCs w:val="32"/>
          <w:highlight w:val="none"/>
          <w:lang w:val="zh-CN" w:eastAsia="zh-CN"/>
        </w:rPr>
        <w:t>万元，下降0.</w:t>
      </w:r>
      <w:r>
        <w:rPr>
          <w:rFonts w:hint="eastAsia" w:ascii="仿宋_GB2312" w:eastAsia="仿宋_GB2312"/>
          <w:color w:val="auto"/>
          <w:sz w:val="32"/>
          <w:szCs w:val="32"/>
          <w:highlight w:val="none"/>
          <w:lang w:val="en-US" w:eastAsia="zh-CN"/>
        </w:rPr>
        <w:t>74</w:t>
      </w:r>
      <w:r>
        <w:rPr>
          <w:rFonts w:hint="eastAsia" w:ascii="仿宋_GB2312" w:eastAsia="仿宋_GB2312"/>
          <w:color w:val="auto"/>
          <w:sz w:val="32"/>
          <w:szCs w:val="32"/>
          <w:highlight w:val="none"/>
          <w:lang w:val="zh-CN" w:eastAsia="zh-CN"/>
        </w:rPr>
        <w:t>%</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严格执行中央八项规定及相关细则，做到“三公”经费只减不增，无预算不支出</w:t>
      </w:r>
      <w:r>
        <w:rPr>
          <w:rFonts w:hint="eastAsia" w:ascii="仿宋_GB2312" w:eastAsia="仿宋_GB2312"/>
          <w:sz w:val="32"/>
          <w:szCs w:val="32"/>
        </w:rPr>
        <w:t>。</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w:t>
      </w:r>
      <w:r>
        <w:rPr>
          <w:rFonts w:hint="eastAsia" w:ascii="FangSong_GB2312" w:eastAsia="FangSong_GB2312"/>
          <w:sz w:val="32"/>
          <w:szCs w:val="32"/>
          <w:lang w:val="zh-CN"/>
        </w:rPr>
        <w:t>12.01万元，占100.00%，比上年减少0.</w:t>
      </w:r>
      <w:r>
        <w:rPr>
          <w:rFonts w:hint="eastAsia" w:ascii="FangSong_GB2312" w:eastAsia="FangSong_GB2312"/>
          <w:sz w:val="32"/>
          <w:szCs w:val="32"/>
          <w:lang w:val="en-US" w:eastAsia="zh-CN"/>
        </w:rPr>
        <w:t>09</w:t>
      </w:r>
      <w:r>
        <w:rPr>
          <w:rFonts w:hint="eastAsia" w:ascii="FangSong_GB2312" w:eastAsia="FangSong_GB2312"/>
          <w:sz w:val="32"/>
          <w:szCs w:val="32"/>
          <w:lang w:val="zh-CN"/>
        </w:rPr>
        <w:t>万元，</w:t>
      </w:r>
      <w:r>
        <w:rPr>
          <w:rFonts w:hint="eastAsia" w:ascii="FangSong_GB2312" w:eastAsia="FangSong_GB2312"/>
          <w:sz w:val="32"/>
          <w:szCs w:val="32"/>
        </w:rPr>
        <w:t>下降0.</w:t>
      </w:r>
      <w:r>
        <w:rPr>
          <w:rFonts w:hint="eastAsia" w:ascii="FangSong_GB2312" w:eastAsia="FangSong_GB2312"/>
          <w:sz w:val="32"/>
          <w:szCs w:val="32"/>
          <w:lang w:val="en-US" w:eastAsia="zh-CN"/>
        </w:rPr>
        <w:t>74</w:t>
      </w:r>
      <w:r>
        <w:rPr>
          <w:rFonts w:hint="eastAsia" w:ascii="FangSong_GB2312" w:eastAsia="FangSong_GB2312"/>
          <w:sz w:val="32"/>
          <w:szCs w:val="32"/>
        </w:rPr>
        <w:t>%</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rPr>
        <w:t>单位严格执行公务用车管理制度，严控公务用车购置及运行维护费事项支出，倡导绿色出行；</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14:paraId="1B347D5A">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b/>
          <w:bCs/>
          <w:color w:val="auto"/>
          <w:sz w:val="32"/>
          <w:szCs w:val="32"/>
          <w:highlight w:val="none"/>
          <w:lang w:val="zh-CN" w:eastAsia="zh-CN"/>
        </w:rPr>
      </w:pPr>
      <w:r>
        <w:rPr>
          <w:rFonts w:hint="eastAsia" w:ascii="仿宋_GB2312" w:eastAsia="仿宋_GB2312"/>
          <w:b/>
          <w:bCs/>
          <w:color w:val="auto"/>
          <w:sz w:val="32"/>
          <w:szCs w:val="32"/>
          <w:highlight w:val="none"/>
          <w:lang w:val="zh-CN" w:eastAsia="zh-CN"/>
        </w:rPr>
        <w:t>具体情况如下：</w:t>
      </w:r>
    </w:p>
    <w:p w14:paraId="3BCC4D08">
      <w:pPr>
        <w:ind w:firstLine="640" w:firstLineChars="200"/>
        <w:rPr>
          <w:rFonts w:ascii="仿宋_GB2312" w:eastAsia="仿宋_GB2312"/>
          <w:sz w:val="32"/>
          <w:szCs w:val="32"/>
        </w:rPr>
      </w:pPr>
      <w:r>
        <w:rPr>
          <w:rFonts w:hint="eastAsia" w:ascii="仿宋_GB2312" w:eastAsia="仿宋_GB2312"/>
          <w:color w:val="auto"/>
          <w:sz w:val="32"/>
          <w:szCs w:val="32"/>
          <w:highlight w:val="none"/>
          <w:lang w:val="zh-CN" w:eastAsia="zh-CN"/>
        </w:rPr>
        <w:t>因公出国（境）费支出0.00万元，</w:t>
      </w:r>
      <w:r>
        <w:rPr>
          <w:rFonts w:hint="eastAsia" w:ascii="仿宋_GB2312" w:eastAsia="仿宋_GB2312"/>
          <w:sz w:val="32"/>
          <w:szCs w:val="32"/>
        </w:rPr>
        <w:t>开支内容包括我单位无因公出国（境）费。单位全年安排的因公出国（境）团组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14:paraId="69CCDCDC">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w:t>
      </w:r>
      <w:r>
        <w:rPr>
          <w:rFonts w:hint="eastAsia" w:ascii="FangSong_GB2312" w:eastAsia="FangSong_GB2312"/>
          <w:sz w:val="32"/>
          <w:szCs w:val="32"/>
          <w:lang w:val="zh-CN"/>
        </w:rPr>
        <w:t>12.01</w:t>
      </w:r>
      <w:r>
        <w:rPr>
          <w:rFonts w:hint="eastAsia" w:ascii="仿宋_GB2312" w:eastAsia="仿宋_GB2312"/>
          <w:color w:val="auto"/>
          <w:sz w:val="32"/>
          <w:szCs w:val="32"/>
          <w:highlight w:val="none"/>
          <w:lang w:val="zh-CN" w:eastAsia="zh-CN"/>
        </w:rPr>
        <w:t>万元，其中：公务用车购置费0.00万元，公务用车运行维护费</w:t>
      </w:r>
      <w:r>
        <w:rPr>
          <w:rFonts w:hint="eastAsia" w:ascii="FangSong_GB2312" w:eastAsia="FangSong_GB2312"/>
          <w:sz w:val="32"/>
          <w:szCs w:val="32"/>
          <w:lang w:val="zh-CN"/>
        </w:rPr>
        <w:t>12.01</w:t>
      </w:r>
      <w:r>
        <w:rPr>
          <w:rFonts w:hint="eastAsia" w:ascii="仿宋_GB2312" w:eastAsia="仿宋_GB2312"/>
          <w:color w:val="auto"/>
          <w:sz w:val="32"/>
          <w:szCs w:val="32"/>
          <w:highlight w:val="none"/>
          <w:lang w:val="zh-CN" w:eastAsia="zh-CN"/>
        </w:rPr>
        <w:t>万元。</w:t>
      </w:r>
      <w:r>
        <w:rPr>
          <w:rFonts w:hint="eastAsia" w:ascii="仿宋_GB2312" w:eastAsia="仿宋_GB2312"/>
          <w:sz w:val="32"/>
          <w:szCs w:val="32"/>
        </w:rPr>
        <w:t>公务用车运行维护费开支内容包括车辆保险、停车过路费、车辆加油、车辆维修等费用</w:t>
      </w:r>
      <w:r>
        <w:rPr>
          <w:rFonts w:hint="eastAsia" w:ascii="仿宋_GB2312" w:eastAsia="仿宋_GB2312"/>
          <w:color w:val="auto"/>
          <w:sz w:val="32"/>
          <w:szCs w:val="32"/>
          <w:highlight w:val="none"/>
          <w:lang w:val="zh-CN" w:eastAsia="zh-CN"/>
        </w:rPr>
        <w:t>。公务用车购置数0辆，公务用车保有量</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lang w:val="zh-CN" w:eastAsia="zh-CN"/>
        </w:rPr>
        <w:t>辆。国有资产占用情况</w:t>
      </w:r>
      <w:r>
        <w:rPr>
          <w:rFonts w:hint="eastAsia" w:ascii="仿宋_GB2312" w:eastAsia="仿宋_GB2312"/>
          <w:color w:val="auto"/>
          <w:sz w:val="32"/>
          <w:szCs w:val="32"/>
          <w:highlight w:val="none"/>
          <w:lang w:val="en-US" w:eastAsia="zh-CN"/>
        </w:rPr>
        <w:t>中固定资产车辆4</w:t>
      </w:r>
      <w:r>
        <w:rPr>
          <w:rFonts w:hint="eastAsia" w:ascii="仿宋_GB2312" w:eastAsia="仿宋_GB2312"/>
          <w:color w:val="auto"/>
          <w:sz w:val="32"/>
          <w:szCs w:val="32"/>
          <w:highlight w:val="none"/>
          <w:lang w:val="zh-CN" w:eastAsia="zh-CN"/>
        </w:rPr>
        <w:t>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保有量无差异</w:t>
      </w:r>
      <w:r>
        <w:rPr>
          <w:rFonts w:hint="eastAsia" w:ascii="仿宋_GB2312" w:eastAsia="仿宋_GB2312"/>
          <w:color w:val="auto"/>
          <w:sz w:val="32"/>
          <w:szCs w:val="32"/>
          <w:highlight w:val="none"/>
          <w:lang w:val="zh-CN" w:eastAsia="zh-CN"/>
        </w:rPr>
        <w:t>。</w:t>
      </w:r>
    </w:p>
    <w:p w14:paraId="4B0610F7">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ascii="仿宋_GB2312" w:eastAsia="仿宋_GB2312"/>
          <w:sz w:val="32"/>
          <w:szCs w:val="32"/>
        </w:rPr>
        <w:t>我单位无公务接待</w:t>
      </w:r>
      <w:r>
        <w:rPr>
          <w:rFonts w:hint="eastAsia" w:ascii="仿宋_GB2312" w:eastAsia="仿宋_GB2312"/>
          <w:sz w:val="32"/>
          <w:szCs w:val="32"/>
          <w:lang w:val="en-US" w:eastAsia="zh-CN"/>
        </w:rPr>
        <w:t>费</w:t>
      </w:r>
      <w:r>
        <w:rPr>
          <w:rFonts w:hint="eastAsia" w:ascii="仿宋_GB2312" w:eastAsia="仿宋_GB2312"/>
          <w:sz w:val="32"/>
          <w:szCs w:val="32"/>
        </w:rPr>
        <w:t>预算和事项</w:t>
      </w:r>
      <w:r>
        <w:rPr>
          <w:rFonts w:hint="eastAsia" w:ascii="仿宋_GB2312" w:eastAsia="仿宋_GB2312"/>
          <w:color w:val="auto"/>
          <w:sz w:val="32"/>
          <w:szCs w:val="32"/>
          <w:highlight w:val="none"/>
          <w:lang w:val="zh-CN" w:eastAsia="zh-CN"/>
        </w:rPr>
        <w:t>。单位全年安排的国内公务接待0批次，0人次。</w:t>
      </w:r>
    </w:p>
    <w:p w14:paraId="23B21FE8">
      <w:pPr>
        <w:keepNext w:val="0"/>
        <w:keepLines w:val="0"/>
        <w:pageBreakBefore w:val="0"/>
        <w:widowControl w:val="0"/>
        <w:kinsoku/>
        <w:wordWrap/>
        <w:overflowPunct/>
        <w:topLinePunct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b/>
          <w:bCs/>
          <w:color w:val="auto"/>
          <w:sz w:val="32"/>
          <w:szCs w:val="32"/>
          <w:highlight w:val="none"/>
          <w:lang w:val="zh-CN" w:eastAsia="zh-CN"/>
        </w:rPr>
        <w:t>与</w:t>
      </w:r>
      <w:r>
        <w:rPr>
          <w:rFonts w:hint="eastAsia" w:ascii="仿宋_GB2312" w:eastAsia="仿宋_GB2312"/>
          <w:b/>
          <w:bCs/>
          <w:color w:val="auto"/>
          <w:sz w:val="32"/>
          <w:szCs w:val="32"/>
          <w:highlight w:val="none"/>
          <w:lang w:val="en-US" w:eastAsia="zh-CN"/>
        </w:rPr>
        <w:t>全年</w:t>
      </w:r>
      <w:r>
        <w:rPr>
          <w:rFonts w:hint="eastAsia" w:ascii="仿宋_GB2312" w:eastAsia="仿宋_GB2312"/>
          <w:b/>
          <w:bCs/>
          <w:color w:val="auto"/>
          <w:sz w:val="32"/>
          <w:szCs w:val="32"/>
          <w:highlight w:val="none"/>
          <w:lang w:val="zh-CN" w:eastAsia="zh-CN"/>
        </w:rPr>
        <w:t>预算相比</w:t>
      </w:r>
      <w:r>
        <w:rPr>
          <w:rFonts w:hint="eastAsia" w:ascii="仿宋_GB2312" w:eastAsia="仿宋_GB2312"/>
          <w:b/>
          <w:bCs/>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仿宋_GB2312" w:eastAsia="仿宋_GB2312"/>
          <w:color w:val="auto"/>
          <w:sz w:val="32"/>
          <w:szCs w:val="32"/>
          <w:highlight w:val="none"/>
          <w:lang w:val="en-US" w:eastAsia="zh-CN"/>
        </w:rPr>
        <w:t>12.10</w:t>
      </w:r>
      <w:r>
        <w:rPr>
          <w:rFonts w:hint="eastAsia" w:ascii="仿宋_GB2312" w:eastAsia="仿宋_GB2312"/>
          <w:color w:val="auto"/>
          <w:sz w:val="32"/>
          <w:szCs w:val="32"/>
          <w:highlight w:val="none"/>
          <w:lang w:val="zh-CN" w:eastAsia="zh-CN"/>
        </w:rPr>
        <w:t>万元，决算数</w:t>
      </w:r>
      <w:r>
        <w:rPr>
          <w:rFonts w:hint="eastAsia" w:ascii="仿宋_GB2312" w:eastAsia="仿宋_GB2312"/>
          <w:color w:val="auto"/>
          <w:sz w:val="32"/>
          <w:szCs w:val="32"/>
          <w:highlight w:val="none"/>
          <w:lang w:val="en-US" w:eastAsia="zh-CN"/>
        </w:rPr>
        <w:t>12.01</w:t>
      </w:r>
      <w:r>
        <w:rPr>
          <w:rFonts w:hint="eastAsia" w:ascii="仿宋_GB2312" w:eastAsia="仿宋_GB2312"/>
          <w:color w:val="auto"/>
          <w:sz w:val="32"/>
          <w:szCs w:val="32"/>
          <w:highlight w:val="none"/>
          <w:lang w:val="zh-CN" w:eastAsia="zh-CN"/>
        </w:rPr>
        <w:t>万元，预决算差异率</w:t>
      </w:r>
      <w:r>
        <w:rPr>
          <w:rFonts w:hint="eastAsia" w:ascii="FangSong_GB2312" w:eastAsia="FangSong_GB2312"/>
          <w:sz w:val="32"/>
          <w:szCs w:val="32"/>
          <w:lang w:val="zh-CN"/>
        </w:rPr>
        <w:t>-0.7</w:t>
      </w:r>
      <w:r>
        <w:rPr>
          <w:rFonts w:hint="eastAsia" w:ascii="FangSong_GB2312" w:eastAsia="FangSong_GB2312"/>
          <w:sz w:val="32"/>
          <w:szCs w:val="32"/>
        </w:rPr>
        <w:t>4</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lang w:val="en-US" w:eastAsia="zh-CN"/>
        </w:rPr>
        <w:t>严格执行中央八项规定及相关细则，做到“三公”经费只减不增，无预算不支出</w:t>
      </w:r>
      <w:r>
        <w:rPr>
          <w:rFonts w:hint="eastAsia" w:ascii="仿宋_GB2312" w:eastAsia="仿宋_GB2312"/>
          <w:sz w:val="32"/>
          <w:szCs w:val="32"/>
          <w:highlight w:val="none"/>
        </w:rPr>
        <w:t>。</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color w:val="auto"/>
          <w:sz w:val="32"/>
          <w:szCs w:val="32"/>
          <w:highlight w:val="none"/>
          <w:lang w:val="en-US" w:eastAsia="zh-CN"/>
        </w:rPr>
        <w:t>我单位</w:t>
      </w:r>
      <w:r>
        <w:rPr>
          <w:rFonts w:hint="eastAsia" w:ascii="仿宋_GB2312" w:eastAsia="仿宋_GB2312"/>
          <w:sz w:val="32"/>
          <w:szCs w:val="32"/>
        </w:rPr>
        <w:t>无因公出国（境）费预算和事项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我单位无公务用车购置费预算和事项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w:t>
      </w:r>
      <w:r>
        <w:rPr>
          <w:rFonts w:hint="eastAsia" w:ascii="FangSong_GB2312" w:eastAsia="FangSong_GB2312"/>
          <w:sz w:val="32"/>
          <w:szCs w:val="32"/>
        </w:rPr>
        <w:t>12.10万元，决算数12.01万元，预决算差异率</w:t>
      </w:r>
      <w:r>
        <w:rPr>
          <w:rFonts w:hint="eastAsia" w:ascii="FangSong_GB2312" w:eastAsia="FangSong_GB2312"/>
          <w:sz w:val="32"/>
          <w:szCs w:val="32"/>
          <w:lang w:val="zh-CN"/>
        </w:rPr>
        <w:t>-0.7</w:t>
      </w:r>
      <w:r>
        <w:rPr>
          <w:rFonts w:hint="eastAsia" w:ascii="FangSong_GB2312" w:eastAsia="FangSong_GB2312"/>
          <w:sz w:val="32"/>
          <w:szCs w:val="32"/>
        </w:rPr>
        <w:t>4%</w:t>
      </w:r>
      <w:r>
        <w:rPr>
          <w:rFonts w:hint="eastAsia" w:ascii="仿宋_GB2312" w:eastAsia="仿宋_GB2312"/>
          <w:color w:val="auto"/>
          <w:sz w:val="32"/>
          <w:szCs w:val="32"/>
          <w:highlight w:val="none"/>
          <w:lang w:val="zh-CN" w:eastAsia="zh-CN"/>
        </w:rPr>
        <w:t>，主要原因是：</w:t>
      </w:r>
      <w:r>
        <w:rPr>
          <w:rFonts w:hint="eastAsia" w:ascii="仿宋_GB2312" w:eastAsia="仿宋_GB2312"/>
          <w:sz w:val="32"/>
          <w:szCs w:val="32"/>
          <w:highlight w:val="none"/>
          <w:lang w:val="en-US" w:eastAsia="zh-CN"/>
        </w:rPr>
        <w:t>严格执行中央八项规定及相关细则，做到“三公”经费只减不增，无预算不支出</w:t>
      </w:r>
      <w:r>
        <w:rPr>
          <w:rFonts w:hint="eastAsia" w:ascii="仿宋_GB2312" w:eastAsia="仿宋_GB2312"/>
          <w:sz w:val="32"/>
          <w:szCs w:val="32"/>
          <w:highlight w:val="none"/>
        </w:rPr>
        <w:t>。</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ascii="仿宋_GB2312" w:eastAsia="仿宋_GB2312"/>
          <w:sz w:val="32"/>
          <w:szCs w:val="32"/>
        </w:rPr>
        <w:t>我单位无公务接待</w:t>
      </w:r>
      <w:r>
        <w:rPr>
          <w:rFonts w:hint="eastAsia" w:ascii="仿宋_GB2312" w:eastAsia="仿宋_GB2312"/>
          <w:sz w:val="32"/>
          <w:szCs w:val="32"/>
          <w:lang w:val="en-US" w:eastAsia="zh-CN"/>
        </w:rPr>
        <w:t>费</w:t>
      </w:r>
      <w:r>
        <w:rPr>
          <w:rFonts w:hint="eastAsia" w:ascii="仿宋_GB2312" w:eastAsia="仿宋_GB2312"/>
          <w:sz w:val="32"/>
          <w:szCs w:val="32"/>
        </w:rPr>
        <w:t>预算和事项</w:t>
      </w:r>
      <w:r>
        <w:rPr>
          <w:rFonts w:hint="eastAsia" w:ascii="仿宋_GB2312" w:eastAsia="仿宋_GB2312"/>
          <w:color w:val="auto"/>
          <w:sz w:val="32"/>
          <w:szCs w:val="32"/>
          <w:highlight w:val="none"/>
          <w:lang w:val="zh-CN" w:eastAsia="zh-CN"/>
        </w:rPr>
        <w:t>。</w:t>
      </w:r>
    </w:p>
    <w:p w14:paraId="733DEC3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14:paraId="25EAC8D0">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14:paraId="06D76C33">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14:paraId="4B2FB6F0">
      <w:pPr>
        <w:ind w:firstLine="640" w:firstLineChars="200"/>
        <w:rPr>
          <w:rFonts w:ascii="仿宋_GB2312" w:eastAsia="仿宋_GB2312"/>
          <w:sz w:val="32"/>
          <w:szCs w:val="32"/>
          <w:highlight w:val="none"/>
        </w:rPr>
      </w:pPr>
      <w:bookmarkStart w:id="20" w:name="_Toc7314"/>
      <w:bookmarkStart w:id="21" w:name="_Toc1235"/>
      <w:r>
        <w:rPr>
          <w:rFonts w:hint="eastAsia" w:ascii="仿宋_GB2312" w:eastAsia="仿宋_GB2312"/>
          <w:sz w:val="32"/>
          <w:szCs w:val="32"/>
          <w:highlight w:val="none"/>
        </w:rPr>
        <w:t>我单位本年度无国有资本经营预算财政拨款收入、支出及结转和结余，国有资本经营预算财政拨款收入支出决算表为空表。</w:t>
      </w:r>
    </w:p>
    <w:p w14:paraId="210C562C">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14:paraId="24996B5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14:paraId="6582233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FangSong_GB2312" w:cs="Times New Roman"/>
          <w:sz w:val="32"/>
          <w:szCs w:val="32"/>
          <w:lang w:val="zh-CN" w:eastAsia="zh-CN"/>
        </w:rPr>
        <w:t>2023年度</w:t>
      </w:r>
      <w:r>
        <w:rPr>
          <w:rFonts w:hint="eastAsia" w:ascii="Times New Roman" w:hAnsi="Times New Roman" w:eastAsia="FangSong_GB2312" w:cs="Times New Roman"/>
          <w:sz w:val="32"/>
          <w:szCs w:val="32"/>
          <w:lang w:eastAsia="zh-CN"/>
        </w:rPr>
        <w:t>博尔塔拉蒙古自治州无线电管理局</w:t>
      </w:r>
      <w:r>
        <w:rPr>
          <w:rFonts w:hint="eastAsia" w:ascii="Times New Roman" w:hAnsi="Times New Roman" w:eastAsia="FangSong_GB2312" w:cs="Times New Roman"/>
          <w:sz w:val="32"/>
          <w:szCs w:val="32"/>
          <w:lang w:val="zh-CN" w:eastAsia="zh-CN"/>
        </w:rPr>
        <w:t>（事业单位）公用经费支出22.14万元，比上年增加0.66万元，增长3.0</w:t>
      </w:r>
      <w:r>
        <w:rPr>
          <w:rFonts w:hint="eastAsia" w:ascii="Times New Roman" w:hAnsi="Times New Roman" w:eastAsia="FangSong_GB2312" w:cs="Times New Roman"/>
          <w:sz w:val="32"/>
          <w:szCs w:val="32"/>
          <w:lang w:eastAsia="zh-CN"/>
        </w:rPr>
        <w:t>7</w:t>
      </w:r>
      <w:r>
        <w:rPr>
          <w:rFonts w:hint="eastAsia" w:ascii="Times New Roman" w:hAnsi="Times New Roman" w:eastAsia="FangSong_GB2312" w:cs="Times New Roman"/>
          <w:sz w:val="32"/>
          <w:szCs w:val="32"/>
          <w:lang w:val="zh-CN" w:eastAsia="zh-CN"/>
        </w:rPr>
        <w:t>%，</w:t>
      </w:r>
      <w:r>
        <w:rPr>
          <w:rFonts w:hint="eastAsia" w:ascii="仿宋_GB2312" w:eastAsia="仿宋_GB2312"/>
          <w:sz w:val="32"/>
          <w:szCs w:val="32"/>
          <w:highlight w:val="none"/>
        </w:rPr>
        <w:t>主要原因是</w:t>
      </w:r>
      <w:r>
        <w:rPr>
          <w:rFonts w:hint="eastAsia" w:ascii="仿宋_GB2312" w:eastAsia="仿宋_GB2312"/>
          <w:sz w:val="32"/>
          <w:szCs w:val="32"/>
          <w:highlight w:val="none"/>
          <w:lang w:eastAsia="zh-CN"/>
        </w:rPr>
        <w:t>：</w:t>
      </w:r>
      <w:r>
        <w:rPr>
          <w:rFonts w:hint="eastAsia" w:ascii="仿宋_GB2312" w:eastAsia="仿宋_GB2312"/>
          <w:color w:val="auto"/>
          <w:sz w:val="32"/>
          <w:szCs w:val="32"/>
          <w:highlight w:val="none"/>
          <w:lang w:val="zh-CN" w:eastAsia="zh-CN"/>
        </w:rPr>
        <w:t>公用经费定额拨付金额整体根据人员工资基数上调，公用经费支出相应增加</w:t>
      </w:r>
      <w:r>
        <w:rPr>
          <w:rFonts w:hint="eastAsia" w:ascii="Times New Roman" w:hAnsi="Times New Roman" w:eastAsia="仿宋_GB2312" w:cs="Times New Roman"/>
          <w:color w:val="auto"/>
          <w:sz w:val="32"/>
          <w:szCs w:val="32"/>
          <w:highlight w:val="none"/>
          <w:lang w:val="en-US" w:eastAsia="zh-CN"/>
        </w:rPr>
        <w:t>。</w:t>
      </w:r>
    </w:p>
    <w:p w14:paraId="17CC5A6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14:paraId="562896FB">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bookmarkStart w:id="26" w:name="_Toc4591"/>
      <w:bookmarkStart w:id="27" w:name="_Toc8391"/>
      <w:r>
        <w:rPr>
          <w:rFonts w:hint="eastAsia" w:ascii="Times New Roman" w:hAnsi="Times New Roman" w:eastAsia="仿宋_GB2312" w:cs="Times New Roman"/>
          <w:color w:val="auto"/>
          <w:sz w:val="32"/>
          <w:szCs w:val="32"/>
          <w:highlight w:val="none"/>
          <w:lang w:val="zh-CN" w:eastAsia="zh-CN"/>
        </w:rPr>
        <w:t>2023年度政府采购支出总额120.98万元，其中：政府采购货物支出2.80万元、政府采购工程支出100.64万元、政府采购服务支出17.54万元。</w:t>
      </w:r>
    </w:p>
    <w:p w14:paraId="57DEC86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zh-CN" w:eastAsia="zh-CN"/>
        </w:rPr>
        <w:t>授予中小企业合同金额119.51万元，占政府采购支出总额的98.78%，其中：授予小微企业合同金额14.62万元，占政府采购支出总额的12.08%。</w:t>
      </w:r>
    </w:p>
    <w:p w14:paraId="14BCAB9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14:paraId="4E7234E4">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年12月31日，固定资产原值3,467.10万元，房屋2961.07平方米，价值831.32万元。车辆4辆，价值177.55万元，其中：副部（省）级及以上领导用车0辆、主要负责人用车0辆、机要通信用车0辆、应急保障用车0辆、执法执勤用车1辆、特种专业技术用车3辆、离退休干部服务用车0辆、其他用车0辆，其他用车主要是：我单位无其他用车；单价100万元（含）以上设备（不含车辆）4台（套）</w:t>
      </w:r>
      <w:r>
        <w:rPr>
          <w:rFonts w:hint="eastAsia" w:ascii="Times New Roman" w:hAnsi="Times New Roman" w:eastAsia="仿宋_GB2312" w:cs="Times New Roman"/>
          <w:color w:val="auto"/>
          <w:sz w:val="32"/>
          <w:szCs w:val="32"/>
          <w:highlight w:val="none"/>
          <w:lang w:val="zh-CN" w:eastAsia="zh-CN"/>
        </w:rPr>
        <w:t>。</w:t>
      </w:r>
    </w:p>
    <w:p w14:paraId="749131B1">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14:paraId="7FD299EB">
      <w:pPr>
        <w:ind w:firstLine="640" w:firstLineChars="200"/>
        <w:rPr>
          <w:rFonts w:hint="eastAsia" w:ascii="仿宋_GB2312" w:eastAsia="仿宋_GB2312"/>
          <w:sz w:val="32"/>
          <w:szCs w:val="32"/>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w:t>
      </w:r>
      <w:r>
        <w:rPr>
          <w:rFonts w:hint="eastAsia" w:ascii="FangSong_GB2312" w:eastAsia="FangSong_GB2312"/>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w:t>
      </w:r>
      <w:r>
        <w:rPr>
          <w:rFonts w:hint="eastAsia" w:ascii="FangSong_GB2312" w:eastAsia="FangSong_GB2312"/>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全年预算数11.88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全年执行数11.88</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hint="eastAsia" w:ascii="仿宋_GB2312" w:eastAsia="仿宋_GB2312"/>
          <w:sz w:val="32"/>
          <w:szCs w:val="32"/>
        </w:rPr>
        <w:t>一是严格执行《工信厅全面预算绩效管理办法》，日常对项目资金加快预算执行，确保绩效监控和绩效评价执行率，规范各项预算执行活动,确保预算执行的准确性、及时性和规范性,发挥财政资金的最大效用,取得了良好的绩效成果；二是各项工作实施及资金使用情况均在绩效目标设定时限完成，在项目经费的使用上，在保证各项任务顺利完成的同时，严格落实厉行节约的原则；三是突出做好项目保障工作，确保项目质量和效益，助力经济高质量发展，维护社会稳定和长治久安。发现的问题及原因：预算执行率低，致使项目绩效监控节点时，影响绩效评价总体分值，主要原因：一是根据项目属性，基础设施构建项目执行期较长，相应合同执行期长；二是政府采购项目流程复杂。下一步改进措施：一是完善各项内控制度，建立上下协调、科室联动、层层抓落实的工作责任制，将绩效管理责任分解落实到具体科室、明确到具体责任人，确保每一笔资金花得安全、用得高效；二是加强对专项资金预算绩效监控力度，加强对专项资金预算执行力度的考核，确保项目执行按期完成；三是建立健全绩效管理与预算管理 有机结合的工作机制，落实绩效评价结果成为预算编制的重要参考因素。</w:t>
      </w:r>
      <w:r>
        <w:rPr>
          <w:rFonts w:hint="eastAsia" w:ascii="仿宋_GB2312" w:hAnsi="仿宋_GB2312" w:eastAsia="仿宋_GB2312" w:cs="仿宋_GB2312"/>
          <w:b w:val="0"/>
          <w:bCs w:val="0"/>
          <w:sz w:val="32"/>
          <w:szCs w:val="32"/>
          <w:lang w:val="en-US" w:eastAsia="zh-CN"/>
        </w:rPr>
        <w:t>具体项目自评情况见附件。</w:t>
      </w:r>
    </w:p>
    <w:p w14:paraId="278EDD86">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14:paraId="4FDE9765">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14:paraId="446AEE8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24143"/>
      <w:bookmarkStart w:id="31" w:name="_Toc3250"/>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14:paraId="2B6AC39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14:paraId="244DDEB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14:paraId="2D945E73">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14:paraId="40C03A5E">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14:paraId="467F4F8F">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14:paraId="3FFF71C1">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14:paraId="0FA839BD">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14:paraId="38150022">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CC8868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14:paraId="5D25225C">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14:paraId="45BE2018">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14:paraId="1F8C4A54">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14:paraId="177F7AD7">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14:paraId="6CBD33E4">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14:paraId="1EBD54E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14:paraId="6B122F0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14:paraId="18AE1B9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14:paraId="26B999E9">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14:paraId="2F1874F6">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14:paraId="41DED622">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14:paraId="1B55CF7F">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14:paraId="08F1EA3A">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14:paraId="733039E0">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14:paraId="66E4442D">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14:paraId="33C6A578">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14:paraId="0A8B5AA8">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FangSong_GB2312">
    <w:altName w:val="仿宋_GB2312"/>
    <w:panose1 w:val="02010609060101010101"/>
    <w:charset w:val="86"/>
    <w:family w:val="modern"/>
    <w:pitch w:val="default"/>
    <w:sig w:usb0="00000000" w:usb1="00000000" w:usb2="0000001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D6F1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45D127B">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45D127B">
                    <w:pPr>
                      <w:pStyle w:val="5"/>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4ZTk4ZThiOTlhYTkyOGVkOWQ5NDlhNjIwNjNhNzEifQ=="/>
    <w:docVar w:name="KSO_WPS_MARK_KEY" w:val="41ee2a61-2d54-4f93-83be-afdb9a40d732"/>
  </w:docVars>
  <w:rsids>
    <w:rsidRoot w:val="00000000"/>
    <w:rsid w:val="00213C59"/>
    <w:rsid w:val="003210CE"/>
    <w:rsid w:val="00B70D59"/>
    <w:rsid w:val="00F52A8D"/>
    <w:rsid w:val="019404F8"/>
    <w:rsid w:val="02432434"/>
    <w:rsid w:val="02797C69"/>
    <w:rsid w:val="02BD3108"/>
    <w:rsid w:val="02F73D26"/>
    <w:rsid w:val="034D4FEF"/>
    <w:rsid w:val="035D1785"/>
    <w:rsid w:val="039F47CE"/>
    <w:rsid w:val="03AC504F"/>
    <w:rsid w:val="03E05CE8"/>
    <w:rsid w:val="03F973EE"/>
    <w:rsid w:val="043E5B56"/>
    <w:rsid w:val="046C12B8"/>
    <w:rsid w:val="04C04386"/>
    <w:rsid w:val="04D96608"/>
    <w:rsid w:val="04FA68C4"/>
    <w:rsid w:val="053F5AE6"/>
    <w:rsid w:val="057C0B0F"/>
    <w:rsid w:val="05EF4B48"/>
    <w:rsid w:val="05F76ECA"/>
    <w:rsid w:val="06565D7C"/>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5922DF"/>
    <w:rsid w:val="0A7809B7"/>
    <w:rsid w:val="0A7B4867"/>
    <w:rsid w:val="0A840954"/>
    <w:rsid w:val="0A9928ED"/>
    <w:rsid w:val="0B61769D"/>
    <w:rsid w:val="0B8C3ECC"/>
    <w:rsid w:val="0B9C639D"/>
    <w:rsid w:val="0BB052B2"/>
    <w:rsid w:val="0BCB4B16"/>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0FD803C3"/>
    <w:rsid w:val="105B0B5E"/>
    <w:rsid w:val="112E58D0"/>
    <w:rsid w:val="11731CAC"/>
    <w:rsid w:val="119500A0"/>
    <w:rsid w:val="11C0733B"/>
    <w:rsid w:val="11D50D17"/>
    <w:rsid w:val="120E0809"/>
    <w:rsid w:val="12726AED"/>
    <w:rsid w:val="127F665A"/>
    <w:rsid w:val="12F7068C"/>
    <w:rsid w:val="13363449"/>
    <w:rsid w:val="14207DC0"/>
    <w:rsid w:val="14B932DA"/>
    <w:rsid w:val="150A66AF"/>
    <w:rsid w:val="154C1139"/>
    <w:rsid w:val="158C5B77"/>
    <w:rsid w:val="15F0460C"/>
    <w:rsid w:val="160D1149"/>
    <w:rsid w:val="16227A29"/>
    <w:rsid w:val="163563C0"/>
    <w:rsid w:val="164315EF"/>
    <w:rsid w:val="16557DFE"/>
    <w:rsid w:val="167268FB"/>
    <w:rsid w:val="16770D0A"/>
    <w:rsid w:val="16D50C50"/>
    <w:rsid w:val="16E120E1"/>
    <w:rsid w:val="16FA2753"/>
    <w:rsid w:val="17385A05"/>
    <w:rsid w:val="173B3901"/>
    <w:rsid w:val="176747F9"/>
    <w:rsid w:val="17954A6E"/>
    <w:rsid w:val="180059E9"/>
    <w:rsid w:val="184510FD"/>
    <w:rsid w:val="190648B0"/>
    <w:rsid w:val="19071D6C"/>
    <w:rsid w:val="198A6011"/>
    <w:rsid w:val="19AD1CFF"/>
    <w:rsid w:val="19D26CD4"/>
    <w:rsid w:val="19E60D19"/>
    <w:rsid w:val="1A3E3450"/>
    <w:rsid w:val="1A78055F"/>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4351F6"/>
    <w:rsid w:val="1FA15E62"/>
    <w:rsid w:val="1FED69B6"/>
    <w:rsid w:val="2064678E"/>
    <w:rsid w:val="20DC1AB9"/>
    <w:rsid w:val="20DD6197"/>
    <w:rsid w:val="212631E0"/>
    <w:rsid w:val="21A53757"/>
    <w:rsid w:val="21E17278"/>
    <w:rsid w:val="221236C6"/>
    <w:rsid w:val="229844D0"/>
    <w:rsid w:val="22D7662C"/>
    <w:rsid w:val="22E70030"/>
    <w:rsid w:val="23326B7F"/>
    <w:rsid w:val="23366242"/>
    <w:rsid w:val="237F64BA"/>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85266C"/>
    <w:rsid w:val="29CB58F0"/>
    <w:rsid w:val="2A053397"/>
    <w:rsid w:val="2A145E96"/>
    <w:rsid w:val="2A2131BB"/>
    <w:rsid w:val="2AF5378F"/>
    <w:rsid w:val="2BB94DBF"/>
    <w:rsid w:val="2C0E0D23"/>
    <w:rsid w:val="2C6F314E"/>
    <w:rsid w:val="2CC206BE"/>
    <w:rsid w:val="2D1136DF"/>
    <w:rsid w:val="2D20606D"/>
    <w:rsid w:val="2D2730B5"/>
    <w:rsid w:val="2DB53F43"/>
    <w:rsid w:val="2DB87198"/>
    <w:rsid w:val="2DB93C54"/>
    <w:rsid w:val="2E3D144C"/>
    <w:rsid w:val="2E891204"/>
    <w:rsid w:val="2F3F0A28"/>
    <w:rsid w:val="2FBF7029"/>
    <w:rsid w:val="2FD0187F"/>
    <w:rsid w:val="2FD27414"/>
    <w:rsid w:val="2FFE4BB0"/>
    <w:rsid w:val="300911A7"/>
    <w:rsid w:val="300E7B60"/>
    <w:rsid w:val="300F6E18"/>
    <w:rsid w:val="30862F5F"/>
    <w:rsid w:val="30944F95"/>
    <w:rsid w:val="314029C9"/>
    <w:rsid w:val="31C63837"/>
    <w:rsid w:val="31C82E39"/>
    <w:rsid w:val="32601BAD"/>
    <w:rsid w:val="329F6389"/>
    <w:rsid w:val="32B8436A"/>
    <w:rsid w:val="3389023A"/>
    <w:rsid w:val="33CB74FA"/>
    <w:rsid w:val="343642F2"/>
    <w:rsid w:val="343F3010"/>
    <w:rsid w:val="345D0A00"/>
    <w:rsid w:val="34713BFD"/>
    <w:rsid w:val="34C13589"/>
    <w:rsid w:val="353369E3"/>
    <w:rsid w:val="35675000"/>
    <w:rsid w:val="35E00D72"/>
    <w:rsid w:val="36965B9D"/>
    <w:rsid w:val="36C549FD"/>
    <w:rsid w:val="37A755DD"/>
    <w:rsid w:val="37F94FA0"/>
    <w:rsid w:val="37FE5127"/>
    <w:rsid w:val="380D3381"/>
    <w:rsid w:val="38115B1F"/>
    <w:rsid w:val="382F44FB"/>
    <w:rsid w:val="385E3AC3"/>
    <w:rsid w:val="387D6B9E"/>
    <w:rsid w:val="38B75FF0"/>
    <w:rsid w:val="38D45016"/>
    <w:rsid w:val="38D90432"/>
    <w:rsid w:val="3914510A"/>
    <w:rsid w:val="3926770B"/>
    <w:rsid w:val="398D3668"/>
    <w:rsid w:val="39DA0497"/>
    <w:rsid w:val="3A893816"/>
    <w:rsid w:val="3A893B6D"/>
    <w:rsid w:val="3A8F74D3"/>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5C5B95"/>
    <w:rsid w:val="3FB77A1D"/>
    <w:rsid w:val="3FDC3674"/>
    <w:rsid w:val="3FED7F8A"/>
    <w:rsid w:val="40094AEF"/>
    <w:rsid w:val="401463D4"/>
    <w:rsid w:val="4033445D"/>
    <w:rsid w:val="405470BD"/>
    <w:rsid w:val="40794A29"/>
    <w:rsid w:val="40834692"/>
    <w:rsid w:val="40F017AF"/>
    <w:rsid w:val="41431AD5"/>
    <w:rsid w:val="414B3C0F"/>
    <w:rsid w:val="417C1CE7"/>
    <w:rsid w:val="41900018"/>
    <w:rsid w:val="41944406"/>
    <w:rsid w:val="41CE128F"/>
    <w:rsid w:val="41DA6F12"/>
    <w:rsid w:val="421543C9"/>
    <w:rsid w:val="42171FB1"/>
    <w:rsid w:val="426B7096"/>
    <w:rsid w:val="42DA6870"/>
    <w:rsid w:val="434E6957"/>
    <w:rsid w:val="43BA0E31"/>
    <w:rsid w:val="43C15147"/>
    <w:rsid w:val="43E14DD2"/>
    <w:rsid w:val="43F800E9"/>
    <w:rsid w:val="441C604D"/>
    <w:rsid w:val="443A7E4B"/>
    <w:rsid w:val="452F5B3A"/>
    <w:rsid w:val="454E7FD2"/>
    <w:rsid w:val="46061BDC"/>
    <w:rsid w:val="461404F8"/>
    <w:rsid w:val="46413018"/>
    <w:rsid w:val="464B7E04"/>
    <w:rsid w:val="468041AA"/>
    <w:rsid w:val="468123C6"/>
    <w:rsid w:val="46901EEE"/>
    <w:rsid w:val="469C74D2"/>
    <w:rsid w:val="472953B2"/>
    <w:rsid w:val="47445515"/>
    <w:rsid w:val="474B4782"/>
    <w:rsid w:val="47D90D14"/>
    <w:rsid w:val="48387FB0"/>
    <w:rsid w:val="483A6114"/>
    <w:rsid w:val="488727DB"/>
    <w:rsid w:val="48B82268"/>
    <w:rsid w:val="48C354B3"/>
    <w:rsid w:val="493D58B5"/>
    <w:rsid w:val="494A7A04"/>
    <w:rsid w:val="49DB2677"/>
    <w:rsid w:val="4A0A26D2"/>
    <w:rsid w:val="4A2019A5"/>
    <w:rsid w:val="4A241A0B"/>
    <w:rsid w:val="4A7B2875"/>
    <w:rsid w:val="4A934476"/>
    <w:rsid w:val="4AAA220A"/>
    <w:rsid w:val="4AE12E67"/>
    <w:rsid w:val="4B4C0111"/>
    <w:rsid w:val="4B8553A9"/>
    <w:rsid w:val="4B960E69"/>
    <w:rsid w:val="4BDB3730"/>
    <w:rsid w:val="4C200F7A"/>
    <w:rsid w:val="4CEE3180"/>
    <w:rsid w:val="4D0F4AF6"/>
    <w:rsid w:val="4DC94652"/>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4209A3"/>
    <w:rsid w:val="518D0ED5"/>
    <w:rsid w:val="518E5997"/>
    <w:rsid w:val="525C687F"/>
    <w:rsid w:val="52F647F7"/>
    <w:rsid w:val="52F92565"/>
    <w:rsid w:val="53D03877"/>
    <w:rsid w:val="542F73CA"/>
    <w:rsid w:val="5430786D"/>
    <w:rsid w:val="545A1D2A"/>
    <w:rsid w:val="54AA6F8B"/>
    <w:rsid w:val="54C811C0"/>
    <w:rsid w:val="556A442D"/>
    <w:rsid w:val="55DA564E"/>
    <w:rsid w:val="5604127D"/>
    <w:rsid w:val="56166703"/>
    <w:rsid w:val="56510474"/>
    <w:rsid w:val="56861525"/>
    <w:rsid w:val="56A93273"/>
    <w:rsid w:val="56BD550C"/>
    <w:rsid w:val="56E07045"/>
    <w:rsid w:val="56FF28AF"/>
    <w:rsid w:val="57540E7D"/>
    <w:rsid w:val="577B4878"/>
    <w:rsid w:val="57926973"/>
    <w:rsid w:val="57B53835"/>
    <w:rsid w:val="58175352"/>
    <w:rsid w:val="581F2200"/>
    <w:rsid w:val="583059FA"/>
    <w:rsid w:val="584A0929"/>
    <w:rsid w:val="589C6BEB"/>
    <w:rsid w:val="58CD2491"/>
    <w:rsid w:val="591B41B2"/>
    <w:rsid w:val="59254A26"/>
    <w:rsid w:val="59326325"/>
    <w:rsid w:val="595C505B"/>
    <w:rsid w:val="595E55C3"/>
    <w:rsid w:val="596E7E20"/>
    <w:rsid w:val="59A26483"/>
    <w:rsid w:val="5A60780B"/>
    <w:rsid w:val="5AB34579"/>
    <w:rsid w:val="5AFC6609"/>
    <w:rsid w:val="5B113480"/>
    <w:rsid w:val="5BD456CE"/>
    <w:rsid w:val="5C015A6A"/>
    <w:rsid w:val="5C0D1F49"/>
    <w:rsid w:val="5CBB0CE2"/>
    <w:rsid w:val="5CC17177"/>
    <w:rsid w:val="5CF306BC"/>
    <w:rsid w:val="5D367A14"/>
    <w:rsid w:val="5D3F3D64"/>
    <w:rsid w:val="5D833043"/>
    <w:rsid w:val="5DD92690"/>
    <w:rsid w:val="5DDB1CFD"/>
    <w:rsid w:val="5E216E35"/>
    <w:rsid w:val="5E7E6D93"/>
    <w:rsid w:val="5ED44800"/>
    <w:rsid w:val="5F350BDE"/>
    <w:rsid w:val="5F61632C"/>
    <w:rsid w:val="5FA17648"/>
    <w:rsid w:val="5FE705CB"/>
    <w:rsid w:val="600E2EF2"/>
    <w:rsid w:val="603D5080"/>
    <w:rsid w:val="60D0261B"/>
    <w:rsid w:val="618E3791"/>
    <w:rsid w:val="61947DCA"/>
    <w:rsid w:val="61A46A97"/>
    <w:rsid w:val="61D1382F"/>
    <w:rsid w:val="61F114A2"/>
    <w:rsid w:val="62512BB4"/>
    <w:rsid w:val="625D7D1A"/>
    <w:rsid w:val="62DD7D21"/>
    <w:rsid w:val="637D586B"/>
    <w:rsid w:val="63A5560B"/>
    <w:rsid w:val="63C222F4"/>
    <w:rsid w:val="63D87620"/>
    <w:rsid w:val="63E9091F"/>
    <w:rsid w:val="64322AF9"/>
    <w:rsid w:val="64791DDF"/>
    <w:rsid w:val="64D6010D"/>
    <w:rsid w:val="64D82665"/>
    <w:rsid w:val="64E47C96"/>
    <w:rsid w:val="64F102BF"/>
    <w:rsid w:val="651E5741"/>
    <w:rsid w:val="658A4877"/>
    <w:rsid w:val="65A00902"/>
    <w:rsid w:val="65AC6EDD"/>
    <w:rsid w:val="65D97752"/>
    <w:rsid w:val="66085536"/>
    <w:rsid w:val="66105BF7"/>
    <w:rsid w:val="66150023"/>
    <w:rsid w:val="6628010D"/>
    <w:rsid w:val="669B4528"/>
    <w:rsid w:val="66A55805"/>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064033"/>
    <w:rsid w:val="6D4B2604"/>
    <w:rsid w:val="6D8030E4"/>
    <w:rsid w:val="6D9A3E28"/>
    <w:rsid w:val="6E0E35C4"/>
    <w:rsid w:val="6E0F7A08"/>
    <w:rsid w:val="6E3947F5"/>
    <w:rsid w:val="6E9C74ED"/>
    <w:rsid w:val="6EF72976"/>
    <w:rsid w:val="6F2474E3"/>
    <w:rsid w:val="6F795A80"/>
    <w:rsid w:val="6F7C1D2E"/>
    <w:rsid w:val="6F8E0407"/>
    <w:rsid w:val="6FA56875"/>
    <w:rsid w:val="6FDD069F"/>
    <w:rsid w:val="701E3F32"/>
    <w:rsid w:val="702B4D16"/>
    <w:rsid w:val="70910BA8"/>
    <w:rsid w:val="70AA6621"/>
    <w:rsid w:val="70DC6F6B"/>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4EB30A8"/>
    <w:rsid w:val="751D7C0A"/>
    <w:rsid w:val="756D53EE"/>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852DA0"/>
    <w:rsid w:val="790A6425"/>
    <w:rsid w:val="790E2D96"/>
    <w:rsid w:val="791B54B2"/>
    <w:rsid w:val="795A0A34"/>
    <w:rsid w:val="797339C3"/>
    <w:rsid w:val="79D57D57"/>
    <w:rsid w:val="79F00650"/>
    <w:rsid w:val="7A6242BF"/>
    <w:rsid w:val="7A794513"/>
    <w:rsid w:val="7A796935"/>
    <w:rsid w:val="7AE952D2"/>
    <w:rsid w:val="7C211032"/>
    <w:rsid w:val="7C7248A0"/>
    <w:rsid w:val="7C976D69"/>
    <w:rsid w:val="7CD752DA"/>
    <w:rsid w:val="7CDE40AB"/>
    <w:rsid w:val="7CF057E2"/>
    <w:rsid w:val="7D1548B5"/>
    <w:rsid w:val="7D1A059E"/>
    <w:rsid w:val="7DF84014"/>
    <w:rsid w:val="7E207949"/>
    <w:rsid w:val="7E5C0A47"/>
    <w:rsid w:val="7E670C75"/>
    <w:rsid w:val="7EE24272"/>
    <w:rsid w:val="7EEA6053"/>
    <w:rsid w:val="7EF23159"/>
    <w:rsid w:val="7F487C04"/>
    <w:rsid w:val="7F516AED"/>
    <w:rsid w:val="7F7A79AD"/>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pPr>
      <w:widowControl/>
      <w:spacing w:before="100" w:beforeAutospacing="1" w:after="100" w:afterAutospacing="1"/>
      <w:jc w:val="left"/>
    </w:pPr>
    <w:rPr>
      <w:rFonts w:ascii="宋体" w:hAnsi="宋体" w:cs="宋体"/>
      <w:kern w:val="0"/>
      <w:sz w:val="24"/>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2">
    <w:name w:val="Strong"/>
    <w:basedOn w:val="11"/>
    <w:qFormat/>
    <w:uiPriority w:val="0"/>
    <w:rPr>
      <w:b/>
    </w:rPr>
  </w:style>
  <w:style w:type="paragraph" w:customStyle="1" w:styleId="13">
    <w:name w:val="WPSOffice手动目录 3"/>
    <w:qFormat/>
    <w:uiPriority w:val="0"/>
    <w:pPr>
      <w:ind w:leftChars="400"/>
    </w:pPr>
    <w:rPr>
      <w:rFonts w:ascii="Times New Roman" w:hAnsi="Times New Roman" w:eastAsia="宋体" w:cs="Times New Roman"/>
      <w:sz w:val="20"/>
      <w:szCs w:val="20"/>
    </w:rPr>
  </w:style>
  <w:style w:type="paragraph" w:customStyle="1" w:styleId="14">
    <w:name w:val="WPSOffice手动目录 2"/>
    <w:qFormat/>
    <w:uiPriority w:val="0"/>
    <w:pPr>
      <w:ind w:leftChars="200"/>
    </w:pPr>
    <w:rPr>
      <w:rFonts w:ascii="Times New Roman" w:hAnsi="Times New Roman" w:eastAsia="宋体" w:cs="Times New Roman"/>
      <w:sz w:val="20"/>
      <w:szCs w:val="20"/>
    </w:rPr>
  </w:style>
  <w:style w:type="paragraph" w:customStyle="1" w:styleId="15">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6187</Words>
  <Characters>6848</Characters>
  <Lines>0</Lines>
  <Paragraphs>0</Paragraphs>
  <TotalTime>8</TotalTime>
  <ScaleCrop>false</ScaleCrop>
  <LinksUpToDate>false</LinksUpToDate>
  <CharactersWithSpaces>6873</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岁月无痕</cp:lastModifiedBy>
  <dcterms:modified xsi:type="dcterms:W3CDTF">2024-08-30T14:03:55Z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D624B15633CD43C8BF9435464A96BF70</vt:lpwstr>
  </property>
</Properties>
</file>