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10B5534">
      <w:pPr>
        <w:spacing w:line="540" w:lineRule="exact"/>
        <w:rPr>
          <w:rFonts w:eastAsia="华文中宋"/>
          <w:b/>
          <w:kern w:val="0"/>
          <w:sz w:val="72"/>
          <w:szCs w:val="72"/>
        </w:rPr>
      </w:pPr>
      <w:bookmarkStart w:id="7" w:name="_GoBack"/>
      <w:bookmarkEnd w:id="7"/>
    </w:p>
    <w:p w14:paraId="3366BC83">
      <w:pPr>
        <w:pStyle w:val="2"/>
      </w:pPr>
    </w:p>
    <w:p w14:paraId="7260794C">
      <w:pPr>
        <w:spacing w:line="540" w:lineRule="exact"/>
        <w:jc w:val="center"/>
        <w:rPr>
          <w:rFonts w:eastAsia="华文中宋"/>
          <w:b/>
          <w:kern w:val="0"/>
          <w:sz w:val="52"/>
          <w:szCs w:val="52"/>
        </w:rPr>
      </w:pPr>
    </w:p>
    <w:p w14:paraId="694E550D">
      <w:pPr>
        <w:spacing w:line="540" w:lineRule="exact"/>
        <w:jc w:val="center"/>
        <w:rPr>
          <w:rFonts w:eastAsia="华文中宋"/>
          <w:b/>
          <w:kern w:val="0"/>
          <w:sz w:val="52"/>
          <w:szCs w:val="52"/>
        </w:rPr>
      </w:pPr>
    </w:p>
    <w:p w14:paraId="4A454580">
      <w:pPr>
        <w:spacing w:line="540" w:lineRule="exact"/>
        <w:jc w:val="center"/>
        <w:rPr>
          <w:rFonts w:eastAsia="方正小标宋_GBK"/>
          <w:kern w:val="0"/>
          <w:sz w:val="48"/>
          <w:szCs w:val="48"/>
        </w:rPr>
      </w:pPr>
      <w:r>
        <w:rPr>
          <w:rFonts w:hint="eastAsia" w:eastAsia="方正小标宋_GBK"/>
          <w:kern w:val="0"/>
          <w:sz w:val="48"/>
          <w:szCs w:val="48"/>
        </w:rPr>
        <w:t>自治区中小企业发展专项资金</w:t>
      </w:r>
      <w:r>
        <w:rPr>
          <w:rFonts w:eastAsia="方正小标宋_GBK"/>
          <w:kern w:val="0"/>
          <w:sz w:val="48"/>
          <w:szCs w:val="48"/>
        </w:rPr>
        <w:t>项目</w:t>
      </w:r>
      <w:r>
        <w:rPr>
          <w:rFonts w:hint="eastAsia" w:eastAsia="方正小标宋_GBK"/>
          <w:kern w:val="0"/>
          <w:sz w:val="48"/>
          <w:szCs w:val="48"/>
        </w:rPr>
        <w:t>（自治区本级）</w:t>
      </w:r>
      <w:r>
        <w:rPr>
          <w:rFonts w:eastAsia="方正小标宋_GBK"/>
          <w:kern w:val="0"/>
          <w:sz w:val="48"/>
          <w:szCs w:val="48"/>
        </w:rPr>
        <w:t>支出绩效评价报告</w:t>
      </w:r>
    </w:p>
    <w:p w14:paraId="2D7330EE">
      <w:pPr>
        <w:spacing w:line="540" w:lineRule="exact"/>
        <w:jc w:val="center"/>
        <w:rPr>
          <w:rFonts w:eastAsia="华文中宋"/>
          <w:b/>
          <w:kern w:val="0"/>
          <w:sz w:val="52"/>
          <w:szCs w:val="52"/>
        </w:rPr>
      </w:pPr>
    </w:p>
    <w:p w14:paraId="34445C0D">
      <w:pPr>
        <w:spacing w:line="540" w:lineRule="exact"/>
        <w:jc w:val="center"/>
        <w:rPr>
          <w:rFonts w:eastAsia="仿宋_GB2312"/>
          <w:kern w:val="0"/>
          <w:sz w:val="36"/>
          <w:szCs w:val="36"/>
        </w:rPr>
      </w:pPr>
      <w:r>
        <w:rPr>
          <w:rFonts w:eastAsia="仿宋_GB2312"/>
          <w:kern w:val="0"/>
          <w:sz w:val="36"/>
          <w:szCs w:val="36"/>
        </w:rPr>
        <w:t>（202</w:t>
      </w:r>
      <w:r>
        <w:rPr>
          <w:rFonts w:hint="eastAsia" w:eastAsia="仿宋_GB2312"/>
          <w:kern w:val="0"/>
          <w:sz w:val="36"/>
          <w:szCs w:val="36"/>
          <w:lang w:val="en-US" w:eastAsia="zh-CN"/>
        </w:rPr>
        <w:t>3</w:t>
      </w:r>
      <w:r>
        <w:rPr>
          <w:rFonts w:eastAsia="仿宋_GB2312"/>
          <w:kern w:val="0"/>
          <w:sz w:val="36"/>
          <w:szCs w:val="36"/>
        </w:rPr>
        <w:t>年度）</w:t>
      </w:r>
    </w:p>
    <w:p w14:paraId="0D02C493">
      <w:pPr>
        <w:spacing w:line="540" w:lineRule="exact"/>
        <w:jc w:val="center"/>
        <w:rPr>
          <w:rFonts w:eastAsia="仿宋_GB2312"/>
          <w:kern w:val="0"/>
          <w:sz w:val="30"/>
          <w:szCs w:val="30"/>
        </w:rPr>
      </w:pPr>
    </w:p>
    <w:p w14:paraId="3757B924">
      <w:pPr>
        <w:spacing w:line="540" w:lineRule="exact"/>
        <w:jc w:val="center"/>
        <w:rPr>
          <w:rFonts w:eastAsia="仿宋_GB2312"/>
          <w:kern w:val="0"/>
          <w:sz w:val="30"/>
          <w:szCs w:val="30"/>
        </w:rPr>
      </w:pPr>
    </w:p>
    <w:p w14:paraId="46343749">
      <w:pPr>
        <w:spacing w:line="540" w:lineRule="exact"/>
        <w:jc w:val="center"/>
        <w:rPr>
          <w:rFonts w:eastAsia="仿宋_GB2312"/>
          <w:kern w:val="0"/>
          <w:sz w:val="30"/>
          <w:szCs w:val="30"/>
        </w:rPr>
      </w:pPr>
    </w:p>
    <w:p w14:paraId="4BB77D63">
      <w:pPr>
        <w:spacing w:line="540" w:lineRule="exact"/>
        <w:jc w:val="center"/>
        <w:rPr>
          <w:rFonts w:eastAsia="仿宋_GB2312"/>
          <w:kern w:val="0"/>
          <w:sz w:val="30"/>
          <w:szCs w:val="30"/>
        </w:rPr>
      </w:pPr>
    </w:p>
    <w:p w14:paraId="49C48A2D">
      <w:pPr>
        <w:spacing w:line="540" w:lineRule="exact"/>
        <w:rPr>
          <w:rFonts w:eastAsia="仿宋_GB2312"/>
          <w:kern w:val="0"/>
          <w:sz w:val="30"/>
          <w:szCs w:val="30"/>
        </w:rPr>
      </w:pPr>
    </w:p>
    <w:p w14:paraId="491E7603">
      <w:pPr>
        <w:spacing w:line="700" w:lineRule="exact"/>
        <w:ind w:left="1800" w:hanging="1800" w:hangingChars="500"/>
        <w:jc w:val="left"/>
        <w:rPr>
          <w:rFonts w:hint="eastAsia" w:eastAsia="仿宋_GB2312"/>
          <w:kern w:val="0"/>
          <w:sz w:val="36"/>
          <w:szCs w:val="36"/>
        </w:rPr>
      </w:pPr>
      <w:r>
        <w:rPr>
          <w:rFonts w:eastAsia="仿宋_GB2312"/>
          <w:kern w:val="0"/>
          <w:sz w:val="36"/>
          <w:szCs w:val="36"/>
        </w:rPr>
        <w:t>项目名称：</w:t>
      </w:r>
      <w:r>
        <w:rPr>
          <w:rFonts w:hint="eastAsia" w:eastAsia="仿宋_GB2312"/>
          <w:kern w:val="0"/>
          <w:sz w:val="36"/>
          <w:szCs w:val="36"/>
        </w:rPr>
        <w:t>202</w:t>
      </w:r>
      <w:r>
        <w:rPr>
          <w:rFonts w:hint="eastAsia" w:eastAsia="仿宋_GB2312"/>
          <w:kern w:val="0"/>
          <w:sz w:val="36"/>
          <w:szCs w:val="36"/>
          <w:lang w:val="en-US" w:eastAsia="zh-CN"/>
        </w:rPr>
        <w:t>3</w:t>
      </w:r>
      <w:r>
        <w:rPr>
          <w:rFonts w:hint="eastAsia" w:eastAsia="仿宋_GB2312"/>
          <w:kern w:val="0"/>
          <w:sz w:val="36"/>
          <w:szCs w:val="36"/>
        </w:rPr>
        <w:t>年度自治区中小企业发展专项资金（自治区本级）</w:t>
      </w:r>
    </w:p>
    <w:p w14:paraId="226A770F">
      <w:pPr>
        <w:spacing w:line="700" w:lineRule="exact"/>
        <w:jc w:val="left"/>
        <w:rPr>
          <w:rFonts w:hint="eastAsia" w:eastAsia="仿宋_GB2312"/>
          <w:kern w:val="0"/>
          <w:sz w:val="36"/>
          <w:szCs w:val="36"/>
        </w:rPr>
      </w:pPr>
      <w:r>
        <w:rPr>
          <w:rFonts w:eastAsia="仿宋_GB2312"/>
          <w:kern w:val="0"/>
          <w:sz w:val="36"/>
          <w:szCs w:val="36"/>
        </w:rPr>
        <w:t>实施单位（公章）：</w:t>
      </w:r>
      <w:r>
        <w:rPr>
          <w:rFonts w:hint="eastAsia" w:eastAsia="仿宋_GB2312"/>
          <w:kern w:val="0"/>
          <w:sz w:val="36"/>
          <w:szCs w:val="36"/>
        </w:rPr>
        <w:t>新疆维吾尔自治区工业和信息化厅</w:t>
      </w:r>
      <w:r>
        <w:rPr>
          <w:rFonts w:eastAsia="仿宋_GB2312"/>
          <w:kern w:val="0"/>
          <w:sz w:val="36"/>
          <w:szCs w:val="36"/>
        </w:rPr>
        <w:t>主管部门（公章）：</w:t>
      </w:r>
      <w:r>
        <w:rPr>
          <w:rFonts w:hint="eastAsia" w:eastAsia="仿宋_GB2312"/>
          <w:kern w:val="0"/>
          <w:sz w:val="36"/>
          <w:szCs w:val="36"/>
        </w:rPr>
        <w:t>新疆维吾尔自治区工业和信息化厅</w:t>
      </w:r>
      <w:r>
        <w:rPr>
          <w:rFonts w:eastAsia="仿宋_GB2312"/>
          <w:kern w:val="0"/>
          <w:sz w:val="36"/>
          <w:szCs w:val="36"/>
        </w:rPr>
        <w:t>项目负责人（签章）：</w:t>
      </w:r>
      <w:r>
        <w:rPr>
          <w:rFonts w:hint="eastAsia" w:eastAsia="仿宋_GB2312"/>
          <w:kern w:val="0"/>
          <w:sz w:val="36"/>
          <w:szCs w:val="36"/>
        </w:rPr>
        <w:t>张华</w:t>
      </w:r>
    </w:p>
    <w:p w14:paraId="24812773">
      <w:pPr>
        <w:spacing w:line="700" w:lineRule="exact"/>
        <w:jc w:val="left"/>
        <w:rPr>
          <w:rFonts w:eastAsia="仿宋_GB2312"/>
          <w:kern w:val="0"/>
          <w:sz w:val="36"/>
          <w:szCs w:val="36"/>
        </w:rPr>
      </w:pPr>
      <w:r>
        <w:rPr>
          <w:rFonts w:eastAsia="仿宋_GB2312"/>
          <w:kern w:val="0"/>
          <w:sz w:val="36"/>
          <w:szCs w:val="36"/>
        </w:rPr>
        <w:t>填报时间：</w:t>
      </w:r>
      <w:r>
        <w:rPr>
          <w:rFonts w:hint="eastAsia" w:eastAsia="仿宋_GB2312"/>
          <w:kern w:val="0"/>
          <w:sz w:val="36"/>
          <w:szCs w:val="36"/>
          <w:lang w:val="en-US" w:eastAsia="zh-CN"/>
        </w:rPr>
        <w:t>2024</w:t>
      </w:r>
      <w:r>
        <w:rPr>
          <w:rFonts w:eastAsia="仿宋_GB2312"/>
          <w:kern w:val="0"/>
          <w:sz w:val="36"/>
          <w:szCs w:val="36"/>
        </w:rPr>
        <w:t>年</w:t>
      </w:r>
      <w:r>
        <w:rPr>
          <w:rFonts w:hint="eastAsia" w:eastAsia="仿宋_GB2312"/>
          <w:kern w:val="0"/>
          <w:sz w:val="36"/>
          <w:szCs w:val="36"/>
          <w:lang w:val="en-US" w:eastAsia="zh-CN"/>
        </w:rPr>
        <w:t>2</w:t>
      </w:r>
      <w:r>
        <w:rPr>
          <w:rFonts w:eastAsia="仿宋_GB2312"/>
          <w:kern w:val="0"/>
          <w:sz w:val="36"/>
          <w:szCs w:val="36"/>
        </w:rPr>
        <w:t>月</w:t>
      </w:r>
      <w:r>
        <w:rPr>
          <w:rFonts w:hint="eastAsia" w:eastAsia="仿宋_GB2312"/>
          <w:kern w:val="0"/>
          <w:sz w:val="36"/>
          <w:szCs w:val="36"/>
          <w:lang w:val="en-US" w:eastAsia="zh-CN"/>
        </w:rPr>
        <w:t>6</w:t>
      </w:r>
      <w:r>
        <w:rPr>
          <w:rFonts w:eastAsia="仿宋_GB2312"/>
          <w:kern w:val="0"/>
          <w:sz w:val="36"/>
          <w:szCs w:val="36"/>
        </w:rPr>
        <w:t>日</w:t>
      </w:r>
    </w:p>
    <w:p w14:paraId="1C37C5D8">
      <w:pPr>
        <w:spacing w:line="540" w:lineRule="exact"/>
        <w:jc w:val="center"/>
        <w:rPr>
          <w:rFonts w:eastAsia="仿宋_GB2312"/>
          <w:kern w:val="0"/>
          <w:sz w:val="30"/>
          <w:szCs w:val="30"/>
        </w:rPr>
      </w:pPr>
    </w:p>
    <w:p w14:paraId="12C296D1">
      <w:pPr>
        <w:spacing w:line="540" w:lineRule="exact"/>
        <w:rPr>
          <w:rStyle w:val="23"/>
          <w:rFonts w:eastAsia="黑体"/>
          <w:b w:val="0"/>
          <w:spacing w:val="-4"/>
          <w:sz w:val="32"/>
          <w:szCs w:val="32"/>
        </w:rPr>
      </w:pPr>
    </w:p>
    <w:p w14:paraId="73D43019">
      <w:pPr>
        <w:spacing w:line="540" w:lineRule="exact"/>
        <w:ind w:firstLine="640"/>
        <w:rPr>
          <w:rStyle w:val="23"/>
          <w:rFonts w:eastAsia="黑体"/>
          <w:b w:val="0"/>
          <w:spacing w:val="-4"/>
          <w:sz w:val="32"/>
          <w:szCs w:val="32"/>
        </w:rPr>
      </w:pPr>
    </w:p>
    <w:p w14:paraId="1B66AC1C">
      <w:pPr>
        <w:spacing w:line="540" w:lineRule="exact"/>
        <w:rPr>
          <w:rStyle w:val="23"/>
          <w:rFonts w:eastAsia="黑体"/>
          <w:b w:val="0"/>
          <w:spacing w:val="-4"/>
          <w:sz w:val="32"/>
          <w:szCs w:val="32"/>
        </w:rPr>
      </w:pPr>
    </w:p>
    <w:p w14:paraId="07C14065">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eastAsia="黑体"/>
          <w:bCs/>
          <w:sz w:val="32"/>
          <w:szCs w:val="32"/>
        </w:rPr>
      </w:pPr>
      <w:r>
        <w:rPr>
          <w:rFonts w:eastAsia="黑体"/>
          <w:bCs/>
          <w:sz w:val="32"/>
          <w:szCs w:val="32"/>
        </w:rPr>
        <w:t>一、基本情况</w:t>
      </w:r>
    </w:p>
    <w:p w14:paraId="3AB938B0">
      <w:pPr>
        <w:keepNext w:val="0"/>
        <w:keepLines w:val="0"/>
        <w:pageBreakBefore w:val="0"/>
        <w:kinsoku/>
        <w:wordWrap/>
        <w:overflowPunct/>
        <w:topLinePunct w:val="0"/>
        <w:autoSpaceDE/>
        <w:autoSpaceDN/>
        <w:bidi w:val="0"/>
        <w:adjustRightInd/>
        <w:snapToGrid/>
        <w:spacing w:line="560" w:lineRule="exact"/>
        <w:ind w:firstLine="641"/>
        <w:textAlignment w:val="auto"/>
        <w:rPr>
          <w:rFonts w:eastAsia="楷体_GB2312"/>
          <w:b/>
          <w:bCs/>
          <w:sz w:val="32"/>
          <w:szCs w:val="32"/>
        </w:rPr>
      </w:pPr>
      <w:r>
        <w:rPr>
          <w:rFonts w:eastAsia="楷体_GB2312"/>
          <w:b/>
          <w:bCs/>
          <w:sz w:val="32"/>
          <w:szCs w:val="32"/>
        </w:rPr>
        <w:t>（一）项目概况</w:t>
      </w:r>
    </w:p>
    <w:p w14:paraId="44FDD43F">
      <w:pPr>
        <w:keepNext w:val="0"/>
        <w:keepLines w:val="0"/>
        <w:pageBreakBefore w:val="0"/>
        <w:kinsoku/>
        <w:wordWrap/>
        <w:overflowPunct/>
        <w:topLinePunct w:val="0"/>
        <w:autoSpaceDE/>
        <w:autoSpaceDN/>
        <w:bidi w:val="0"/>
        <w:adjustRightInd/>
        <w:snapToGrid/>
        <w:spacing w:line="560" w:lineRule="exact"/>
        <w:ind w:firstLine="641"/>
        <w:textAlignment w:val="auto"/>
        <w:rPr>
          <w:rFonts w:eastAsia="仿宋_GB2312"/>
          <w:b/>
          <w:bCs/>
          <w:sz w:val="32"/>
          <w:szCs w:val="32"/>
        </w:rPr>
      </w:pPr>
      <w:r>
        <w:rPr>
          <w:rFonts w:eastAsia="仿宋_GB2312"/>
          <w:b/>
          <w:bCs/>
          <w:sz w:val="32"/>
          <w:szCs w:val="32"/>
        </w:rPr>
        <w:t>1</w:t>
      </w:r>
      <w:r>
        <w:rPr>
          <w:rFonts w:hint="eastAsia" w:eastAsia="仿宋_GB2312"/>
          <w:b/>
          <w:bCs/>
          <w:sz w:val="32"/>
          <w:szCs w:val="32"/>
          <w:lang w:val="en-US" w:eastAsia="zh-CN"/>
        </w:rPr>
        <w:t>.</w:t>
      </w:r>
      <w:r>
        <w:rPr>
          <w:rFonts w:eastAsia="仿宋_GB2312"/>
          <w:b/>
          <w:bCs/>
          <w:sz w:val="32"/>
          <w:szCs w:val="32"/>
        </w:rPr>
        <w:t>项目背景</w:t>
      </w:r>
    </w:p>
    <w:p w14:paraId="3FEE0BB5">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中小企业联系千家万户，是推动创新、促进就业、改善民生的重要力量。中小企业好，中国经济才会好，充满活力的中小企业是中国经济韧性的重要保障，也是经济社会高质量发展的坚实基础。中小企业是国民经济和社会发展的生力军，是建设现代化经济体系、推动经济实现高质量发展的重要基础，是扩大就业、改善民生的重要支撑</w:t>
      </w:r>
      <w:r>
        <w:rPr>
          <w:rFonts w:hint="eastAsia" w:eastAsia="仿宋_GB2312" w:cs="Times New Roman"/>
          <w:sz w:val="32"/>
          <w:szCs w:val="32"/>
          <w:lang w:val="en-US" w:eastAsia="zh-CN"/>
        </w:rPr>
        <w:t>。</w:t>
      </w:r>
      <w:r>
        <w:rPr>
          <w:rFonts w:hint="eastAsia" w:ascii="Times New Roman" w:hAnsi="Times New Roman" w:eastAsia="仿宋_GB2312" w:cs="Times New Roman"/>
          <w:sz w:val="32"/>
          <w:szCs w:val="32"/>
          <w:lang w:val="en-US" w:eastAsia="zh-CN"/>
        </w:rPr>
        <w:t>习近平总书记高度重视中小企业工作，多次作出重要指示批示，指出中小企业能办大事，中小企业有灵气、有活力。在致2022全国专精特新中小企业发展大会的贺信中，对新时代中小企业的地位作用予以充分肯定，对专精特新中小企业寄予殷切希望，对各级党委和政府提出明确要求，强调为中小企业发展营造良好环境，加大对中小企业支持力度，激发涌现更多专精特新中小企业。</w:t>
      </w:r>
    </w:p>
    <w:p w14:paraId="2AA0A463">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工业和信息化部作为国务院促进中小企业发展的综合管理部门，会同各部门各地方，深入贯彻落实党中央、国务院决策部署，坚持“两个毫不动摇”</w:t>
      </w:r>
      <w:r>
        <w:rPr>
          <w:rFonts w:hint="eastAsia" w:eastAsia="仿宋_GB2312" w:cs="Times New Roman"/>
          <w:sz w:val="32"/>
          <w:szCs w:val="32"/>
          <w:lang w:val="en-US" w:eastAsia="zh-CN"/>
        </w:rPr>
        <w:t>，</w:t>
      </w:r>
      <w:r>
        <w:rPr>
          <w:rFonts w:hint="eastAsia" w:ascii="Times New Roman" w:hAnsi="Times New Roman" w:eastAsia="仿宋_GB2312" w:cs="Times New Roman"/>
          <w:sz w:val="32"/>
          <w:szCs w:val="32"/>
          <w:lang w:val="en-US" w:eastAsia="zh-CN"/>
        </w:rPr>
        <w:t>坚持管理和服务并重，坚持帮扶和发展并举，进一步健全完善工作体系、政策法规体系、优质高效服务体系，加强优质中小企业梯度培育，通过政策惠企、服务助企、环境活企、创新强企，人才兴企，构建有活力的创新生态系统，推动中小企业走专精特新发展之路。随着国际国内经济环境的复杂变化，我国中小企业面临要素成本上升、创新发展动能不足、国内外市场竞争加剧等问题。国家及相关部门出台一系列政策，从战略设计、基础设施、解决方案、人才支持、资金支持等方面构建中小企业政策体系，全面推进中小企业</w:t>
      </w:r>
      <w:r>
        <w:rPr>
          <w:rFonts w:hint="eastAsia" w:eastAsia="仿宋_GB2312" w:cs="Times New Roman"/>
          <w:sz w:val="32"/>
          <w:szCs w:val="32"/>
          <w:lang w:val="en-US" w:eastAsia="zh-CN"/>
        </w:rPr>
        <w:t>发展</w:t>
      </w:r>
      <w:r>
        <w:rPr>
          <w:rFonts w:hint="eastAsia" w:ascii="Times New Roman" w:hAnsi="Times New Roman" w:eastAsia="仿宋_GB2312" w:cs="Times New Roman"/>
          <w:sz w:val="32"/>
          <w:szCs w:val="32"/>
          <w:lang w:val="en-US" w:eastAsia="zh-CN"/>
        </w:rPr>
        <w:t>加速、扩面、提质、增效。引导中小企业走“专精特新”之路，提出梯度培育机制，跟进配套基础设施建设。新疆中小企业发展规模体量不断提高，产业结构不断优化，创新能力持续提升，服务体系不断完善，发展环境不断改善。但也面临着综合实力弱，专业化程度和精细化程度不够，人才保障支撑不力，融资难、融资贵，中小企业服务机构精准化服务能力弱等问题。自治区党委、人民政府为促进自治区中小企业健康平稳发展，依据《新疆维吾尔自治区实施</w:t>
      </w:r>
      <w:r>
        <w:rPr>
          <w:rFonts w:hint="eastAsia" w:eastAsia="仿宋_GB2312" w:cs="Times New Roman"/>
          <w:sz w:val="32"/>
          <w:szCs w:val="32"/>
          <w:lang w:val="en-US" w:eastAsia="zh-CN"/>
        </w:rPr>
        <w:t>〈</w:t>
      </w:r>
      <w:r>
        <w:rPr>
          <w:rFonts w:hint="eastAsia" w:ascii="Times New Roman" w:hAnsi="Times New Roman" w:eastAsia="仿宋_GB2312" w:cs="Times New Roman"/>
          <w:sz w:val="32"/>
          <w:szCs w:val="32"/>
          <w:lang w:val="en-US" w:eastAsia="zh-CN"/>
        </w:rPr>
        <w:t>中华人民共和国中小企业促进法&gt;办法》中“自治区人民政府应当在本级财政预算中安排中小企业发展专项资金”的有关要求，实施2023年自治区中小企业发展专项资金项目。</w:t>
      </w:r>
    </w:p>
    <w:p w14:paraId="54204922">
      <w:pPr>
        <w:pStyle w:val="2"/>
        <w:keepNext w:val="0"/>
        <w:keepLines w:val="0"/>
        <w:pageBreakBefore w:val="0"/>
        <w:numPr>
          <w:ilvl w:val="0"/>
          <w:numId w:val="0"/>
        </w:numPr>
        <w:kinsoku/>
        <w:wordWrap/>
        <w:overflowPunct/>
        <w:topLinePunct w:val="0"/>
        <w:autoSpaceDE/>
        <w:autoSpaceDN/>
        <w:bidi w:val="0"/>
        <w:adjustRightInd/>
        <w:snapToGrid/>
        <w:spacing w:before="0" w:after="0" w:line="560" w:lineRule="exact"/>
        <w:ind w:firstLine="643" w:firstLineChars="200"/>
        <w:jc w:val="both"/>
        <w:textAlignment w:val="auto"/>
        <w:rPr>
          <w:rFonts w:ascii="Times New Roman" w:hAnsi="Times New Roman" w:eastAsia="仿宋_GB2312"/>
          <w:kern w:val="2"/>
        </w:rPr>
      </w:pPr>
      <w:r>
        <w:rPr>
          <w:rFonts w:hint="eastAsia" w:ascii="Times New Roman" w:hAnsi="Times New Roman" w:eastAsia="仿宋_GB2312"/>
          <w:kern w:val="2"/>
          <w:lang w:val="en-US" w:eastAsia="zh-CN"/>
        </w:rPr>
        <w:t>2.</w:t>
      </w:r>
      <w:r>
        <w:rPr>
          <w:rFonts w:ascii="Times New Roman" w:hAnsi="Times New Roman" w:eastAsia="仿宋_GB2312"/>
          <w:kern w:val="2"/>
        </w:rPr>
        <w:t>项目主要内容：</w:t>
      </w:r>
    </w:p>
    <w:p w14:paraId="53CBF7A4">
      <w:pPr>
        <w:keepNext w:val="0"/>
        <w:keepLines w:val="0"/>
        <w:pageBreakBefore w:val="0"/>
        <w:widowControl w:val="0"/>
        <w:kinsoku/>
        <w:wordWrap/>
        <w:overflowPunct/>
        <w:topLinePunct w:val="0"/>
        <w:autoSpaceDE/>
        <w:autoSpaceDN/>
        <w:bidi w:val="0"/>
        <w:adjustRightInd/>
        <w:snapToGrid/>
        <w:spacing w:after="0" w:line="560" w:lineRule="exact"/>
        <w:ind w:firstLine="640" w:firstLineChars="200"/>
        <w:textAlignment w:val="auto"/>
        <w:rPr>
          <w:rFonts w:hint="default" w:ascii="Times New Roman" w:hAnsi="Times New Roman" w:eastAsia="仿宋_GB2312" w:cs="Times New Roman"/>
          <w:color w:val="auto"/>
          <w:sz w:val="32"/>
          <w:highlight w:val="none"/>
        </w:rPr>
      </w:pPr>
      <w:r>
        <w:rPr>
          <w:rFonts w:hint="default" w:ascii="Times New Roman" w:hAnsi="Times New Roman" w:eastAsia="仿宋_GB2312" w:cs="Times New Roman"/>
          <w:color w:val="auto"/>
          <w:sz w:val="32"/>
          <w:highlight w:val="none"/>
        </w:rPr>
        <w:t>自治区中小企业发展专项资金项目（自治区本级）5000万元资金</w:t>
      </w:r>
      <w:r>
        <w:rPr>
          <w:rFonts w:hint="eastAsia" w:cs="Times New Roman"/>
          <w:color w:val="auto"/>
          <w:sz w:val="32"/>
          <w:highlight w:val="none"/>
          <w:lang w:eastAsia="zh-CN"/>
        </w:rPr>
        <w:t>，</w:t>
      </w:r>
      <w:r>
        <w:rPr>
          <w:rFonts w:hint="default" w:ascii="Times New Roman" w:hAnsi="Times New Roman" w:eastAsia="仿宋_GB2312" w:cs="Times New Roman"/>
          <w:color w:val="auto"/>
          <w:sz w:val="32"/>
          <w:highlight w:val="none"/>
        </w:rPr>
        <w:t>安排自治区工信厅机关4750万元</w:t>
      </w:r>
      <w:r>
        <w:rPr>
          <w:rFonts w:hint="eastAsia" w:eastAsia="仿宋_GB2312" w:cs="Times New Roman"/>
          <w:color w:val="auto"/>
          <w:sz w:val="32"/>
          <w:highlight w:val="none"/>
          <w:lang w:eastAsia="zh-CN"/>
        </w:rPr>
        <w:t>，安排自治区中小企业服务中心250万元</w:t>
      </w:r>
      <w:r>
        <w:rPr>
          <w:rFonts w:hint="default" w:ascii="Times New Roman" w:hAnsi="Times New Roman" w:eastAsia="仿宋_GB2312" w:cs="Times New Roman"/>
          <w:color w:val="auto"/>
          <w:sz w:val="32"/>
          <w:highlight w:val="none"/>
        </w:rPr>
        <w:t>。自治区工信厅机关4750万元主要用于以下项目开支：专精特新中小企业培育项目奖励经费4100万元</w:t>
      </w:r>
      <w:r>
        <w:rPr>
          <w:rFonts w:hint="eastAsia" w:cs="Times New Roman"/>
          <w:color w:val="auto"/>
          <w:sz w:val="32"/>
          <w:highlight w:val="none"/>
          <w:lang w:eastAsia="zh-CN"/>
        </w:rPr>
        <w:t>，</w:t>
      </w:r>
      <w:r>
        <w:rPr>
          <w:rFonts w:hint="default" w:ascii="Times New Roman" w:hAnsi="Times New Roman" w:eastAsia="仿宋_GB2312" w:cs="Times New Roman"/>
          <w:color w:val="auto"/>
          <w:sz w:val="32"/>
          <w:highlight w:val="none"/>
        </w:rPr>
        <w:t>中小企业创新服务券项目补助经费190万元</w:t>
      </w:r>
      <w:r>
        <w:rPr>
          <w:rFonts w:hint="eastAsia" w:cs="Times New Roman"/>
          <w:color w:val="auto"/>
          <w:sz w:val="32"/>
          <w:highlight w:val="none"/>
          <w:lang w:eastAsia="zh-CN"/>
        </w:rPr>
        <w:t>，</w:t>
      </w:r>
      <w:r>
        <w:rPr>
          <w:rFonts w:hint="default" w:ascii="Times New Roman" w:hAnsi="Times New Roman" w:eastAsia="仿宋_GB2312" w:cs="Times New Roman"/>
          <w:color w:val="auto"/>
          <w:sz w:val="32"/>
          <w:highlight w:val="none"/>
        </w:rPr>
        <w:t>“创客中国”新疆中小企业创新创业大赛组织经费120万元（含奖金50万元）</w:t>
      </w:r>
      <w:r>
        <w:rPr>
          <w:rFonts w:hint="eastAsia" w:cs="Times New Roman"/>
          <w:color w:val="auto"/>
          <w:sz w:val="32"/>
          <w:highlight w:val="none"/>
          <w:lang w:eastAsia="zh-CN"/>
        </w:rPr>
        <w:t>，</w:t>
      </w:r>
      <w:r>
        <w:rPr>
          <w:rFonts w:hint="default" w:ascii="Times New Roman" w:hAnsi="Times New Roman" w:eastAsia="仿宋_GB2312" w:cs="Times New Roman"/>
          <w:color w:val="auto"/>
          <w:sz w:val="32"/>
          <w:highlight w:val="none"/>
        </w:rPr>
        <w:t>第十八届中国国际中小企业博览会组展经费75万元</w:t>
      </w:r>
      <w:r>
        <w:rPr>
          <w:rFonts w:hint="eastAsia" w:cs="Times New Roman"/>
          <w:color w:val="auto"/>
          <w:sz w:val="32"/>
          <w:highlight w:val="none"/>
          <w:lang w:eastAsia="zh-CN"/>
        </w:rPr>
        <w:t>，</w:t>
      </w:r>
      <w:r>
        <w:rPr>
          <w:rFonts w:hint="default" w:ascii="Times New Roman" w:hAnsi="Times New Roman" w:eastAsia="仿宋_GB2312" w:cs="Times New Roman"/>
          <w:color w:val="auto"/>
          <w:sz w:val="32"/>
          <w:highlight w:val="none"/>
        </w:rPr>
        <w:t>第十二届APEC中小企业技术交流暨展览会组展经费55万元</w:t>
      </w:r>
      <w:r>
        <w:rPr>
          <w:rFonts w:hint="eastAsia" w:cs="Times New Roman"/>
          <w:color w:val="auto"/>
          <w:sz w:val="32"/>
          <w:highlight w:val="none"/>
          <w:lang w:eastAsia="zh-CN"/>
        </w:rPr>
        <w:t>，</w:t>
      </w:r>
      <w:r>
        <w:rPr>
          <w:rFonts w:hint="default" w:ascii="Times New Roman" w:hAnsi="Times New Roman" w:eastAsia="仿宋_GB2312" w:cs="Times New Roman"/>
          <w:color w:val="auto"/>
          <w:sz w:val="32"/>
          <w:highlight w:val="none"/>
        </w:rPr>
        <w:t>中小企业发展环境评估项目经费60万元</w:t>
      </w:r>
      <w:r>
        <w:rPr>
          <w:rFonts w:hint="eastAsia" w:cs="Times New Roman"/>
          <w:color w:val="auto"/>
          <w:sz w:val="32"/>
          <w:highlight w:val="none"/>
          <w:lang w:eastAsia="zh-CN"/>
        </w:rPr>
        <w:t>，</w:t>
      </w:r>
      <w:r>
        <w:rPr>
          <w:rFonts w:hint="default" w:ascii="Times New Roman" w:hAnsi="Times New Roman" w:eastAsia="仿宋_GB2312" w:cs="Times New Roman"/>
          <w:color w:val="auto"/>
          <w:sz w:val="32"/>
          <w:highlight w:val="none"/>
        </w:rPr>
        <w:t>2023年度中小企业发展专项资金使用效果评估项目经费30万元</w:t>
      </w:r>
      <w:r>
        <w:rPr>
          <w:rFonts w:hint="eastAsia" w:cs="Times New Roman"/>
          <w:color w:val="auto"/>
          <w:sz w:val="32"/>
          <w:highlight w:val="none"/>
          <w:lang w:eastAsia="zh-CN"/>
        </w:rPr>
        <w:t>，</w:t>
      </w:r>
      <w:r>
        <w:rPr>
          <w:rFonts w:hint="default" w:ascii="Times New Roman" w:hAnsi="Times New Roman" w:eastAsia="仿宋_GB2312" w:cs="Times New Roman"/>
          <w:color w:val="auto"/>
          <w:sz w:val="32"/>
          <w:highlight w:val="none"/>
        </w:rPr>
        <w:t>中小企业运行监测项目经费30万元</w:t>
      </w:r>
      <w:r>
        <w:rPr>
          <w:rFonts w:hint="eastAsia" w:cs="Times New Roman"/>
          <w:color w:val="auto"/>
          <w:sz w:val="32"/>
          <w:highlight w:val="none"/>
          <w:lang w:eastAsia="zh-CN"/>
        </w:rPr>
        <w:t>，</w:t>
      </w:r>
      <w:r>
        <w:rPr>
          <w:rFonts w:hint="default" w:ascii="Times New Roman" w:hAnsi="Times New Roman" w:eastAsia="仿宋_GB2312" w:cs="Times New Roman"/>
          <w:color w:val="auto"/>
          <w:sz w:val="32"/>
          <w:highlight w:val="none"/>
        </w:rPr>
        <w:t>优质中小企业梯度培育及发展情况研究项目经费40万元</w:t>
      </w:r>
      <w:r>
        <w:rPr>
          <w:rFonts w:hint="eastAsia" w:cs="Times New Roman"/>
          <w:color w:val="auto"/>
          <w:sz w:val="32"/>
          <w:highlight w:val="none"/>
          <w:lang w:eastAsia="zh-CN"/>
        </w:rPr>
        <w:t>，</w:t>
      </w:r>
      <w:r>
        <w:rPr>
          <w:rFonts w:hint="default" w:ascii="Times New Roman" w:hAnsi="Times New Roman" w:eastAsia="仿宋_GB2312" w:cs="Times New Roman"/>
          <w:color w:val="auto"/>
          <w:sz w:val="32"/>
          <w:highlight w:val="none"/>
        </w:rPr>
        <w:t>自治区中小企业数字化转型研究项目经费50万元。自治区中小企业服务中心250万元</w:t>
      </w:r>
      <w:r>
        <w:rPr>
          <w:rFonts w:hint="eastAsia" w:eastAsia="仿宋_GB2312" w:cs="Times New Roman"/>
          <w:color w:val="auto"/>
          <w:sz w:val="32"/>
          <w:highlight w:val="none"/>
          <w:lang w:eastAsia="zh-CN"/>
        </w:rPr>
        <w:t>，</w:t>
      </w:r>
      <w:r>
        <w:rPr>
          <w:rFonts w:hint="default" w:ascii="Times New Roman" w:hAnsi="Times New Roman" w:eastAsia="仿宋_GB2312" w:cs="Times New Roman"/>
          <w:color w:val="auto"/>
          <w:sz w:val="32"/>
          <w:highlight w:val="none"/>
        </w:rPr>
        <w:t>自治区中小企业公共服务平台网络枢纽平台维护经费</w:t>
      </w:r>
      <w:r>
        <w:rPr>
          <w:rFonts w:hint="eastAsia" w:eastAsia="仿宋_GB2312" w:cs="Times New Roman"/>
          <w:color w:val="auto"/>
          <w:sz w:val="32"/>
          <w:highlight w:val="none"/>
          <w:lang w:val="en-US" w:eastAsia="zh-CN"/>
        </w:rPr>
        <w:t>200万元</w:t>
      </w:r>
      <w:r>
        <w:rPr>
          <w:rFonts w:hint="eastAsia" w:cs="Times New Roman"/>
          <w:color w:val="auto"/>
          <w:sz w:val="32"/>
          <w:highlight w:val="none"/>
          <w:lang w:eastAsia="zh-CN"/>
        </w:rPr>
        <w:t>，</w:t>
      </w:r>
      <w:r>
        <w:rPr>
          <w:rFonts w:hint="default" w:ascii="Times New Roman" w:hAnsi="Times New Roman" w:eastAsia="仿宋_GB2312" w:cs="Times New Roman"/>
          <w:color w:val="auto"/>
          <w:sz w:val="32"/>
          <w:highlight w:val="none"/>
        </w:rPr>
        <w:t>枢纽平台子平台</w:t>
      </w:r>
      <w:r>
        <w:rPr>
          <w:rFonts w:hint="eastAsia" w:cs="Times New Roman"/>
          <w:color w:val="auto"/>
          <w:sz w:val="32"/>
          <w:highlight w:val="none"/>
          <w:lang w:eastAsia="zh-CN"/>
        </w:rPr>
        <w:t>“</w:t>
      </w:r>
      <w:r>
        <w:rPr>
          <w:rFonts w:hint="default" w:ascii="Times New Roman" w:hAnsi="Times New Roman" w:eastAsia="仿宋_GB2312" w:cs="Times New Roman"/>
          <w:color w:val="auto"/>
          <w:sz w:val="32"/>
          <w:highlight w:val="none"/>
        </w:rPr>
        <w:t>自治区私营经济发展服务平台</w:t>
      </w:r>
      <w:r>
        <w:rPr>
          <w:rFonts w:hint="eastAsia" w:cs="Times New Roman"/>
          <w:color w:val="auto"/>
          <w:sz w:val="32"/>
          <w:highlight w:val="none"/>
          <w:lang w:eastAsia="zh-CN"/>
        </w:rPr>
        <w:t>”</w:t>
      </w:r>
      <w:r>
        <w:rPr>
          <w:rFonts w:hint="default" w:ascii="Times New Roman" w:hAnsi="Times New Roman" w:eastAsia="仿宋_GB2312" w:cs="Times New Roman"/>
          <w:color w:val="auto"/>
          <w:sz w:val="32"/>
          <w:highlight w:val="none"/>
        </w:rPr>
        <w:t>的维护50万元。</w:t>
      </w:r>
    </w:p>
    <w:p w14:paraId="08AFBF87">
      <w:pPr>
        <w:keepNext w:val="0"/>
        <w:keepLines w:val="0"/>
        <w:pageBreakBefore w:val="0"/>
        <w:kinsoku/>
        <w:wordWrap/>
        <w:overflowPunct/>
        <w:topLinePunct w:val="0"/>
        <w:autoSpaceDE/>
        <w:autoSpaceDN/>
        <w:bidi w:val="0"/>
        <w:adjustRightInd/>
        <w:snapToGrid/>
        <w:spacing w:line="560" w:lineRule="exact"/>
        <w:ind w:firstLine="640" w:firstLineChars="200"/>
        <w:textAlignment w:val="auto"/>
      </w:pPr>
      <w:r>
        <w:rPr>
          <w:rFonts w:eastAsia="仿宋_GB2312"/>
          <w:sz w:val="32"/>
          <w:szCs w:val="32"/>
        </w:rPr>
        <w:t>项目实施情况：项目目前已经完成实际设立的目标，项目在实施过程中严格按照目标设立的各阶段任务进行开展工作，在前期立项过程中严格把质量关，建立安全防护机制，保证项目实施各阶段安全顺利进行。</w:t>
      </w:r>
    </w:p>
    <w:p w14:paraId="4BB82297">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eastAsia="仿宋_GB2312"/>
          <w:sz w:val="32"/>
          <w:szCs w:val="32"/>
        </w:rPr>
      </w:pPr>
      <w:r>
        <w:rPr>
          <w:rFonts w:eastAsia="仿宋_GB2312"/>
          <w:sz w:val="32"/>
          <w:szCs w:val="32"/>
          <w:highlight w:val="none"/>
        </w:rPr>
        <w:t>本项目总投资</w:t>
      </w:r>
      <w:r>
        <w:rPr>
          <w:rFonts w:hint="eastAsia" w:eastAsia="仿宋_GB2312"/>
          <w:sz w:val="32"/>
          <w:szCs w:val="32"/>
          <w:highlight w:val="none"/>
          <w:lang w:val="en-US" w:eastAsia="zh-CN"/>
        </w:rPr>
        <w:t>5000</w:t>
      </w:r>
      <w:r>
        <w:rPr>
          <w:rFonts w:eastAsia="仿宋_GB2312"/>
          <w:sz w:val="32"/>
          <w:szCs w:val="32"/>
          <w:highlight w:val="none"/>
        </w:rPr>
        <w:t>万元，其中：财政本级资金</w:t>
      </w:r>
      <w:r>
        <w:rPr>
          <w:rFonts w:hint="eastAsia" w:eastAsia="仿宋_GB2312"/>
          <w:sz w:val="32"/>
          <w:szCs w:val="32"/>
          <w:highlight w:val="none"/>
          <w:lang w:val="en-US" w:eastAsia="zh-CN"/>
        </w:rPr>
        <w:t>5000</w:t>
      </w:r>
      <w:r>
        <w:rPr>
          <w:rFonts w:eastAsia="仿宋_GB2312"/>
          <w:sz w:val="32"/>
          <w:szCs w:val="32"/>
          <w:highlight w:val="none"/>
        </w:rPr>
        <w:t>万元。</w:t>
      </w:r>
      <w:r>
        <w:rPr>
          <w:rFonts w:eastAsia="仿宋_GB2312"/>
          <w:sz w:val="32"/>
          <w:szCs w:val="32"/>
        </w:rPr>
        <w:t>项</w:t>
      </w:r>
      <w:r>
        <w:rPr>
          <w:rFonts w:eastAsia="仿宋_GB2312"/>
          <w:sz w:val="32"/>
          <w:szCs w:val="32"/>
          <w:highlight w:val="none"/>
        </w:rPr>
        <w:t>目实际支出</w:t>
      </w:r>
      <w:r>
        <w:rPr>
          <w:rFonts w:hint="eastAsia" w:eastAsia="仿宋_GB2312"/>
          <w:sz w:val="32"/>
          <w:szCs w:val="32"/>
          <w:highlight w:val="none"/>
          <w:lang w:val="en-US" w:eastAsia="zh-CN"/>
        </w:rPr>
        <w:t>4999.9983</w:t>
      </w:r>
      <w:r>
        <w:rPr>
          <w:rFonts w:eastAsia="仿宋_GB2312"/>
          <w:sz w:val="32"/>
          <w:szCs w:val="32"/>
          <w:highlight w:val="none"/>
        </w:rPr>
        <w:t>万元，支出率为</w:t>
      </w:r>
      <w:r>
        <w:rPr>
          <w:rFonts w:hint="eastAsia" w:eastAsia="仿宋_GB2312"/>
          <w:sz w:val="32"/>
          <w:szCs w:val="32"/>
          <w:highlight w:val="none"/>
          <w:lang w:val="en-US" w:eastAsia="zh-CN"/>
        </w:rPr>
        <w:t>99.99</w:t>
      </w:r>
      <w:r>
        <w:rPr>
          <w:rFonts w:eastAsia="仿宋_GB2312"/>
          <w:sz w:val="32"/>
          <w:szCs w:val="32"/>
          <w:highlight w:val="none"/>
        </w:rPr>
        <w:t>%。</w:t>
      </w:r>
    </w:p>
    <w:p w14:paraId="3499F20D">
      <w:pPr>
        <w:keepNext w:val="0"/>
        <w:keepLines w:val="0"/>
        <w:pageBreakBefore w:val="0"/>
        <w:kinsoku/>
        <w:wordWrap/>
        <w:overflowPunct/>
        <w:topLinePunct w:val="0"/>
        <w:autoSpaceDE/>
        <w:autoSpaceDN/>
        <w:bidi w:val="0"/>
        <w:adjustRightInd/>
        <w:snapToGrid/>
        <w:spacing w:line="560" w:lineRule="exact"/>
        <w:ind w:firstLine="643" w:firstLineChars="200"/>
        <w:textAlignment w:val="auto"/>
        <w:rPr>
          <w:rFonts w:eastAsia="仿宋_GB2312"/>
          <w:b/>
          <w:bCs/>
          <w:sz w:val="32"/>
          <w:szCs w:val="32"/>
        </w:rPr>
      </w:pPr>
      <w:r>
        <w:rPr>
          <w:rFonts w:eastAsia="仿宋_GB2312"/>
          <w:b/>
          <w:bCs/>
          <w:sz w:val="32"/>
          <w:szCs w:val="32"/>
        </w:rPr>
        <w:t>3</w:t>
      </w:r>
      <w:r>
        <w:rPr>
          <w:rFonts w:hint="eastAsia" w:eastAsia="仿宋_GB2312"/>
          <w:b/>
          <w:bCs/>
          <w:sz w:val="32"/>
          <w:szCs w:val="32"/>
          <w:lang w:eastAsia="zh-CN"/>
        </w:rPr>
        <w:t>.</w:t>
      </w:r>
      <w:r>
        <w:rPr>
          <w:rFonts w:eastAsia="仿宋_GB2312"/>
          <w:b/>
          <w:bCs/>
          <w:sz w:val="32"/>
          <w:szCs w:val="32"/>
        </w:rPr>
        <w:t>资金投入和使用情况</w:t>
      </w:r>
    </w:p>
    <w:p w14:paraId="4BD57DCA">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eastAsia="仿宋_GB2312"/>
          <w:sz w:val="20"/>
          <w:szCs w:val="20"/>
        </w:rPr>
      </w:pPr>
      <w:r>
        <w:rPr>
          <w:rFonts w:eastAsia="仿宋_GB2312"/>
          <w:sz w:val="32"/>
          <w:szCs w:val="32"/>
        </w:rPr>
        <w:t>（1）</w:t>
      </w:r>
      <w:r>
        <w:rPr>
          <w:rFonts w:hint="eastAsia" w:eastAsia="仿宋_GB2312"/>
          <w:sz w:val="32"/>
          <w:szCs w:val="32"/>
        </w:rPr>
        <w:t>资金投入情况</w:t>
      </w:r>
    </w:p>
    <w:p w14:paraId="665CB240">
      <w:pPr>
        <w:keepNext w:val="0"/>
        <w:keepLines w:val="0"/>
        <w:pageBreakBefore w:val="0"/>
        <w:kinsoku/>
        <w:wordWrap/>
        <w:overflowPunct/>
        <w:topLinePunct w:val="0"/>
        <w:autoSpaceDE/>
        <w:autoSpaceDN/>
        <w:bidi w:val="0"/>
        <w:adjustRightInd/>
        <w:snapToGrid/>
        <w:spacing w:line="600" w:lineRule="exact"/>
        <w:ind w:firstLine="640" w:firstLineChars="200"/>
        <w:textAlignment w:val="auto"/>
        <w:outlineLvl w:val="0"/>
        <w:rPr>
          <w:rFonts w:eastAsia="仿宋_GB2312"/>
          <w:sz w:val="32"/>
          <w:szCs w:val="32"/>
          <w:highlight w:val="none"/>
        </w:rPr>
      </w:pPr>
      <w:r>
        <w:rPr>
          <w:rFonts w:hint="eastAsia" w:ascii="仿宋_GB2312" w:hAnsi="仿宋_GB2312" w:eastAsia="仿宋_GB2312" w:cs="仿宋_GB2312"/>
          <w:sz w:val="32"/>
          <w:szCs w:val="32"/>
          <w:highlight w:val="none"/>
          <w:lang w:val="en-US" w:eastAsia="zh-CN"/>
        </w:rPr>
        <w:t>该项目年初预算数5000万元，全年预算数5000万元，实际总投入5000万元，该项目资金已全部落实到位，资金来源为</w:t>
      </w:r>
      <w:r>
        <w:rPr>
          <w:rFonts w:hint="eastAsia" w:ascii="Times New Roman" w:hAnsi="Times New Roman" w:eastAsia="仿宋_GB2312" w:cs="Times New Roman"/>
          <w:b w:val="0"/>
          <w:bCs w:val="0"/>
          <w:kern w:val="2"/>
          <w:sz w:val="32"/>
          <w:szCs w:val="32"/>
          <w:highlight w:val="none"/>
          <w:lang w:val="en-US" w:eastAsia="zh-CN" w:bidi="ar-SA"/>
        </w:rPr>
        <w:t>中小企业发展专项资金</w:t>
      </w:r>
      <w:r>
        <w:rPr>
          <w:rFonts w:hint="eastAsia" w:ascii="仿宋_GB2312" w:hAnsi="仿宋_GB2312" w:eastAsia="仿宋_GB2312" w:cs="仿宋_GB2312"/>
          <w:sz w:val="32"/>
          <w:szCs w:val="32"/>
          <w:highlight w:val="none"/>
          <w:lang w:val="en-US" w:eastAsia="zh-CN"/>
        </w:rPr>
        <w:t>。</w:t>
      </w:r>
      <w:r>
        <w:rPr>
          <w:rFonts w:eastAsia="仿宋_GB2312"/>
          <w:sz w:val="32"/>
          <w:szCs w:val="32"/>
          <w:highlight w:val="none"/>
        </w:rPr>
        <w:t>按照单位财务制度等相关规定，资金支出符合</w:t>
      </w:r>
      <w:r>
        <w:rPr>
          <w:rFonts w:hint="eastAsia" w:eastAsia="仿宋_GB2312"/>
          <w:sz w:val="32"/>
          <w:szCs w:val="32"/>
          <w:highlight w:val="none"/>
          <w:lang w:val="en-US" w:eastAsia="zh-CN"/>
        </w:rPr>
        <w:t>中小企业发展</w:t>
      </w:r>
      <w:r>
        <w:rPr>
          <w:rFonts w:eastAsia="仿宋_GB2312"/>
          <w:sz w:val="32"/>
          <w:szCs w:val="32"/>
          <w:highlight w:val="none"/>
        </w:rPr>
        <w:t>专项资金费用范围，做到了专款专用。在项目资金拨付和使用过程中，为确保项目资金的安全性，提高项目资金使用效率，严格遵循</w:t>
      </w:r>
      <w:r>
        <w:rPr>
          <w:rFonts w:hint="eastAsia" w:eastAsia="仿宋_GB2312"/>
          <w:sz w:val="32"/>
          <w:szCs w:val="32"/>
          <w:highlight w:val="none"/>
        </w:rPr>
        <w:t>中小企业发展</w:t>
      </w:r>
      <w:r>
        <w:rPr>
          <w:rFonts w:eastAsia="仿宋_GB2312"/>
          <w:sz w:val="32"/>
          <w:szCs w:val="32"/>
          <w:highlight w:val="none"/>
        </w:rPr>
        <w:t>资金的拨付程序，认真审核项目实施各阶段的相关材料和手续，根据项目实施进展情况拨付资金。</w:t>
      </w:r>
    </w:p>
    <w:p w14:paraId="5815817A">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eastAsia="仿宋_GB2312"/>
          <w:sz w:val="32"/>
          <w:szCs w:val="32"/>
        </w:rPr>
      </w:pPr>
      <w:r>
        <w:rPr>
          <w:rFonts w:eastAsia="仿宋_GB2312"/>
          <w:sz w:val="32"/>
          <w:szCs w:val="32"/>
        </w:rPr>
        <w:t>（2）资金使用情况</w:t>
      </w:r>
      <w:bookmarkStart w:id="0" w:name="page10"/>
      <w:bookmarkEnd w:id="0"/>
    </w:p>
    <w:p w14:paraId="7710BD1A">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该项目年初预算数5000万元，全年预算数5000万元，全年执行数</w:t>
      </w:r>
      <w:r>
        <w:rPr>
          <w:rFonts w:hint="eastAsia" w:ascii="Times New Roman" w:hAnsi="Times New Roman" w:eastAsia="仿宋_GB2312" w:cs="Times New Roman"/>
          <w:b w:val="0"/>
          <w:bCs w:val="0"/>
          <w:kern w:val="2"/>
          <w:sz w:val="32"/>
          <w:szCs w:val="32"/>
          <w:highlight w:val="none"/>
          <w:lang w:val="en-US" w:eastAsia="zh-CN" w:bidi="ar-SA"/>
        </w:rPr>
        <w:t>4999.9983万元</w:t>
      </w:r>
      <w:r>
        <w:rPr>
          <w:rFonts w:hint="eastAsia" w:ascii="仿宋_GB2312" w:hAnsi="仿宋_GB2312" w:eastAsia="仿宋_GB2312" w:cs="仿宋_GB2312"/>
          <w:sz w:val="32"/>
          <w:szCs w:val="32"/>
          <w:highlight w:val="none"/>
          <w:lang w:val="en-US" w:eastAsia="zh-CN"/>
        </w:rPr>
        <w:t>，预算执行率为</w:t>
      </w:r>
      <w:r>
        <w:rPr>
          <w:rFonts w:hint="eastAsia" w:ascii="Times New Roman" w:hAnsi="Times New Roman" w:eastAsia="仿宋_GB2312" w:cs="Times New Roman"/>
          <w:b w:val="0"/>
          <w:bCs w:val="0"/>
          <w:kern w:val="2"/>
          <w:sz w:val="32"/>
          <w:szCs w:val="32"/>
          <w:highlight w:val="none"/>
          <w:lang w:val="en-US" w:eastAsia="zh-CN" w:bidi="ar-SA"/>
        </w:rPr>
        <w:t>99.99</w:t>
      </w:r>
      <w:r>
        <w:rPr>
          <w:rFonts w:ascii="Times New Roman" w:hAnsi="Times New Roman" w:eastAsia="仿宋_GB2312" w:cs="Times New Roman"/>
          <w:b w:val="0"/>
          <w:bCs w:val="0"/>
          <w:kern w:val="2"/>
          <w:sz w:val="32"/>
          <w:szCs w:val="32"/>
          <w:highlight w:val="none"/>
          <w:lang w:val="en-US" w:eastAsia="zh-CN" w:bidi="ar-SA"/>
        </w:rPr>
        <w:t>%</w:t>
      </w:r>
      <w:r>
        <w:rPr>
          <w:rFonts w:hint="eastAsia" w:ascii="仿宋_GB2312" w:hAnsi="仿宋_GB2312" w:eastAsia="仿宋_GB2312" w:cs="仿宋_GB2312"/>
          <w:sz w:val="32"/>
          <w:szCs w:val="32"/>
          <w:highlight w:val="none"/>
          <w:lang w:val="en-US" w:eastAsia="zh-CN"/>
        </w:rPr>
        <w:t>，主要用于</w:t>
      </w:r>
      <w:r>
        <w:rPr>
          <w:rFonts w:ascii="Times New Roman" w:hAnsi="Times New Roman" w:eastAsia="仿宋_GB2312" w:cs="Times New Roman"/>
          <w:b w:val="0"/>
          <w:bCs w:val="0"/>
          <w:kern w:val="2"/>
          <w:sz w:val="32"/>
          <w:szCs w:val="32"/>
          <w:highlight w:val="none"/>
          <w:lang w:val="en-US" w:eastAsia="zh-CN" w:bidi="ar-SA"/>
        </w:rPr>
        <w:t>支付项目实施进程中的各项费用</w:t>
      </w:r>
      <w:r>
        <w:rPr>
          <w:rFonts w:hint="eastAsia" w:ascii="仿宋_GB2312" w:hAnsi="仿宋_GB2312" w:eastAsia="仿宋_GB2312" w:cs="仿宋_GB2312"/>
          <w:sz w:val="32"/>
          <w:szCs w:val="32"/>
          <w:highlight w:val="none"/>
          <w:lang w:val="en-US" w:eastAsia="zh-CN"/>
        </w:rPr>
        <w:t>。</w:t>
      </w:r>
    </w:p>
    <w:p w14:paraId="01F669B5">
      <w:pPr>
        <w:spacing w:line="600" w:lineRule="exact"/>
        <w:ind w:firstLine="643" w:firstLineChars="200"/>
        <w:rPr>
          <w:rFonts w:eastAsia="楷体_GB2312"/>
          <w:b/>
          <w:bCs/>
          <w:sz w:val="32"/>
          <w:szCs w:val="32"/>
        </w:rPr>
      </w:pPr>
      <w:r>
        <w:rPr>
          <w:rFonts w:eastAsia="楷体_GB2312"/>
          <w:b/>
          <w:bCs/>
          <w:sz w:val="32"/>
          <w:szCs w:val="32"/>
        </w:rPr>
        <w:t>（二）项目绩效目标</w:t>
      </w:r>
    </w:p>
    <w:p w14:paraId="3D39AF48">
      <w:pPr>
        <w:spacing w:line="600" w:lineRule="exact"/>
        <w:ind w:firstLine="640" w:firstLineChars="200"/>
        <w:rPr>
          <w:rFonts w:eastAsia="仿宋_GB2312"/>
          <w:sz w:val="32"/>
          <w:szCs w:val="32"/>
        </w:rPr>
      </w:pPr>
      <w:r>
        <w:rPr>
          <w:rFonts w:eastAsia="仿宋_GB2312"/>
          <w:sz w:val="32"/>
          <w:szCs w:val="32"/>
        </w:rPr>
        <w:t>1</w:t>
      </w:r>
      <w:r>
        <w:rPr>
          <w:rFonts w:hint="eastAsia" w:eastAsia="仿宋_GB2312"/>
          <w:sz w:val="32"/>
          <w:szCs w:val="32"/>
          <w:lang w:val="en-US" w:eastAsia="zh-CN"/>
        </w:rPr>
        <w:t>.</w:t>
      </w:r>
      <w:r>
        <w:rPr>
          <w:rFonts w:eastAsia="仿宋_GB2312"/>
          <w:sz w:val="32"/>
          <w:szCs w:val="32"/>
        </w:rPr>
        <w:t>总体目标</w:t>
      </w:r>
    </w:p>
    <w:p w14:paraId="6C55A0F4">
      <w:pPr>
        <w:spacing w:after="0" w:line="560" w:lineRule="exact"/>
        <w:ind w:left="0" w:leftChars="0" w:firstLine="0" w:firstLineChars="0"/>
        <w:jc w:val="center"/>
        <w:rPr>
          <w:rFonts w:hint="eastAsia" w:ascii="方正小标宋_GBK" w:hAnsi="方正小标宋_GBK" w:eastAsia="方正小标宋_GBK" w:cs="方正小标宋_GBK"/>
          <w:b w:val="0"/>
          <w:bCs w:val="0"/>
          <w:i w:val="0"/>
          <w:iCs w:val="0"/>
          <w:color w:val="auto"/>
          <w:kern w:val="0"/>
          <w:sz w:val="32"/>
          <w:szCs w:val="32"/>
          <w:highlight w:val="none"/>
          <w:u w:val="none"/>
          <w:lang w:val="en-US" w:eastAsia="zh-CN" w:bidi="ar"/>
        </w:rPr>
      </w:pPr>
      <w:r>
        <w:rPr>
          <w:rFonts w:hint="eastAsia" w:ascii="方正小标宋_GBK" w:hAnsi="方正小标宋_GBK" w:eastAsia="方正小标宋_GBK" w:cs="方正小标宋_GBK"/>
          <w:b w:val="0"/>
          <w:bCs w:val="0"/>
          <w:i w:val="0"/>
          <w:iCs w:val="0"/>
          <w:color w:val="auto"/>
          <w:kern w:val="0"/>
          <w:sz w:val="32"/>
          <w:szCs w:val="32"/>
          <w:highlight w:val="none"/>
          <w:u w:val="none"/>
          <w:lang w:val="en-US" w:eastAsia="zh-CN" w:bidi="ar"/>
        </w:rPr>
        <w:t>项目支出绩效目标表</w:t>
      </w:r>
    </w:p>
    <w:p w14:paraId="51DA1CCC">
      <w:pPr>
        <w:pStyle w:val="53"/>
        <w:ind w:left="0" w:leftChars="0" w:firstLine="0" w:firstLineChars="0"/>
        <w:jc w:val="center"/>
        <w:rPr>
          <w:rFonts w:hint="eastAsia"/>
          <w:lang w:val="en-US" w:eastAsia="zh-CN"/>
        </w:rPr>
      </w:pPr>
      <w:r>
        <w:rPr>
          <w:rFonts w:hint="eastAsia"/>
          <w:lang w:val="en-US" w:eastAsia="zh-CN"/>
        </w:rPr>
        <w:t>（2023年度）</w:t>
      </w:r>
    </w:p>
    <w:tbl>
      <w:tblPr>
        <w:tblStyle w:val="21"/>
        <w:tblW w:w="499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22"/>
        <w:gridCol w:w="990"/>
        <w:gridCol w:w="1109"/>
        <w:gridCol w:w="2229"/>
        <w:gridCol w:w="1954"/>
        <w:gridCol w:w="1155"/>
      </w:tblGrid>
      <w:tr w14:paraId="3934A2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2" w:hRule="atLeast"/>
          <w:jc w:val="center"/>
        </w:trPr>
        <w:tc>
          <w:tcPr>
            <w:tcW w:w="755" w:type="pct"/>
            <w:noWrap w:val="0"/>
            <w:vAlign w:val="center"/>
          </w:tcPr>
          <w:p w14:paraId="04AE1994">
            <w:pPr>
              <w:widowControl/>
              <w:spacing w:line="240" w:lineRule="auto"/>
              <w:ind w:firstLine="0" w:firstLineChars="0"/>
              <w:jc w:val="center"/>
              <w:rPr>
                <w:rFonts w:hint="default" w:ascii="宋体" w:hAnsi="宋体" w:eastAsia="宋体" w:cs="宋体"/>
                <w:color w:val="auto"/>
                <w:kern w:val="0"/>
                <w:sz w:val="20"/>
                <w:szCs w:val="20"/>
                <w:highlight w:val="none"/>
                <w:lang w:val="en-US" w:eastAsia="zh-CN"/>
              </w:rPr>
            </w:pPr>
            <w:r>
              <w:rPr>
                <w:rFonts w:hint="eastAsia" w:ascii="宋体" w:hAnsi="宋体" w:eastAsia="宋体" w:cs="宋体"/>
                <w:color w:val="auto"/>
                <w:kern w:val="0"/>
                <w:sz w:val="20"/>
                <w:szCs w:val="20"/>
                <w:highlight w:val="none"/>
                <w:lang w:val="en-US" w:eastAsia="zh-CN"/>
              </w:rPr>
              <w:t>专项名称</w:t>
            </w:r>
          </w:p>
        </w:tc>
        <w:tc>
          <w:tcPr>
            <w:tcW w:w="4244" w:type="pct"/>
            <w:gridSpan w:val="5"/>
            <w:noWrap w:val="0"/>
            <w:vAlign w:val="center"/>
          </w:tcPr>
          <w:p w14:paraId="6F71E396">
            <w:pPr>
              <w:widowControl/>
              <w:spacing w:line="240" w:lineRule="auto"/>
              <w:ind w:firstLine="0" w:firstLineChars="0"/>
              <w:jc w:val="center"/>
              <w:rPr>
                <w:rFonts w:hint="default" w:ascii="宋体" w:hAnsi="宋体" w:eastAsia="宋体" w:cs="宋体"/>
                <w:color w:val="auto"/>
                <w:kern w:val="0"/>
                <w:sz w:val="20"/>
                <w:szCs w:val="20"/>
                <w:highlight w:val="none"/>
                <w:lang w:val="en-US" w:eastAsia="zh-CN"/>
              </w:rPr>
            </w:pPr>
            <w:r>
              <w:rPr>
                <w:rFonts w:hint="eastAsia" w:ascii="宋体" w:hAnsi="宋体" w:eastAsia="宋体" w:cs="宋体"/>
                <w:color w:val="auto"/>
                <w:kern w:val="0"/>
                <w:sz w:val="20"/>
                <w:szCs w:val="20"/>
                <w:highlight w:val="none"/>
                <w:lang w:val="en-US" w:eastAsia="zh-CN"/>
              </w:rPr>
              <w:t>自治区中小企业发展专项资金（自治区本级）</w:t>
            </w:r>
          </w:p>
        </w:tc>
      </w:tr>
      <w:tr w14:paraId="5E55DE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755" w:type="pct"/>
            <w:noWrap w:val="0"/>
            <w:vAlign w:val="center"/>
          </w:tcPr>
          <w:p w14:paraId="78DB323D">
            <w:pPr>
              <w:widowControl/>
              <w:spacing w:line="240" w:lineRule="auto"/>
              <w:ind w:firstLine="0" w:firstLineChars="0"/>
              <w:jc w:val="center"/>
              <w:rPr>
                <w:rFonts w:hint="default" w:ascii="宋体" w:hAnsi="宋体" w:eastAsia="宋体" w:cs="宋体"/>
                <w:color w:val="auto"/>
                <w:kern w:val="0"/>
                <w:sz w:val="20"/>
                <w:szCs w:val="20"/>
                <w:highlight w:val="none"/>
                <w:lang w:val="en-US" w:eastAsia="zh-CN"/>
              </w:rPr>
            </w:pPr>
            <w:r>
              <w:rPr>
                <w:rFonts w:hint="eastAsia" w:ascii="宋体" w:hAnsi="宋体" w:eastAsia="宋体" w:cs="宋体"/>
                <w:color w:val="auto"/>
                <w:kern w:val="0"/>
                <w:sz w:val="20"/>
                <w:szCs w:val="20"/>
                <w:highlight w:val="none"/>
                <w:lang w:val="en-US" w:eastAsia="zh-CN"/>
              </w:rPr>
              <w:t>省级财政部门</w:t>
            </w:r>
          </w:p>
        </w:tc>
        <w:tc>
          <w:tcPr>
            <w:tcW w:w="1198" w:type="pct"/>
            <w:gridSpan w:val="2"/>
            <w:noWrap w:val="0"/>
            <w:vAlign w:val="center"/>
          </w:tcPr>
          <w:p w14:paraId="1B757A51">
            <w:pPr>
              <w:widowControl/>
              <w:spacing w:line="240" w:lineRule="auto"/>
              <w:ind w:firstLine="0" w:firstLineChars="0"/>
              <w:jc w:val="center"/>
              <w:rPr>
                <w:rFonts w:hint="default" w:ascii="宋体" w:hAnsi="宋体" w:eastAsia="宋体" w:cs="宋体"/>
                <w:color w:val="auto"/>
                <w:kern w:val="0"/>
                <w:sz w:val="20"/>
                <w:szCs w:val="20"/>
                <w:highlight w:val="none"/>
                <w:lang w:val="en-US" w:eastAsia="zh-CN"/>
              </w:rPr>
            </w:pPr>
            <w:r>
              <w:rPr>
                <w:rFonts w:hint="eastAsia" w:ascii="宋体" w:hAnsi="宋体" w:eastAsia="宋体" w:cs="宋体"/>
                <w:color w:val="auto"/>
                <w:kern w:val="0"/>
                <w:sz w:val="20"/>
                <w:szCs w:val="20"/>
                <w:highlight w:val="none"/>
                <w:lang w:val="en-US" w:eastAsia="zh-CN"/>
              </w:rPr>
              <w:t>新疆维吾尔自治区财政厅</w:t>
            </w:r>
          </w:p>
        </w:tc>
        <w:tc>
          <w:tcPr>
            <w:tcW w:w="1272" w:type="pct"/>
            <w:noWrap w:val="0"/>
            <w:vAlign w:val="center"/>
          </w:tcPr>
          <w:p w14:paraId="31B240B1">
            <w:pPr>
              <w:widowControl/>
              <w:spacing w:line="240" w:lineRule="auto"/>
              <w:ind w:firstLine="0" w:firstLineChars="0"/>
              <w:jc w:val="center"/>
              <w:rPr>
                <w:rFonts w:hint="eastAsia" w:ascii="宋体" w:hAnsi="宋体" w:eastAsia="宋体" w:cs="宋体"/>
                <w:color w:val="auto"/>
                <w:kern w:val="0"/>
                <w:sz w:val="20"/>
                <w:szCs w:val="20"/>
                <w:highlight w:val="none"/>
                <w:lang w:val="en-US" w:eastAsia="zh-CN"/>
              </w:rPr>
            </w:pPr>
            <w:r>
              <w:rPr>
                <w:rFonts w:hint="eastAsia" w:ascii="宋体" w:hAnsi="宋体" w:eastAsia="宋体" w:cs="宋体"/>
                <w:color w:val="auto"/>
                <w:kern w:val="0"/>
                <w:sz w:val="20"/>
                <w:szCs w:val="20"/>
                <w:highlight w:val="none"/>
                <w:lang w:val="en-US" w:eastAsia="zh-CN"/>
              </w:rPr>
              <w:t>省级主管部门</w:t>
            </w:r>
          </w:p>
        </w:tc>
        <w:tc>
          <w:tcPr>
            <w:tcW w:w="1774" w:type="pct"/>
            <w:gridSpan w:val="2"/>
            <w:noWrap w:val="0"/>
            <w:vAlign w:val="center"/>
          </w:tcPr>
          <w:p w14:paraId="26DDFEBE">
            <w:pPr>
              <w:widowControl/>
              <w:spacing w:line="240" w:lineRule="auto"/>
              <w:ind w:firstLine="0" w:firstLineChars="0"/>
              <w:jc w:val="center"/>
              <w:rPr>
                <w:rFonts w:hint="default" w:ascii="宋体" w:hAnsi="宋体" w:eastAsia="宋体" w:cs="宋体"/>
                <w:color w:val="auto"/>
                <w:kern w:val="0"/>
                <w:sz w:val="20"/>
                <w:szCs w:val="20"/>
                <w:highlight w:val="none"/>
                <w:lang w:val="en-US" w:eastAsia="zh-CN"/>
              </w:rPr>
            </w:pPr>
            <w:r>
              <w:rPr>
                <w:rFonts w:hint="eastAsia" w:ascii="宋体" w:hAnsi="宋体" w:eastAsia="宋体" w:cs="宋体"/>
                <w:color w:val="auto"/>
                <w:kern w:val="0"/>
                <w:sz w:val="20"/>
                <w:szCs w:val="20"/>
                <w:highlight w:val="none"/>
                <w:lang w:val="en-US" w:eastAsia="zh-CN"/>
              </w:rPr>
              <w:t>新疆维吾尔自治区工业和信息化厅</w:t>
            </w:r>
          </w:p>
        </w:tc>
      </w:tr>
      <w:tr w14:paraId="2C9EC8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1" w:hRule="atLeast"/>
          <w:jc w:val="center"/>
        </w:trPr>
        <w:tc>
          <w:tcPr>
            <w:tcW w:w="755" w:type="pct"/>
            <w:vMerge w:val="restart"/>
            <w:noWrap w:val="0"/>
            <w:vAlign w:val="center"/>
          </w:tcPr>
          <w:p w14:paraId="2101DEE7">
            <w:pPr>
              <w:widowControl/>
              <w:spacing w:line="240" w:lineRule="auto"/>
              <w:ind w:firstLine="0" w:firstLineChars="0"/>
              <w:jc w:val="center"/>
              <w:rPr>
                <w:rFonts w:hint="eastAsia" w:ascii="宋体" w:hAnsi="宋体" w:eastAsia="宋体" w:cs="宋体"/>
                <w:color w:val="auto"/>
                <w:kern w:val="0"/>
                <w:sz w:val="20"/>
                <w:szCs w:val="20"/>
                <w:highlight w:val="none"/>
                <w:lang w:val="en-US" w:eastAsia="zh-CN"/>
              </w:rPr>
            </w:pPr>
            <w:r>
              <w:rPr>
                <w:rFonts w:hint="eastAsia" w:ascii="宋体" w:hAnsi="宋体" w:eastAsia="宋体" w:cs="宋体"/>
                <w:color w:val="auto"/>
                <w:kern w:val="0"/>
                <w:sz w:val="20"/>
                <w:szCs w:val="20"/>
                <w:highlight w:val="none"/>
                <w:lang w:val="en-US" w:eastAsia="zh-CN"/>
              </w:rPr>
              <w:t>资金情况</w:t>
            </w:r>
          </w:p>
          <w:p w14:paraId="7D392CE2">
            <w:pPr>
              <w:widowControl/>
              <w:spacing w:line="240" w:lineRule="auto"/>
              <w:ind w:firstLine="0" w:firstLineChars="0"/>
              <w:jc w:val="center"/>
              <w:rPr>
                <w:rFonts w:hint="default" w:ascii="宋体" w:hAnsi="宋体" w:eastAsia="宋体" w:cs="宋体"/>
                <w:color w:val="auto"/>
                <w:kern w:val="0"/>
                <w:sz w:val="20"/>
                <w:szCs w:val="20"/>
                <w:highlight w:val="none"/>
                <w:lang w:val="en-US" w:eastAsia="zh-CN"/>
              </w:rPr>
            </w:pPr>
            <w:r>
              <w:rPr>
                <w:rFonts w:hint="eastAsia" w:ascii="宋体" w:hAnsi="宋体" w:eastAsia="宋体" w:cs="宋体"/>
                <w:color w:val="auto"/>
                <w:kern w:val="0"/>
                <w:sz w:val="20"/>
                <w:szCs w:val="20"/>
                <w:highlight w:val="none"/>
                <w:lang w:val="en-US" w:eastAsia="zh-CN"/>
              </w:rPr>
              <w:t>（万元）</w:t>
            </w:r>
          </w:p>
        </w:tc>
        <w:tc>
          <w:tcPr>
            <w:tcW w:w="1198" w:type="pct"/>
            <w:gridSpan w:val="2"/>
            <w:noWrap w:val="0"/>
            <w:vAlign w:val="center"/>
          </w:tcPr>
          <w:p w14:paraId="4FAACE45">
            <w:pPr>
              <w:widowControl/>
              <w:spacing w:line="240" w:lineRule="auto"/>
              <w:ind w:firstLine="0" w:firstLineChars="0"/>
              <w:jc w:val="center"/>
              <w:rPr>
                <w:rFonts w:hint="default" w:ascii="宋体" w:hAnsi="宋体" w:eastAsia="宋体" w:cs="宋体"/>
                <w:color w:val="auto"/>
                <w:kern w:val="0"/>
                <w:sz w:val="20"/>
                <w:szCs w:val="20"/>
                <w:highlight w:val="none"/>
                <w:lang w:val="en-US" w:eastAsia="zh-CN"/>
              </w:rPr>
            </w:pPr>
            <w:r>
              <w:rPr>
                <w:rFonts w:hint="eastAsia" w:ascii="宋体" w:hAnsi="宋体" w:eastAsia="宋体" w:cs="宋体"/>
                <w:color w:val="auto"/>
                <w:kern w:val="0"/>
                <w:sz w:val="20"/>
                <w:szCs w:val="20"/>
                <w:highlight w:val="none"/>
                <w:lang w:val="en-US" w:eastAsia="zh-CN"/>
              </w:rPr>
              <w:t>年度金额：</w:t>
            </w:r>
          </w:p>
        </w:tc>
        <w:tc>
          <w:tcPr>
            <w:tcW w:w="3046" w:type="pct"/>
            <w:gridSpan w:val="3"/>
            <w:noWrap w:val="0"/>
            <w:vAlign w:val="center"/>
          </w:tcPr>
          <w:p w14:paraId="59F8077F">
            <w:pPr>
              <w:widowControl/>
              <w:spacing w:line="240" w:lineRule="auto"/>
              <w:ind w:firstLine="0" w:firstLineChars="0"/>
              <w:jc w:val="center"/>
              <w:rPr>
                <w:rFonts w:hint="default" w:ascii="宋体" w:hAnsi="宋体" w:eastAsia="宋体" w:cs="宋体"/>
                <w:color w:val="auto"/>
                <w:kern w:val="0"/>
                <w:sz w:val="20"/>
                <w:szCs w:val="20"/>
                <w:highlight w:val="none"/>
                <w:lang w:val="en-US" w:eastAsia="zh-CN"/>
              </w:rPr>
            </w:pPr>
            <w:r>
              <w:rPr>
                <w:rFonts w:hint="eastAsia" w:ascii="宋体" w:hAnsi="宋体" w:eastAsia="宋体" w:cs="宋体"/>
                <w:color w:val="auto"/>
                <w:kern w:val="0"/>
                <w:sz w:val="20"/>
                <w:szCs w:val="20"/>
                <w:highlight w:val="none"/>
                <w:lang w:val="en-US" w:eastAsia="zh-CN"/>
              </w:rPr>
              <w:t>5000</w:t>
            </w:r>
          </w:p>
        </w:tc>
      </w:tr>
      <w:tr w14:paraId="54BD7A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jc w:val="center"/>
        </w:trPr>
        <w:tc>
          <w:tcPr>
            <w:tcW w:w="755" w:type="pct"/>
            <w:vMerge w:val="continue"/>
            <w:noWrap w:val="0"/>
            <w:vAlign w:val="center"/>
          </w:tcPr>
          <w:p w14:paraId="209D0278">
            <w:pPr>
              <w:widowControl/>
              <w:spacing w:line="240" w:lineRule="auto"/>
              <w:ind w:firstLine="0" w:firstLineChars="0"/>
              <w:jc w:val="center"/>
              <w:rPr>
                <w:rFonts w:hint="eastAsia" w:ascii="宋体" w:hAnsi="宋体" w:eastAsia="宋体" w:cs="宋体"/>
                <w:color w:val="auto"/>
                <w:kern w:val="0"/>
                <w:sz w:val="20"/>
                <w:szCs w:val="20"/>
                <w:highlight w:val="none"/>
                <w:lang w:val="en-US" w:eastAsia="zh-CN"/>
              </w:rPr>
            </w:pPr>
          </w:p>
        </w:tc>
        <w:tc>
          <w:tcPr>
            <w:tcW w:w="1198" w:type="pct"/>
            <w:gridSpan w:val="2"/>
            <w:noWrap w:val="0"/>
            <w:vAlign w:val="center"/>
          </w:tcPr>
          <w:p w14:paraId="3183C608">
            <w:pPr>
              <w:widowControl/>
              <w:spacing w:line="240" w:lineRule="auto"/>
              <w:ind w:firstLine="0" w:firstLineChars="0"/>
              <w:jc w:val="center"/>
              <w:rPr>
                <w:rFonts w:hint="default" w:ascii="宋体" w:hAnsi="宋体" w:eastAsia="宋体" w:cs="宋体"/>
                <w:color w:val="auto"/>
                <w:kern w:val="0"/>
                <w:sz w:val="20"/>
                <w:szCs w:val="20"/>
                <w:highlight w:val="none"/>
                <w:lang w:val="en-US" w:eastAsia="zh-CN"/>
              </w:rPr>
            </w:pPr>
            <w:r>
              <w:rPr>
                <w:rFonts w:hint="eastAsia" w:ascii="宋体" w:hAnsi="宋体" w:eastAsia="宋体" w:cs="宋体"/>
                <w:color w:val="auto"/>
                <w:kern w:val="0"/>
                <w:sz w:val="20"/>
                <w:szCs w:val="20"/>
                <w:highlight w:val="none"/>
                <w:lang w:val="en-US" w:eastAsia="zh-CN"/>
              </w:rPr>
              <w:t>其中：中央补助</w:t>
            </w:r>
          </w:p>
        </w:tc>
        <w:tc>
          <w:tcPr>
            <w:tcW w:w="3046" w:type="pct"/>
            <w:gridSpan w:val="3"/>
            <w:noWrap w:val="0"/>
            <w:vAlign w:val="center"/>
          </w:tcPr>
          <w:p w14:paraId="210BA215">
            <w:pPr>
              <w:widowControl/>
              <w:spacing w:line="240" w:lineRule="auto"/>
              <w:ind w:firstLine="0" w:firstLineChars="0"/>
              <w:jc w:val="center"/>
              <w:rPr>
                <w:rFonts w:hint="default" w:ascii="宋体" w:hAnsi="宋体" w:eastAsia="宋体" w:cs="宋体"/>
                <w:color w:val="auto"/>
                <w:kern w:val="0"/>
                <w:sz w:val="20"/>
                <w:szCs w:val="20"/>
                <w:highlight w:val="none"/>
                <w:lang w:val="en-US" w:eastAsia="zh-CN"/>
              </w:rPr>
            </w:pPr>
          </w:p>
        </w:tc>
      </w:tr>
      <w:tr w14:paraId="07A23B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2" w:hRule="atLeast"/>
          <w:jc w:val="center"/>
        </w:trPr>
        <w:tc>
          <w:tcPr>
            <w:tcW w:w="755" w:type="pct"/>
            <w:vMerge w:val="continue"/>
            <w:noWrap w:val="0"/>
            <w:vAlign w:val="center"/>
          </w:tcPr>
          <w:p w14:paraId="63FB0470">
            <w:pPr>
              <w:widowControl/>
              <w:spacing w:line="240" w:lineRule="auto"/>
              <w:ind w:firstLine="0" w:firstLineChars="0"/>
              <w:jc w:val="center"/>
              <w:rPr>
                <w:rFonts w:hint="default" w:ascii="宋体" w:hAnsi="宋体" w:eastAsia="宋体" w:cs="宋体"/>
                <w:color w:val="auto"/>
                <w:kern w:val="0"/>
                <w:sz w:val="20"/>
                <w:szCs w:val="20"/>
                <w:highlight w:val="none"/>
                <w:lang w:val="en-US" w:eastAsia="zh-CN"/>
              </w:rPr>
            </w:pPr>
          </w:p>
        </w:tc>
        <w:tc>
          <w:tcPr>
            <w:tcW w:w="1198" w:type="pct"/>
            <w:gridSpan w:val="2"/>
            <w:noWrap w:val="0"/>
            <w:vAlign w:val="center"/>
          </w:tcPr>
          <w:p w14:paraId="742C7F77">
            <w:pPr>
              <w:widowControl/>
              <w:spacing w:line="240" w:lineRule="auto"/>
              <w:ind w:firstLine="0" w:firstLineChars="0"/>
              <w:jc w:val="center"/>
              <w:rPr>
                <w:rFonts w:hint="default" w:ascii="宋体" w:hAnsi="宋体" w:eastAsia="宋体" w:cs="宋体"/>
                <w:color w:val="auto"/>
                <w:kern w:val="0"/>
                <w:sz w:val="20"/>
                <w:szCs w:val="20"/>
                <w:highlight w:val="none"/>
                <w:lang w:val="en-US" w:eastAsia="zh-CN"/>
              </w:rPr>
            </w:pPr>
            <w:r>
              <w:rPr>
                <w:rFonts w:hint="eastAsia" w:ascii="宋体" w:hAnsi="宋体" w:eastAsia="宋体" w:cs="宋体"/>
                <w:color w:val="auto"/>
                <w:kern w:val="0"/>
                <w:sz w:val="20"/>
                <w:szCs w:val="20"/>
                <w:highlight w:val="none"/>
                <w:lang w:val="en-US" w:eastAsia="zh-CN"/>
              </w:rPr>
              <w:t>地方资金</w:t>
            </w:r>
          </w:p>
        </w:tc>
        <w:tc>
          <w:tcPr>
            <w:tcW w:w="3046" w:type="pct"/>
            <w:gridSpan w:val="3"/>
            <w:noWrap w:val="0"/>
            <w:vAlign w:val="center"/>
          </w:tcPr>
          <w:p w14:paraId="7A14BB94">
            <w:pPr>
              <w:widowControl/>
              <w:spacing w:line="240" w:lineRule="auto"/>
              <w:ind w:firstLine="0" w:firstLineChars="0"/>
              <w:jc w:val="center"/>
              <w:rPr>
                <w:rFonts w:hint="default" w:ascii="宋体" w:hAnsi="宋体" w:eastAsia="宋体" w:cs="宋体"/>
                <w:color w:val="auto"/>
                <w:kern w:val="0"/>
                <w:sz w:val="20"/>
                <w:szCs w:val="20"/>
                <w:highlight w:val="none"/>
                <w:lang w:val="en-US" w:eastAsia="zh-CN"/>
              </w:rPr>
            </w:pPr>
            <w:r>
              <w:rPr>
                <w:rFonts w:hint="eastAsia" w:ascii="宋体" w:hAnsi="宋体" w:eastAsia="宋体" w:cs="宋体"/>
                <w:color w:val="auto"/>
                <w:kern w:val="0"/>
                <w:sz w:val="20"/>
                <w:szCs w:val="20"/>
                <w:highlight w:val="none"/>
                <w:lang w:val="en-US" w:eastAsia="zh-CN"/>
              </w:rPr>
              <w:t>5000</w:t>
            </w:r>
          </w:p>
        </w:tc>
      </w:tr>
      <w:tr w14:paraId="1EF081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83" w:hRule="atLeast"/>
          <w:jc w:val="center"/>
        </w:trPr>
        <w:tc>
          <w:tcPr>
            <w:tcW w:w="755" w:type="pct"/>
            <w:noWrap w:val="0"/>
            <w:vAlign w:val="center"/>
          </w:tcPr>
          <w:p w14:paraId="59CE5F7B">
            <w:pPr>
              <w:widowControl/>
              <w:spacing w:line="240" w:lineRule="auto"/>
              <w:ind w:firstLine="0" w:firstLineChars="0"/>
              <w:jc w:val="center"/>
              <w:rPr>
                <w:rFonts w:hint="eastAsia"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lang w:val="en-US" w:eastAsia="zh-CN"/>
              </w:rPr>
              <w:t>年度</w:t>
            </w:r>
            <w:r>
              <w:rPr>
                <w:rFonts w:hint="eastAsia" w:ascii="宋体" w:hAnsi="宋体" w:eastAsia="宋体" w:cs="宋体"/>
                <w:color w:val="auto"/>
                <w:kern w:val="0"/>
                <w:sz w:val="20"/>
                <w:szCs w:val="20"/>
                <w:highlight w:val="none"/>
              </w:rPr>
              <w:t>总体目标</w:t>
            </w:r>
          </w:p>
        </w:tc>
        <w:tc>
          <w:tcPr>
            <w:tcW w:w="4244" w:type="pct"/>
            <w:gridSpan w:val="5"/>
            <w:noWrap w:val="0"/>
            <w:vAlign w:val="center"/>
          </w:tcPr>
          <w:p w14:paraId="2A63B33E">
            <w:pPr>
              <w:widowControl/>
              <w:spacing w:line="240" w:lineRule="auto"/>
              <w:ind w:firstLine="0" w:firstLineChars="0"/>
              <w:jc w:val="left"/>
              <w:rPr>
                <w:rFonts w:hint="eastAsia" w:ascii="宋体" w:hAnsi="宋体" w:eastAsia="宋体" w:cs="宋体"/>
                <w:color w:val="auto"/>
                <w:kern w:val="0"/>
                <w:sz w:val="20"/>
                <w:szCs w:val="20"/>
                <w:highlight w:val="none"/>
                <w:lang w:eastAsia="zh-CN"/>
              </w:rPr>
            </w:pPr>
            <w:r>
              <w:rPr>
                <w:rFonts w:hint="eastAsia" w:ascii="宋体" w:hAnsi="宋体" w:eastAsia="宋体" w:cs="宋体"/>
                <w:color w:val="auto"/>
                <w:kern w:val="0"/>
                <w:sz w:val="20"/>
                <w:szCs w:val="20"/>
                <w:highlight w:val="none"/>
                <w:lang w:eastAsia="zh-CN"/>
              </w:rPr>
              <w:t>加强自治区优质中小企业梯度培育，加大专精特新中小企业支持力度，推动中小企业</w:t>
            </w:r>
            <w:r>
              <w:rPr>
                <w:rFonts w:hint="eastAsia" w:ascii="宋体" w:hAnsi="宋体" w:eastAsia="宋体" w:cs="宋体"/>
                <w:color w:val="auto"/>
                <w:kern w:val="0"/>
                <w:sz w:val="20"/>
                <w:szCs w:val="20"/>
                <w:highlight w:val="none"/>
                <w:lang w:val="en-US" w:eastAsia="zh-CN"/>
              </w:rPr>
              <w:t>数</w:t>
            </w:r>
            <w:r>
              <w:rPr>
                <w:rFonts w:hint="eastAsia" w:ascii="宋体" w:hAnsi="宋体" w:eastAsia="宋体" w:cs="宋体"/>
                <w:color w:val="auto"/>
                <w:kern w:val="0"/>
                <w:sz w:val="20"/>
                <w:szCs w:val="20"/>
                <w:highlight w:val="none"/>
                <w:lang w:eastAsia="zh-CN"/>
              </w:rPr>
              <w:t>字化转型，提升企业创新能力，促进企业高质量发展；引导服务机构加大对</w:t>
            </w:r>
            <w:r>
              <w:rPr>
                <w:rFonts w:hint="eastAsia" w:ascii="宋体" w:hAnsi="宋体" w:eastAsia="宋体" w:cs="宋体"/>
                <w:color w:val="auto"/>
                <w:kern w:val="0"/>
                <w:sz w:val="20"/>
                <w:szCs w:val="20"/>
                <w:highlight w:val="none"/>
                <w:lang w:val="en-US" w:eastAsia="zh-CN"/>
              </w:rPr>
              <w:t>企</w:t>
            </w:r>
            <w:r>
              <w:rPr>
                <w:rFonts w:hint="eastAsia" w:ascii="宋体" w:hAnsi="宋体" w:eastAsia="宋体" w:cs="宋体"/>
                <w:color w:val="auto"/>
                <w:kern w:val="0"/>
                <w:sz w:val="20"/>
                <w:szCs w:val="20"/>
                <w:highlight w:val="none"/>
                <w:lang w:eastAsia="zh-CN"/>
              </w:rPr>
              <w:t>业的创新服务力度，组织企业和创客参加“创客中国”中小企业创业创新大赛，提高企业创业创新能力；组织企业参加第十八届中博会、第十二届APEC技展会，促</w:t>
            </w:r>
            <w:r>
              <w:rPr>
                <w:rFonts w:hint="eastAsia" w:ascii="宋体" w:hAnsi="宋体" w:eastAsia="宋体" w:cs="宋体"/>
                <w:color w:val="auto"/>
                <w:kern w:val="0"/>
                <w:sz w:val="20"/>
                <w:szCs w:val="20"/>
                <w:highlight w:val="none"/>
                <w:lang w:val="en-US" w:eastAsia="zh-CN"/>
              </w:rPr>
              <w:t>进</w:t>
            </w:r>
            <w:r>
              <w:rPr>
                <w:rFonts w:hint="eastAsia" w:ascii="宋体" w:hAnsi="宋体" w:eastAsia="宋体" w:cs="宋体"/>
                <w:color w:val="auto"/>
                <w:kern w:val="0"/>
                <w:sz w:val="20"/>
                <w:szCs w:val="20"/>
                <w:highlight w:val="none"/>
                <w:lang w:eastAsia="zh-CN"/>
              </w:rPr>
              <w:t>企业对外交流合作；对自治区中小企业发展现状进行研究分析，优化企业发展环境；加强中小企业运行监测，掌握企业运行情况，促进企业发展；对专项资金使用</w:t>
            </w:r>
            <w:r>
              <w:rPr>
                <w:rFonts w:hint="eastAsia" w:ascii="宋体" w:hAnsi="宋体" w:eastAsia="宋体" w:cs="宋体"/>
                <w:color w:val="auto"/>
                <w:kern w:val="0"/>
                <w:sz w:val="20"/>
                <w:szCs w:val="20"/>
                <w:highlight w:val="none"/>
                <w:lang w:val="en-US" w:eastAsia="zh-CN"/>
              </w:rPr>
              <w:t>效</w:t>
            </w:r>
            <w:r>
              <w:rPr>
                <w:rFonts w:hint="eastAsia" w:ascii="宋体" w:hAnsi="宋体" w:eastAsia="宋体" w:cs="宋体"/>
                <w:color w:val="auto"/>
                <w:kern w:val="0"/>
                <w:sz w:val="20"/>
                <w:szCs w:val="20"/>
                <w:highlight w:val="none"/>
                <w:lang w:eastAsia="zh-CN"/>
              </w:rPr>
              <w:t>果进行评估，提高资金使用监控力度</w:t>
            </w:r>
            <w:r>
              <w:rPr>
                <w:rFonts w:hint="eastAsia" w:ascii="宋体" w:hAnsi="宋体" w:cs="宋体"/>
                <w:color w:val="auto"/>
                <w:kern w:val="0"/>
                <w:sz w:val="20"/>
                <w:szCs w:val="20"/>
                <w:highlight w:val="none"/>
                <w:lang w:eastAsia="zh-CN"/>
              </w:rPr>
              <w:t>；</w:t>
            </w:r>
            <w:r>
              <w:rPr>
                <w:rFonts w:hint="eastAsia" w:ascii="宋体" w:hAnsi="宋体" w:eastAsia="宋体" w:cs="宋体"/>
                <w:color w:val="auto"/>
                <w:kern w:val="0"/>
                <w:sz w:val="20"/>
                <w:szCs w:val="20"/>
                <w:highlight w:val="none"/>
                <w:lang w:eastAsia="zh-CN"/>
              </w:rPr>
              <w:t>保障新疆中小企业公共服务平台有效运行，丰富服务手段，强化服务功能，提升服务水平，为中小企业提供特色化、精准化</w:t>
            </w:r>
            <w:r>
              <w:rPr>
                <w:rFonts w:hint="eastAsia" w:ascii="宋体" w:hAnsi="宋体" w:eastAsia="宋体" w:cs="宋体"/>
                <w:color w:val="auto"/>
                <w:kern w:val="0"/>
                <w:sz w:val="20"/>
                <w:szCs w:val="20"/>
                <w:highlight w:val="none"/>
                <w:lang w:val="en-US" w:eastAsia="zh-CN"/>
              </w:rPr>
              <w:t>服</w:t>
            </w:r>
            <w:r>
              <w:rPr>
                <w:rFonts w:hint="eastAsia" w:ascii="宋体" w:hAnsi="宋体" w:eastAsia="宋体" w:cs="宋体"/>
                <w:color w:val="auto"/>
                <w:kern w:val="0"/>
                <w:sz w:val="20"/>
                <w:szCs w:val="20"/>
                <w:highlight w:val="none"/>
                <w:lang w:eastAsia="zh-CN"/>
              </w:rPr>
              <w:t>务，提高服务效率。</w:t>
            </w:r>
          </w:p>
        </w:tc>
      </w:tr>
      <w:tr w14:paraId="076284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jc w:val="center"/>
        </w:trPr>
        <w:tc>
          <w:tcPr>
            <w:tcW w:w="755" w:type="pct"/>
            <w:vMerge w:val="restart"/>
            <w:noWrap w:val="0"/>
            <w:vAlign w:val="center"/>
          </w:tcPr>
          <w:p w14:paraId="4159E906">
            <w:pPr>
              <w:widowControl/>
              <w:spacing w:line="240" w:lineRule="auto"/>
              <w:ind w:firstLine="0" w:firstLineChars="0"/>
              <w:jc w:val="center"/>
              <w:rPr>
                <w:rFonts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rPr>
              <w:t>绩效指标</w:t>
            </w:r>
          </w:p>
        </w:tc>
        <w:tc>
          <w:tcPr>
            <w:tcW w:w="565" w:type="pct"/>
            <w:noWrap w:val="0"/>
            <w:vAlign w:val="center"/>
          </w:tcPr>
          <w:p w14:paraId="28E3FF6C">
            <w:pPr>
              <w:widowControl/>
              <w:spacing w:line="240" w:lineRule="auto"/>
              <w:ind w:firstLine="0" w:firstLineChars="0"/>
              <w:jc w:val="center"/>
              <w:rPr>
                <w:rFonts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rPr>
              <w:t>一级指标</w:t>
            </w:r>
          </w:p>
        </w:tc>
        <w:tc>
          <w:tcPr>
            <w:tcW w:w="632" w:type="pct"/>
            <w:noWrap w:val="0"/>
            <w:vAlign w:val="center"/>
          </w:tcPr>
          <w:p w14:paraId="0168FAA8">
            <w:pPr>
              <w:widowControl/>
              <w:spacing w:line="240" w:lineRule="auto"/>
              <w:ind w:firstLine="0" w:firstLineChars="0"/>
              <w:jc w:val="center"/>
              <w:rPr>
                <w:rFonts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rPr>
              <w:t>二级指标</w:t>
            </w:r>
          </w:p>
        </w:tc>
        <w:tc>
          <w:tcPr>
            <w:tcW w:w="2387" w:type="pct"/>
            <w:gridSpan w:val="2"/>
            <w:noWrap w:val="0"/>
            <w:vAlign w:val="center"/>
          </w:tcPr>
          <w:p w14:paraId="7CB48A18">
            <w:pPr>
              <w:widowControl/>
              <w:spacing w:line="240" w:lineRule="auto"/>
              <w:ind w:firstLine="0" w:firstLineChars="0"/>
              <w:jc w:val="center"/>
              <w:rPr>
                <w:rFonts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rPr>
              <w:t>三级指标</w:t>
            </w:r>
          </w:p>
        </w:tc>
        <w:tc>
          <w:tcPr>
            <w:tcW w:w="659" w:type="pct"/>
            <w:noWrap w:val="0"/>
            <w:vAlign w:val="center"/>
          </w:tcPr>
          <w:p w14:paraId="6619DA28">
            <w:pPr>
              <w:widowControl/>
              <w:spacing w:line="240" w:lineRule="auto"/>
              <w:ind w:firstLine="0" w:firstLineChars="0"/>
              <w:jc w:val="center"/>
              <w:rPr>
                <w:rFonts w:hint="eastAsia" w:ascii="宋体" w:hAnsi="宋体" w:eastAsia="宋体" w:cs="宋体"/>
                <w:color w:val="auto"/>
                <w:kern w:val="0"/>
                <w:sz w:val="20"/>
                <w:szCs w:val="20"/>
                <w:highlight w:val="none"/>
                <w:lang w:val="en-US" w:eastAsia="zh-CN"/>
              </w:rPr>
            </w:pPr>
            <w:r>
              <w:rPr>
                <w:rFonts w:hint="eastAsia" w:ascii="宋体" w:hAnsi="宋体" w:eastAsia="宋体" w:cs="宋体"/>
                <w:color w:val="auto"/>
                <w:kern w:val="0"/>
                <w:sz w:val="20"/>
                <w:szCs w:val="20"/>
                <w:highlight w:val="none"/>
              </w:rPr>
              <w:t>指标值</w:t>
            </w:r>
          </w:p>
        </w:tc>
      </w:tr>
      <w:tr w14:paraId="32FD2B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755" w:type="pct"/>
            <w:vMerge w:val="continue"/>
            <w:noWrap w:val="0"/>
            <w:vAlign w:val="center"/>
          </w:tcPr>
          <w:p w14:paraId="1318C5F4">
            <w:pPr>
              <w:widowControl/>
              <w:spacing w:line="240" w:lineRule="auto"/>
              <w:ind w:firstLine="0" w:firstLineChars="0"/>
              <w:jc w:val="center"/>
              <w:rPr>
                <w:rFonts w:hint="eastAsia" w:ascii="宋体" w:hAnsi="宋体" w:eastAsia="宋体" w:cs="宋体"/>
                <w:color w:val="auto"/>
                <w:kern w:val="0"/>
                <w:sz w:val="20"/>
                <w:szCs w:val="20"/>
                <w:highlight w:val="none"/>
              </w:rPr>
            </w:pPr>
          </w:p>
        </w:tc>
        <w:tc>
          <w:tcPr>
            <w:tcW w:w="565" w:type="pct"/>
            <w:vMerge w:val="restart"/>
            <w:noWrap w:val="0"/>
            <w:vAlign w:val="center"/>
          </w:tcPr>
          <w:p w14:paraId="13EB5E09">
            <w:pPr>
              <w:widowControl/>
              <w:spacing w:line="240" w:lineRule="auto"/>
              <w:ind w:firstLine="0" w:firstLineChars="0"/>
              <w:jc w:val="center"/>
              <w:rPr>
                <w:rFonts w:hint="eastAsia"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lang w:val="en-US" w:eastAsia="zh-CN"/>
              </w:rPr>
              <w:t>产出指标</w:t>
            </w:r>
          </w:p>
        </w:tc>
        <w:tc>
          <w:tcPr>
            <w:tcW w:w="632" w:type="pct"/>
            <w:vMerge w:val="restart"/>
            <w:noWrap w:val="0"/>
            <w:vAlign w:val="center"/>
          </w:tcPr>
          <w:p w14:paraId="28DA6766">
            <w:pPr>
              <w:widowControl/>
              <w:spacing w:line="240" w:lineRule="auto"/>
              <w:ind w:firstLine="0" w:firstLineChars="0"/>
              <w:jc w:val="center"/>
              <w:rPr>
                <w:rFonts w:hint="eastAsia"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lang w:val="en-US" w:eastAsia="zh-CN"/>
              </w:rPr>
              <w:t>数量指标</w:t>
            </w:r>
          </w:p>
        </w:tc>
        <w:tc>
          <w:tcPr>
            <w:tcW w:w="2387" w:type="pct"/>
            <w:gridSpan w:val="2"/>
            <w:noWrap w:val="0"/>
            <w:vAlign w:val="center"/>
          </w:tcPr>
          <w:p w14:paraId="0A889781">
            <w:pPr>
              <w:widowControl/>
              <w:spacing w:line="240" w:lineRule="auto"/>
              <w:ind w:firstLine="0" w:firstLineChars="0"/>
              <w:jc w:val="center"/>
              <w:rPr>
                <w:rFonts w:hint="eastAsia" w:ascii="宋体" w:hAnsi="宋体" w:eastAsia="宋体" w:cs="宋体"/>
                <w:color w:val="auto"/>
                <w:kern w:val="0"/>
                <w:sz w:val="20"/>
                <w:szCs w:val="20"/>
                <w:highlight w:val="none"/>
                <w:lang w:val="en-US" w:eastAsia="zh-CN"/>
              </w:rPr>
            </w:pPr>
            <w:r>
              <w:rPr>
                <w:rFonts w:hint="eastAsia" w:ascii="宋体" w:hAnsi="宋体" w:eastAsia="宋体" w:cs="宋体"/>
                <w:color w:val="auto"/>
                <w:kern w:val="0"/>
                <w:sz w:val="20"/>
                <w:szCs w:val="20"/>
                <w:highlight w:val="none"/>
                <w:lang w:val="en-US" w:eastAsia="zh-CN"/>
              </w:rPr>
              <w:t>奖励专精特新“小巨人”企业数量</w:t>
            </w:r>
            <w:r>
              <w:rPr>
                <w:rFonts w:hint="eastAsia" w:ascii="宋体" w:hAnsi="宋体" w:cs="宋体"/>
                <w:color w:val="auto"/>
                <w:kern w:val="0"/>
                <w:sz w:val="20"/>
                <w:szCs w:val="20"/>
                <w:highlight w:val="none"/>
                <w:lang w:val="en-US" w:eastAsia="zh-CN"/>
              </w:rPr>
              <w:t>（</w:t>
            </w:r>
            <w:r>
              <w:rPr>
                <w:rFonts w:hint="eastAsia" w:ascii="宋体" w:hAnsi="宋体" w:eastAsia="宋体" w:cs="宋体"/>
                <w:color w:val="auto"/>
                <w:kern w:val="0"/>
                <w:sz w:val="20"/>
                <w:szCs w:val="20"/>
                <w:highlight w:val="none"/>
                <w:lang w:val="en-US" w:eastAsia="zh-CN"/>
              </w:rPr>
              <w:t>家</w:t>
            </w:r>
            <w:r>
              <w:rPr>
                <w:rFonts w:hint="eastAsia" w:ascii="宋体" w:hAnsi="宋体" w:cs="宋体"/>
                <w:color w:val="auto"/>
                <w:kern w:val="0"/>
                <w:sz w:val="20"/>
                <w:szCs w:val="20"/>
                <w:highlight w:val="none"/>
                <w:lang w:val="en-US" w:eastAsia="zh-CN"/>
              </w:rPr>
              <w:t>）</w:t>
            </w:r>
          </w:p>
        </w:tc>
        <w:tc>
          <w:tcPr>
            <w:tcW w:w="659" w:type="pct"/>
            <w:noWrap w:val="0"/>
            <w:vAlign w:val="center"/>
          </w:tcPr>
          <w:p w14:paraId="49AB7BB5">
            <w:pPr>
              <w:widowControl/>
              <w:spacing w:line="240" w:lineRule="auto"/>
              <w:ind w:firstLine="0" w:firstLineChars="0"/>
              <w:jc w:val="center"/>
              <w:rPr>
                <w:rFonts w:hint="default" w:ascii="宋体" w:hAnsi="宋体" w:eastAsia="宋体" w:cs="宋体"/>
                <w:color w:val="auto"/>
                <w:kern w:val="0"/>
                <w:sz w:val="20"/>
                <w:szCs w:val="20"/>
                <w:highlight w:val="none"/>
                <w:lang w:val="en-US" w:eastAsia="zh-CN"/>
              </w:rPr>
            </w:pPr>
            <w:r>
              <w:rPr>
                <w:rFonts w:hint="eastAsia" w:ascii="宋体" w:hAnsi="宋体" w:eastAsia="宋体" w:cs="宋体"/>
                <w:color w:val="auto"/>
                <w:kern w:val="0"/>
                <w:sz w:val="20"/>
                <w:szCs w:val="20"/>
                <w:highlight w:val="none"/>
                <w:lang w:val="en-US" w:eastAsia="zh-CN"/>
              </w:rPr>
              <w:t>≥10家</w:t>
            </w:r>
          </w:p>
        </w:tc>
      </w:tr>
      <w:tr w14:paraId="7141F5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55" w:type="pct"/>
            <w:vMerge w:val="continue"/>
            <w:noWrap w:val="0"/>
            <w:vAlign w:val="center"/>
          </w:tcPr>
          <w:p w14:paraId="42C68ACB">
            <w:pPr>
              <w:widowControl/>
              <w:spacing w:line="240" w:lineRule="auto"/>
              <w:ind w:firstLine="0" w:firstLineChars="0"/>
              <w:jc w:val="center"/>
              <w:rPr>
                <w:rFonts w:hint="eastAsia" w:ascii="宋体" w:hAnsi="宋体" w:eastAsia="宋体" w:cs="宋体"/>
                <w:color w:val="auto"/>
                <w:kern w:val="0"/>
                <w:sz w:val="20"/>
                <w:szCs w:val="20"/>
                <w:highlight w:val="none"/>
              </w:rPr>
            </w:pPr>
          </w:p>
        </w:tc>
        <w:tc>
          <w:tcPr>
            <w:tcW w:w="565" w:type="pct"/>
            <w:vMerge w:val="continue"/>
            <w:noWrap w:val="0"/>
            <w:vAlign w:val="center"/>
          </w:tcPr>
          <w:p w14:paraId="4BA551B7">
            <w:pPr>
              <w:widowControl/>
              <w:spacing w:line="240" w:lineRule="auto"/>
              <w:ind w:firstLine="0" w:firstLineChars="0"/>
              <w:jc w:val="center"/>
              <w:rPr>
                <w:rFonts w:hint="eastAsia" w:ascii="宋体" w:hAnsi="宋体" w:eastAsia="宋体" w:cs="宋体"/>
                <w:color w:val="auto"/>
                <w:kern w:val="0"/>
                <w:sz w:val="20"/>
                <w:szCs w:val="20"/>
                <w:highlight w:val="none"/>
                <w:lang w:val="en-US" w:eastAsia="zh-CN"/>
              </w:rPr>
            </w:pPr>
          </w:p>
        </w:tc>
        <w:tc>
          <w:tcPr>
            <w:tcW w:w="632" w:type="pct"/>
            <w:vMerge w:val="continue"/>
            <w:noWrap w:val="0"/>
            <w:vAlign w:val="center"/>
          </w:tcPr>
          <w:p w14:paraId="39086541">
            <w:pPr>
              <w:widowControl/>
              <w:spacing w:line="240" w:lineRule="auto"/>
              <w:ind w:firstLine="0" w:firstLineChars="0"/>
              <w:jc w:val="center"/>
              <w:rPr>
                <w:rFonts w:hint="eastAsia" w:ascii="宋体" w:hAnsi="宋体" w:eastAsia="宋体" w:cs="宋体"/>
                <w:color w:val="auto"/>
                <w:kern w:val="0"/>
                <w:sz w:val="20"/>
                <w:szCs w:val="20"/>
                <w:highlight w:val="none"/>
                <w:lang w:val="en-US" w:eastAsia="zh-CN"/>
              </w:rPr>
            </w:pPr>
          </w:p>
        </w:tc>
        <w:tc>
          <w:tcPr>
            <w:tcW w:w="2387" w:type="pct"/>
            <w:gridSpan w:val="2"/>
            <w:noWrap w:val="0"/>
            <w:vAlign w:val="center"/>
          </w:tcPr>
          <w:p w14:paraId="254C9137">
            <w:pPr>
              <w:widowControl/>
              <w:spacing w:line="240" w:lineRule="auto"/>
              <w:ind w:firstLine="0" w:firstLineChars="0"/>
              <w:jc w:val="center"/>
              <w:rPr>
                <w:rFonts w:hint="eastAsia" w:ascii="宋体" w:hAnsi="宋体" w:eastAsia="宋体" w:cs="宋体"/>
                <w:color w:val="auto"/>
                <w:kern w:val="0"/>
                <w:sz w:val="20"/>
                <w:szCs w:val="20"/>
                <w:highlight w:val="none"/>
                <w:lang w:val="en-US" w:eastAsia="zh-CN"/>
              </w:rPr>
            </w:pPr>
            <w:r>
              <w:rPr>
                <w:rFonts w:hint="eastAsia" w:ascii="宋体" w:hAnsi="宋体" w:eastAsia="宋体" w:cs="宋体"/>
                <w:color w:val="auto"/>
                <w:kern w:val="0"/>
                <w:sz w:val="20"/>
                <w:szCs w:val="20"/>
                <w:highlight w:val="none"/>
                <w:lang w:val="en-US" w:eastAsia="zh-CN"/>
              </w:rPr>
              <w:t>奖励自治区专精特新中小企业数量</w:t>
            </w:r>
            <w:r>
              <w:rPr>
                <w:rFonts w:hint="eastAsia" w:ascii="宋体" w:hAnsi="宋体" w:cs="宋体"/>
                <w:color w:val="auto"/>
                <w:kern w:val="0"/>
                <w:sz w:val="20"/>
                <w:szCs w:val="20"/>
                <w:highlight w:val="none"/>
                <w:lang w:val="en-US" w:eastAsia="zh-CN"/>
              </w:rPr>
              <w:t>（</w:t>
            </w:r>
            <w:r>
              <w:rPr>
                <w:rFonts w:hint="eastAsia" w:ascii="宋体" w:hAnsi="宋体" w:eastAsia="宋体" w:cs="宋体"/>
                <w:color w:val="auto"/>
                <w:kern w:val="0"/>
                <w:sz w:val="20"/>
                <w:szCs w:val="20"/>
                <w:highlight w:val="none"/>
                <w:lang w:val="en-US" w:eastAsia="zh-CN"/>
              </w:rPr>
              <w:t>家</w:t>
            </w:r>
            <w:r>
              <w:rPr>
                <w:rFonts w:hint="eastAsia" w:ascii="宋体" w:hAnsi="宋体" w:cs="宋体"/>
                <w:color w:val="auto"/>
                <w:kern w:val="0"/>
                <w:sz w:val="20"/>
                <w:szCs w:val="20"/>
                <w:highlight w:val="none"/>
                <w:lang w:val="en-US" w:eastAsia="zh-CN"/>
              </w:rPr>
              <w:t>）</w:t>
            </w:r>
          </w:p>
        </w:tc>
        <w:tc>
          <w:tcPr>
            <w:tcW w:w="659" w:type="pct"/>
            <w:noWrap w:val="0"/>
            <w:vAlign w:val="center"/>
          </w:tcPr>
          <w:p w14:paraId="3537306A">
            <w:pPr>
              <w:widowControl/>
              <w:spacing w:line="240" w:lineRule="auto"/>
              <w:ind w:firstLine="0" w:firstLineChars="0"/>
              <w:jc w:val="center"/>
              <w:rPr>
                <w:rFonts w:hint="default" w:ascii="宋体" w:hAnsi="宋体" w:eastAsia="宋体" w:cs="宋体"/>
                <w:color w:val="auto"/>
                <w:kern w:val="0"/>
                <w:sz w:val="20"/>
                <w:szCs w:val="20"/>
                <w:highlight w:val="none"/>
                <w:lang w:val="en-US" w:eastAsia="zh-CN"/>
              </w:rPr>
            </w:pPr>
            <w:r>
              <w:rPr>
                <w:rFonts w:hint="eastAsia" w:ascii="宋体" w:hAnsi="宋体" w:eastAsia="宋体" w:cs="宋体"/>
                <w:color w:val="auto"/>
                <w:kern w:val="0"/>
                <w:sz w:val="20"/>
                <w:szCs w:val="20"/>
                <w:highlight w:val="none"/>
                <w:lang w:val="en-US" w:eastAsia="zh-CN"/>
              </w:rPr>
              <w:t>≥80家</w:t>
            </w:r>
          </w:p>
        </w:tc>
      </w:tr>
      <w:tr w14:paraId="1A8AC3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55" w:type="pct"/>
            <w:vMerge w:val="continue"/>
            <w:noWrap w:val="0"/>
            <w:vAlign w:val="center"/>
          </w:tcPr>
          <w:p w14:paraId="72741CCE">
            <w:pPr>
              <w:widowControl/>
              <w:spacing w:line="240" w:lineRule="auto"/>
              <w:ind w:firstLine="0" w:firstLineChars="0"/>
              <w:jc w:val="center"/>
              <w:rPr>
                <w:rFonts w:hint="eastAsia" w:ascii="宋体" w:hAnsi="宋体" w:eastAsia="宋体" w:cs="宋体"/>
                <w:color w:val="auto"/>
                <w:kern w:val="0"/>
                <w:sz w:val="20"/>
                <w:szCs w:val="20"/>
                <w:highlight w:val="none"/>
              </w:rPr>
            </w:pPr>
          </w:p>
        </w:tc>
        <w:tc>
          <w:tcPr>
            <w:tcW w:w="565" w:type="pct"/>
            <w:vMerge w:val="continue"/>
            <w:noWrap w:val="0"/>
            <w:vAlign w:val="center"/>
          </w:tcPr>
          <w:p w14:paraId="29082C2F">
            <w:pPr>
              <w:widowControl/>
              <w:spacing w:line="240" w:lineRule="auto"/>
              <w:ind w:firstLine="0" w:firstLineChars="0"/>
              <w:jc w:val="center"/>
              <w:rPr>
                <w:rFonts w:hint="eastAsia" w:ascii="宋体" w:hAnsi="宋体" w:eastAsia="宋体" w:cs="宋体"/>
                <w:color w:val="auto"/>
                <w:kern w:val="0"/>
                <w:sz w:val="20"/>
                <w:szCs w:val="20"/>
                <w:highlight w:val="none"/>
                <w:lang w:val="en-US" w:eastAsia="zh-CN"/>
              </w:rPr>
            </w:pPr>
          </w:p>
        </w:tc>
        <w:tc>
          <w:tcPr>
            <w:tcW w:w="632" w:type="pct"/>
            <w:vMerge w:val="continue"/>
            <w:noWrap w:val="0"/>
            <w:vAlign w:val="center"/>
          </w:tcPr>
          <w:p w14:paraId="02845A13">
            <w:pPr>
              <w:widowControl/>
              <w:spacing w:line="240" w:lineRule="auto"/>
              <w:ind w:firstLine="0" w:firstLineChars="0"/>
              <w:jc w:val="center"/>
              <w:rPr>
                <w:rFonts w:hint="eastAsia" w:ascii="宋体" w:hAnsi="宋体" w:eastAsia="宋体" w:cs="宋体"/>
                <w:color w:val="auto"/>
                <w:kern w:val="0"/>
                <w:sz w:val="20"/>
                <w:szCs w:val="20"/>
                <w:highlight w:val="none"/>
                <w:lang w:val="en-US" w:eastAsia="zh-CN"/>
              </w:rPr>
            </w:pPr>
          </w:p>
        </w:tc>
        <w:tc>
          <w:tcPr>
            <w:tcW w:w="2387" w:type="pct"/>
            <w:gridSpan w:val="2"/>
            <w:noWrap w:val="0"/>
            <w:vAlign w:val="center"/>
          </w:tcPr>
          <w:p w14:paraId="3654532F">
            <w:pPr>
              <w:widowControl/>
              <w:spacing w:line="240" w:lineRule="auto"/>
              <w:ind w:firstLine="0" w:firstLineChars="0"/>
              <w:jc w:val="center"/>
              <w:rPr>
                <w:rFonts w:hint="eastAsia" w:ascii="宋体" w:hAnsi="宋体" w:eastAsia="宋体" w:cs="宋体"/>
                <w:color w:val="auto"/>
                <w:kern w:val="0"/>
                <w:sz w:val="20"/>
                <w:szCs w:val="20"/>
                <w:highlight w:val="none"/>
                <w:lang w:val="en-US" w:eastAsia="zh-CN"/>
              </w:rPr>
            </w:pPr>
            <w:r>
              <w:rPr>
                <w:rFonts w:hint="eastAsia" w:ascii="宋体" w:hAnsi="宋体" w:eastAsia="宋体" w:cs="宋体"/>
                <w:color w:val="auto"/>
                <w:kern w:val="0"/>
                <w:sz w:val="20"/>
                <w:szCs w:val="20"/>
                <w:highlight w:val="none"/>
                <w:lang w:val="en-US" w:eastAsia="zh-CN"/>
              </w:rPr>
              <w:t>组织举办“创客中国”创新创业大赛新疆区域赛各级赛事数量</w:t>
            </w:r>
            <w:r>
              <w:rPr>
                <w:rFonts w:hint="eastAsia" w:ascii="宋体" w:hAnsi="宋体" w:cs="宋体"/>
                <w:color w:val="auto"/>
                <w:kern w:val="0"/>
                <w:sz w:val="20"/>
                <w:szCs w:val="20"/>
                <w:highlight w:val="none"/>
                <w:lang w:val="en-US" w:eastAsia="zh-CN"/>
              </w:rPr>
              <w:t>（</w:t>
            </w:r>
            <w:r>
              <w:rPr>
                <w:rFonts w:hint="eastAsia" w:ascii="宋体" w:hAnsi="宋体" w:eastAsia="宋体" w:cs="宋体"/>
                <w:color w:val="auto"/>
                <w:kern w:val="0"/>
                <w:sz w:val="20"/>
                <w:szCs w:val="20"/>
                <w:highlight w:val="none"/>
                <w:lang w:val="en-US" w:eastAsia="zh-CN"/>
              </w:rPr>
              <w:t>场</w:t>
            </w:r>
            <w:r>
              <w:rPr>
                <w:rFonts w:hint="eastAsia" w:ascii="宋体" w:hAnsi="宋体" w:cs="宋体"/>
                <w:color w:val="auto"/>
                <w:kern w:val="0"/>
                <w:sz w:val="20"/>
                <w:szCs w:val="20"/>
                <w:highlight w:val="none"/>
                <w:lang w:val="en-US" w:eastAsia="zh-CN"/>
              </w:rPr>
              <w:t>）</w:t>
            </w:r>
          </w:p>
        </w:tc>
        <w:tc>
          <w:tcPr>
            <w:tcW w:w="659" w:type="pct"/>
            <w:noWrap w:val="0"/>
            <w:vAlign w:val="center"/>
          </w:tcPr>
          <w:p w14:paraId="609DAAEA">
            <w:pPr>
              <w:widowControl/>
              <w:spacing w:line="240" w:lineRule="auto"/>
              <w:ind w:firstLine="0" w:firstLineChars="0"/>
              <w:jc w:val="center"/>
              <w:rPr>
                <w:rFonts w:hint="default" w:ascii="宋体" w:hAnsi="宋体" w:eastAsia="宋体" w:cs="宋体"/>
                <w:color w:val="auto"/>
                <w:kern w:val="0"/>
                <w:sz w:val="20"/>
                <w:szCs w:val="20"/>
                <w:highlight w:val="none"/>
                <w:lang w:val="en-US" w:eastAsia="zh-CN"/>
              </w:rPr>
            </w:pPr>
            <w:r>
              <w:rPr>
                <w:rFonts w:hint="eastAsia" w:ascii="宋体" w:hAnsi="宋体" w:eastAsia="宋体" w:cs="宋体"/>
                <w:color w:val="auto"/>
                <w:kern w:val="0"/>
                <w:sz w:val="20"/>
                <w:szCs w:val="20"/>
                <w:highlight w:val="none"/>
                <w:lang w:val="en-US" w:eastAsia="zh-CN"/>
              </w:rPr>
              <w:t>≥16场</w:t>
            </w:r>
          </w:p>
        </w:tc>
      </w:tr>
      <w:tr w14:paraId="06F8AA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jc w:val="center"/>
        </w:trPr>
        <w:tc>
          <w:tcPr>
            <w:tcW w:w="755" w:type="pct"/>
            <w:vMerge w:val="continue"/>
            <w:noWrap w:val="0"/>
            <w:vAlign w:val="center"/>
          </w:tcPr>
          <w:p w14:paraId="6C02E36B">
            <w:pPr>
              <w:widowControl/>
              <w:spacing w:line="240" w:lineRule="auto"/>
              <w:ind w:firstLine="0" w:firstLineChars="0"/>
              <w:jc w:val="center"/>
              <w:rPr>
                <w:rFonts w:hint="eastAsia" w:ascii="宋体" w:hAnsi="宋体" w:eastAsia="宋体" w:cs="宋体"/>
                <w:color w:val="auto"/>
                <w:kern w:val="0"/>
                <w:sz w:val="20"/>
                <w:szCs w:val="20"/>
                <w:highlight w:val="none"/>
              </w:rPr>
            </w:pPr>
          </w:p>
        </w:tc>
        <w:tc>
          <w:tcPr>
            <w:tcW w:w="565" w:type="pct"/>
            <w:vMerge w:val="continue"/>
            <w:noWrap w:val="0"/>
            <w:vAlign w:val="center"/>
          </w:tcPr>
          <w:p w14:paraId="7C973824">
            <w:pPr>
              <w:widowControl/>
              <w:spacing w:line="240" w:lineRule="auto"/>
              <w:ind w:firstLine="0" w:firstLineChars="0"/>
              <w:jc w:val="center"/>
              <w:rPr>
                <w:rFonts w:hint="eastAsia" w:ascii="宋体" w:hAnsi="宋体" w:eastAsia="宋体" w:cs="宋体"/>
                <w:color w:val="auto"/>
                <w:kern w:val="0"/>
                <w:sz w:val="20"/>
                <w:szCs w:val="20"/>
                <w:highlight w:val="none"/>
                <w:lang w:val="en-US" w:eastAsia="zh-CN"/>
              </w:rPr>
            </w:pPr>
          </w:p>
        </w:tc>
        <w:tc>
          <w:tcPr>
            <w:tcW w:w="632" w:type="pct"/>
            <w:vMerge w:val="continue"/>
            <w:noWrap w:val="0"/>
            <w:vAlign w:val="center"/>
          </w:tcPr>
          <w:p w14:paraId="36947FAA">
            <w:pPr>
              <w:widowControl/>
              <w:spacing w:line="240" w:lineRule="auto"/>
              <w:ind w:firstLine="0" w:firstLineChars="0"/>
              <w:jc w:val="center"/>
              <w:rPr>
                <w:rFonts w:hint="eastAsia" w:ascii="宋体" w:hAnsi="宋体" w:eastAsia="宋体" w:cs="宋体"/>
                <w:color w:val="auto"/>
                <w:kern w:val="0"/>
                <w:sz w:val="20"/>
                <w:szCs w:val="20"/>
                <w:highlight w:val="none"/>
                <w:lang w:val="en-US" w:eastAsia="zh-CN"/>
              </w:rPr>
            </w:pPr>
          </w:p>
        </w:tc>
        <w:tc>
          <w:tcPr>
            <w:tcW w:w="2387" w:type="pct"/>
            <w:gridSpan w:val="2"/>
            <w:noWrap w:val="0"/>
            <w:vAlign w:val="center"/>
          </w:tcPr>
          <w:p w14:paraId="213D688B">
            <w:pPr>
              <w:widowControl/>
              <w:spacing w:line="240" w:lineRule="auto"/>
              <w:ind w:firstLine="0" w:firstLineChars="0"/>
              <w:jc w:val="center"/>
              <w:rPr>
                <w:rFonts w:hint="eastAsia" w:ascii="宋体" w:hAnsi="宋体" w:eastAsia="宋体" w:cs="宋体"/>
                <w:color w:val="auto"/>
                <w:kern w:val="0"/>
                <w:sz w:val="20"/>
                <w:szCs w:val="20"/>
                <w:highlight w:val="none"/>
                <w:lang w:val="en-US" w:eastAsia="zh-CN"/>
              </w:rPr>
            </w:pPr>
            <w:r>
              <w:rPr>
                <w:rFonts w:hint="eastAsia" w:ascii="宋体" w:hAnsi="宋体" w:eastAsia="宋体" w:cs="宋体"/>
                <w:color w:val="auto"/>
                <w:kern w:val="0"/>
                <w:sz w:val="20"/>
                <w:szCs w:val="20"/>
                <w:highlight w:val="none"/>
                <w:lang w:val="en-US" w:eastAsia="zh-CN"/>
              </w:rPr>
              <w:t>组织参加第十八届中博会企业数量</w:t>
            </w:r>
            <w:r>
              <w:rPr>
                <w:rFonts w:hint="eastAsia" w:ascii="宋体" w:hAnsi="宋体" w:cs="宋体"/>
                <w:color w:val="auto"/>
                <w:kern w:val="0"/>
                <w:sz w:val="20"/>
                <w:szCs w:val="20"/>
                <w:highlight w:val="none"/>
                <w:lang w:val="en-US" w:eastAsia="zh-CN"/>
              </w:rPr>
              <w:t>（</w:t>
            </w:r>
            <w:r>
              <w:rPr>
                <w:rFonts w:hint="eastAsia" w:ascii="宋体" w:hAnsi="宋体" w:eastAsia="宋体" w:cs="宋体"/>
                <w:color w:val="auto"/>
                <w:kern w:val="0"/>
                <w:sz w:val="20"/>
                <w:szCs w:val="20"/>
                <w:highlight w:val="none"/>
                <w:lang w:val="en-US" w:eastAsia="zh-CN"/>
              </w:rPr>
              <w:t>家</w:t>
            </w:r>
            <w:r>
              <w:rPr>
                <w:rFonts w:hint="eastAsia" w:ascii="宋体" w:hAnsi="宋体" w:cs="宋体"/>
                <w:color w:val="auto"/>
                <w:kern w:val="0"/>
                <w:sz w:val="20"/>
                <w:szCs w:val="20"/>
                <w:highlight w:val="none"/>
                <w:lang w:val="en-US" w:eastAsia="zh-CN"/>
              </w:rPr>
              <w:t>）</w:t>
            </w:r>
          </w:p>
        </w:tc>
        <w:tc>
          <w:tcPr>
            <w:tcW w:w="659" w:type="pct"/>
            <w:noWrap w:val="0"/>
            <w:vAlign w:val="center"/>
          </w:tcPr>
          <w:p w14:paraId="14BCDE27">
            <w:pPr>
              <w:widowControl/>
              <w:spacing w:line="240" w:lineRule="auto"/>
              <w:ind w:firstLine="0" w:firstLineChars="0"/>
              <w:jc w:val="center"/>
              <w:rPr>
                <w:rFonts w:hint="default" w:ascii="宋体" w:hAnsi="宋体" w:eastAsia="宋体" w:cs="宋体"/>
                <w:color w:val="auto"/>
                <w:kern w:val="0"/>
                <w:sz w:val="20"/>
                <w:szCs w:val="20"/>
                <w:highlight w:val="none"/>
                <w:lang w:val="en-US" w:eastAsia="zh-CN"/>
              </w:rPr>
            </w:pPr>
            <w:r>
              <w:rPr>
                <w:rFonts w:hint="eastAsia" w:ascii="宋体" w:hAnsi="宋体" w:eastAsia="宋体" w:cs="宋体"/>
                <w:color w:val="auto"/>
                <w:kern w:val="0"/>
                <w:sz w:val="20"/>
                <w:szCs w:val="20"/>
                <w:highlight w:val="none"/>
                <w:lang w:val="en-US" w:eastAsia="zh-CN"/>
              </w:rPr>
              <w:t>≥40家</w:t>
            </w:r>
          </w:p>
        </w:tc>
      </w:tr>
      <w:tr w14:paraId="005CA2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4" w:hRule="atLeast"/>
          <w:jc w:val="center"/>
        </w:trPr>
        <w:tc>
          <w:tcPr>
            <w:tcW w:w="755" w:type="pct"/>
            <w:vMerge w:val="continue"/>
            <w:noWrap w:val="0"/>
            <w:vAlign w:val="center"/>
          </w:tcPr>
          <w:p w14:paraId="39798008">
            <w:pPr>
              <w:widowControl/>
              <w:spacing w:line="240" w:lineRule="auto"/>
              <w:ind w:firstLine="0" w:firstLineChars="0"/>
              <w:jc w:val="center"/>
              <w:rPr>
                <w:rFonts w:hint="eastAsia" w:ascii="宋体" w:hAnsi="宋体" w:eastAsia="宋体" w:cs="宋体"/>
                <w:color w:val="auto"/>
                <w:kern w:val="0"/>
                <w:sz w:val="20"/>
                <w:szCs w:val="20"/>
                <w:highlight w:val="none"/>
              </w:rPr>
            </w:pPr>
          </w:p>
        </w:tc>
        <w:tc>
          <w:tcPr>
            <w:tcW w:w="565" w:type="pct"/>
            <w:vMerge w:val="continue"/>
            <w:noWrap w:val="0"/>
            <w:vAlign w:val="center"/>
          </w:tcPr>
          <w:p w14:paraId="59D32855">
            <w:pPr>
              <w:widowControl/>
              <w:spacing w:line="240" w:lineRule="auto"/>
              <w:ind w:firstLine="0" w:firstLineChars="0"/>
              <w:jc w:val="center"/>
              <w:rPr>
                <w:rFonts w:hint="eastAsia" w:ascii="宋体" w:hAnsi="宋体" w:eastAsia="宋体" w:cs="宋体"/>
                <w:color w:val="auto"/>
                <w:kern w:val="0"/>
                <w:sz w:val="20"/>
                <w:szCs w:val="20"/>
                <w:highlight w:val="none"/>
                <w:lang w:val="en-US" w:eastAsia="zh-CN"/>
              </w:rPr>
            </w:pPr>
          </w:p>
        </w:tc>
        <w:tc>
          <w:tcPr>
            <w:tcW w:w="632" w:type="pct"/>
            <w:vMerge w:val="continue"/>
            <w:noWrap w:val="0"/>
            <w:vAlign w:val="center"/>
          </w:tcPr>
          <w:p w14:paraId="6B4CDDF3">
            <w:pPr>
              <w:widowControl/>
              <w:spacing w:line="240" w:lineRule="auto"/>
              <w:ind w:firstLine="0" w:firstLineChars="0"/>
              <w:jc w:val="center"/>
              <w:rPr>
                <w:rFonts w:hint="eastAsia" w:ascii="宋体" w:hAnsi="宋体" w:eastAsia="宋体" w:cs="宋体"/>
                <w:color w:val="auto"/>
                <w:kern w:val="0"/>
                <w:sz w:val="20"/>
                <w:szCs w:val="20"/>
                <w:highlight w:val="none"/>
                <w:lang w:val="en-US" w:eastAsia="zh-CN"/>
              </w:rPr>
            </w:pPr>
          </w:p>
        </w:tc>
        <w:tc>
          <w:tcPr>
            <w:tcW w:w="2387" w:type="pct"/>
            <w:gridSpan w:val="2"/>
            <w:noWrap w:val="0"/>
            <w:vAlign w:val="center"/>
          </w:tcPr>
          <w:p w14:paraId="7D723ACF">
            <w:pPr>
              <w:widowControl/>
              <w:spacing w:line="240" w:lineRule="auto"/>
              <w:ind w:firstLine="0" w:firstLineChars="0"/>
              <w:jc w:val="center"/>
              <w:rPr>
                <w:rFonts w:hint="eastAsia" w:ascii="宋体" w:hAnsi="宋体" w:eastAsia="宋体" w:cs="宋体"/>
                <w:color w:val="auto"/>
                <w:kern w:val="0"/>
                <w:sz w:val="20"/>
                <w:szCs w:val="20"/>
                <w:highlight w:val="none"/>
                <w:lang w:val="en-US" w:eastAsia="zh-CN"/>
              </w:rPr>
            </w:pPr>
            <w:r>
              <w:rPr>
                <w:rFonts w:hint="eastAsia" w:ascii="宋体" w:hAnsi="宋体" w:eastAsia="宋体" w:cs="宋体"/>
                <w:color w:val="auto"/>
                <w:kern w:val="0"/>
                <w:sz w:val="20"/>
                <w:szCs w:val="20"/>
                <w:highlight w:val="none"/>
                <w:lang w:val="en-US" w:eastAsia="zh-CN"/>
              </w:rPr>
              <w:t>组织参加第十二届APEC技展会企业数量</w:t>
            </w:r>
            <w:r>
              <w:rPr>
                <w:rFonts w:hint="eastAsia" w:ascii="宋体" w:hAnsi="宋体" w:cs="宋体"/>
                <w:color w:val="auto"/>
                <w:kern w:val="0"/>
                <w:sz w:val="20"/>
                <w:szCs w:val="20"/>
                <w:highlight w:val="none"/>
                <w:lang w:val="en-US" w:eastAsia="zh-CN"/>
              </w:rPr>
              <w:t>（</w:t>
            </w:r>
            <w:r>
              <w:rPr>
                <w:rFonts w:hint="eastAsia" w:ascii="宋体" w:hAnsi="宋体" w:eastAsia="宋体" w:cs="宋体"/>
                <w:color w:val="auto"/>
                <w:kern w:val="0"/>
                <w:sz w:val="20"/>
                <w:szCs w:val="20"/>
                <w:highlight w:val="none"/>
                <w:lang w:val="en-US" w:eastAsia="zh-CN"/>
              </w:rPr>
              <w:t>家</w:t>
            </w:r>
            <w:r>
              <w:rPr>
                <w:rFonts w:hint="eastAsia" w:ascii="宋体" w:hAnsi="宋体" w:cs="宋体"/>
                <w:color w:val="auto"/>
                <w:kern w:val="0"/>
                <w:sz w:val="20"/>
                <w:szCs w:val="20"/>
                <w:highlight w:val="none"/>
                <w:lang w:val="en-US" w:eastAsia="zh-CN"/>
              </w:rPr>
              <w:t>）</w:t>
            </w:r>
          </w:p>
        </w:tc>
        <w:tc>
          <w:tcPr>
            <w:tcW w:w="659" w:type="pct"/>
            <w:noWrap w:val="0"/>
            <w:vAlign w:val="center"/>
          </w:tcPr>
          <w:p w14:paraId="277981D7">
            <w:pPr>
              <w:widowControl/>
              <w:spacing w:line="240" w:lineRule="auto"/>
              <w:ind w:firstLine="0" w:firstLineChars="0"/>
              <w:jc w:val="center"/>
              <w:rPr>
                <w:rFonts w:hint="default" w:ascii="宋体" w:hAnsi="宋体" w:eastAsia="宋体" w:cs="宋体"/>
                <w:color w:val="auto"/>
                <w:kern w:val="0"/>
                <w:sz w:val="20"/>
                <w:szCs w:val="20"/>
                <w:highlight w:val="none"/>
                <w:lang w:val="en-US" w:eastAsia="zh-CN"/>
              </w:rPr>
            </w:pPr>
            <w:r>
              <w:rPr>
                <w:rFonts w:hint="eastAsia" w:ascii="宋体" w:hAnsi="宋体" w:eastAsia="宋体" w:cs="宋体"/>
                <w:color w:val="auto"/>
                <w:kern w:val="0"/>
                <w:sz w:val="20"/>
                <w:szCs w:val="20"/>
                <w:highlight w:val="none"/>
                <w:lang w:val="en-US" w:eastAsia="zh-CN"/>
              </w:rPr>
              <w:t>≥30家</w:t>
            </w:r>
          </w:p>
        </w:tc>
      </w:tr>
      <w:tr w14:paraId="131548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9" w:hRule="atLeast"/>
          <w:jc w:val="center"/>
        </w:trPr>
        <w:tc>
          <w:tcPr>
            <w:tcW w:w="755" w:type="pct"/>
            <w:vMerge w:val="continue"/>
            <w:noWrap w:val="0"/>
            <w:vAlign w:val="center"/>
          </w:tcPr>
          <w:p w14:paraId="1D402AEB">
            <w:pPr>
              <w:widowControl/>
              <w:spacing w:line="240" w:lineRule="auto"/>
              <w:ind w:firstLine="0" w:firstLineChars="0"/>
              <w:jc w:val="center"/>
              <w:rPr>
                <w:rFonts w:hint="eastAsia" w:ascii="宋体" w:hAnsi="宋体" w:eastAsia="宋体" w:cs="宋体"/>
                <w:color w:val="auto"/>
                <w:kern w:val="0"/>
                <w:sz w:val="20"/>
                <w:szCs w:val="20"/>
                <w:highlight w:val="none"/>
              </w:rPr>
            </w:pPr>
          </w:p>
        </w:tc>
        <w:tc>
          <w:tcPr>
            <w:tcW w:w="565" w:type="pct"/>
            <w:vMerge w:val="continue"/>
            <w:noWrap w:val="0"/>
            <w:vAlign w:val="center"/>
          </w:tcPr>
          <w:p w14:paraId="3C92B5C5">
            <w:pPr>
              <w:widowControl/>
              <w:spacing w:line="240" w:lineRule="auto"/>
              <w:ind w:firstLine="0" w:firstLineChars="0"/>
              <w:jc w:val="center"/>
              <w:rPr>
                <w:rFonts w:hint="eastAsia" w:ascii="宋体" w:hAnsi="宋体" w:eastAsia="宋体" w:cs="宋体"/>
                <w:color w:val="auto"/>
                <w:kern w:val="0"/>
                <w:sz w:val="20"/>
                <w:szCs w:val="20"/>
                <w:highlight w:val="none"/>
              </w:rPr>
            </w:pPr>
          </w:p>
        </w:tc>
        <w:tc>
          <w:tcPr>
            <w:tcW w:w="632" w:type="pct"/>
            <w:vMerge w:val="continue"/>
            <w:noWrap w:val="0"/>
            <w:vAlign w:val="center"/>
          </w:tcPr>
          <w:p w14:paraId="77F114A7">
            <w:pPr>
              <w:widowControl/>
              <w:spacing w:line="240" w:lineRule="auto"/>
              <w:ind w:firstLine="0" w:firstLineChars="0"/>
              <w:jc w:val="center"/>
              <w:rPr>
                <w:rFonts w:hint="eastAsia" w:ascii="宋体" w:hAnsi="宋体" w:eastAsia="宋体" w:cs="宋体"/>
                <w:color w:val="auto"/>
                <w:kern w:val="0"/>
                <w:sz w:val="20"/>
                <w:szCs w:val="20"/>
                <w:highlight w:val="none"/>
              </w:rPr>
            </w:pPr>
          </w:p>
        </w:tc>
        <w:tc>
          <w:tcPr>
            <w:tcW w:w="2387" w:type="pct"/>
            <w:gridSpan w:val="2"/>
            <w:noWrap w:val="0"/>
            <w:vAlign w:val="center"/>
          </w:tcPr>
          <w:p w14:paraId="1BA7A715">
            <w:pPr>
              <w:widowControl/>
              <w:spacing w:line="240" w:lineRule="auto"/>
              <w:ind w:firstLine="0" w:firstLineChars="0"/>
              <w:jc w:val="center"/>
              <w:rPr>
                <w:rFonts w:hint="eastAsia" w:ascii="宋体" w:hAnsi="宋体" w:eastAsia="宋体" w:cs="宋体"/>
                <w:color w:val="auto"/>
                <w:kern w:val="0"/>
                <w:sz w:val="20"/>
                <w:szCs w:val="20"/>
                <w:highlight w:val="none"/>
                <w:lang w:val="en-US" w:eastAsia="zh-CN"/>
              </w:rPr>
            </w:pPr>
            <w:r>
              <w:rPr>
                <w:rFonts w:hint="eastAsia" w:ascii="宋体" w:hAnsi="宋体" w:eastAsia="宋体" w:cs="宋体"/>
                <w:color w:val="auto"/>
                <w:kern w:val="0"/>
                <w:sz w:val="20"/>
                <w:szCs w:val="20"/>
                <w:highlight w:val="none"/>
                <w:lang w:val="en-US" w:eastAsia="zh-CN"/>
              </w:rPr>
              <w:t>对全疆地州市进行中小企业发展环境评估的数量</w:t>
            </w:r>
            <w:r>
              <w:rPr>
                <w:rFonts w:hint="eastAsia" w:ascii="宋体" w:hAnsi="宋体" w:cs="宋体"/>
                <w:color w:val="auto"/>
                <w:kern w:val="0"/>
                <w:sz w:val="20"/>
                <w:szCs w:val="20"/>
                <w:highlight w:val="none"/>
                <w:lang w:val="en-US" w:eastAsia="zh-CN"/>
              </w:rPr>
              <w:t>（</w:t>
            </w:r>
            <w:r>
              <w:rPr>
                <w:rFonts w:hint="eastAsia" w:ascii="宋体" w:hAnsi="宋体" w:eastAsia="宋体" w:cs="宋体"/>
                <w:color w:val="auto"/>
                <w:kern w:val="0"/>
                <w:sz w:val="20"/>
                <w:szCs w:val="20"/>
                <w:highlight w:val="none"/>
                <w:lang w:val="en-US" w:eastAsia="zh-CN"/>
              </w:rPr>
              <w:t>个</w:t>
            </w:r>
            <w:r>
              <w:rPr>
                <w:rFonts w:hint="eastAsia" w:ascii="宋体" w:hAnsi="宋体" w:cs="宋体"/>
                <w:color w:val="auto"/>
                <w:kern w:val="0"/>
                <w:sz w:val="20"/>
                <w:szCs w:val="20"/>
                <w:highlight w:val="none"/>
                <w:lang w:val="en-US" w:eastAsia="zh-CN"/>
              </w:rPr>
              <w:t>）</w:t>
            </w:r>
          </w:p>
        </w:tc>
        <w:tc>
          <w:tcPr>
            <w:tcW w:w="659" w:type="pct"/>
            <w:noWrap w:val="0"/>
            <w:vAlign w:val="center"/>
          </w:tcPr>
          <w:p w14:paraId="06C198CF">
            <w:pPr>
              <w:widowControl/>
              <w:spacing w:line="240" w:lineRule="auto"/>
              <w:ind w:firstLine="0" w:firstLineChars="0"/>
              <w:jc w:val="center"/>
              <w:rPr>
                <w:rFonts w:hint="default" w:ascii="宋体" w:hAnsi="宋体" w:eastAsia="宋体" w:cs="宋体"/>
                <w:color w:val="auto"/>
                <w:kern w:val="0"/>
                <w:sz w:val="20"/>
                <w:szCs w:val="20"/>
                <w:highlight w:val="none"/>
                <w:lang w:val="en-US" w:eastAsia="zh-CN"/>
              </w:rPr>
            </w:pPr>
            <w:r>
              <w:rPr>
                <w:rFonts w:hint="eastAsia" w:ascii="宋体" w:hAnsi="宋体" w:eastAsia="宋体" w:cs="宋体"/>
                <w:color w:val="auto"/>
                <w:kern w:val="0"/>
                <w:sz w:val="20"/>
                <w:szCs w:val="20"/>
                <w:highlight w:val="none"/>
                <w:lang w:val="en-US" w:eastAsia="zh-CN"/>
              </w:rPr>
              <w:t>14个</w:t>
            </w:r>
          </w:p>
        </w:tc>
      </w:tr>
      <w:tr w14:paraId="38D4E2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jc w:val="center"/>
        </w:trPr>
        <w:tc>
          <w:tcPr>
            <w:tcW w:w="755" w:type="pct"/>
            <w:vMerge w:val="continue"/>
            <w:noWrap w:val="0"/>
            <w:vAlign w:val="center"/>
          </w:tcPr>
          <w:p w14:paraId="39F2BE27">
            <w:pPr>
              <w:widowControl/>
              <w:spacing w:line="240" w:lineRule="auto"/>
              <w:ind w:firstLine="0" w:firstLineChars="0"/>
              <w:jc w:val="center"/>
              <w:rPr>
                <w:rFonts w:hint="eastAsia" w:ascii="宋体" w:hAnsi="宋体" w:eastAsia="宋体" w:cs="宋体"/>
                <w:color w:val="auto"/>
                <w:kern w:val="0"/>
                <w:sz w:val="20"/>
                <w:szCs w:val="20"/>
                <w:highlight w:val="none"/>
              </w:rPr>
            </w:pPr>
          </w:p>
        </w:tc>
        <w:tc>
          <w:tcPr>
            <w:tcW w:w="565" w:type="pct"/>
            <w:vMerge w:val="continue"/>
            <w:noWrap w:val="0"/>
            <w:vAlign w:val="center"/>
          </w:tcPr>
          <w:p w14:paraId="3C7E1556">
            <w:pPr>
              <w:widowControl/>
              <w:spacing w:line="240" w:lineRule="auto"/>
              <w:ind w:firstLine="0" w:firstLineChars="0"/>
              <w:jc w:val="center"/>
              <w:rPr>
                <w:rFonts w:hint="eastAsia" w:ascii="宋体" w:hAnsi="宋体" w:eastAsia="宋体" w:cs="宋体"/>
                <w:color w:val="auto"/>
                <w:kern w:val="0"/>
                <w:sz w:val="20"/>
                <w:szCs w:val="20"/>
                <w:highlight w:val="none"/>
              </w:rPr>
            </w:pPr>
          </w:p>
        </w:tc>
        <w:tc>
          <w:tcPr>
            <w:tcW w:w="632" w:type="pct"/>
            <w:vMerge w:val="continue"/>
            <w:noWrap w:val="0"/>
            <w:vAlign w:val="center"/>
          </w:tcPr>
          <w:p w14:paraId="35283199">
            <w:pPr>
              <w:widowControl/>
              <w:spacing w:line="240" w:lineRule="auto"/>
              <w:ind w:firstLine="0" w:firstLineChars="0"/>
              <w:jc w:val="center"/>
              <w:rPr>
                <w:rFonts w:hint="eastAsia" w:ascii="宋体" w:hAnsi="宋体" w:eastAsia="宋体" w:cs="宋体"/>
                <w:color w:val="auto"/>
                <w:kern w:val="0"/>
                <w:sz w:val="20"/>
                <w:szCs w:val="20"/>
                <w:highlight w:val="none"/>
              </w:rPr>
            </w:pPr>
          </w:p>
        </w:tc>
        <w:tc>
          <w:tcPr>
            <w:tcW w:w="2387" w:type="pct"/>
            <w:gridSpan w:val="2"/>
            <w:noWrap w:val="0"/>
            <w:vAlign w:val="center"/>
          </w:tcPr>
          <w:p w14:paraId="1D1FB596">
            <w:pPr>
              <w:widowControl/>
              <w:spacing w:line="240" w:lineRule="auto"/>
              <w:ind w:firstLine="0" w:firstLineChars="0"/>
              <w:jc w:val="center"/>
              <w:rPr>
                <w:rFonts w:hint="eastAsia" w:ascii="宋体" w:hAnsi="宋体" w:eastAsia="宋体" w:cs="宋体"/>
                <w:color w:val="auto"/>
                <w:kern w:val="0"/>
                <w:sz w:val="20"/>
                <w:szCs w:val="20"/>
                <w:highlight w:val="none"/>
                <w:lang w:val="en-US" w:eastAsia="zh-CN"/>
              </w:rPr>
            </w:pPr>
            <w:r>
              <w:rPr>
                <w:rFonts w:hint="eastAsia" w:ascii="宋体" w:hAnsi="宋体" w:eastAsia="宋体" w:cs="宋体"/>
                <w:color w:val="auto"/>
                <w:kern w:val="0"/>
                <w:sz w:val="20"/>
                <w:szCs w:val="20"/>
                <w:highlight w:val="none"/>
                <w:lang w:val="en-US" w:eastAsia="zh-CN"/>
              </w:rPr>
              <w:t>核查专项资金的实施地州市数量</w:t>
            </w:r>
            <w:r>
              <w:rPr>
                <w:rFonts w:hint="eastAsia" w:ascii="宋体" w:hAnsi="宋体" w:cs="宋体"/>
                <w:color w:val="auto"/>
                <w:kern w:val="0"/>
                <w:sz w:val="20"/>
                <w:szCs w:val="20"/>
                <w:highlight w:val="none"/>
                <w:lang w:val="en-US" w:eastAsia="zh-CN"/>
              </w:rPr>
              <w:t>（</w:t>
            </w:r>
            <w:r>
              <w:rPr>
                <w:rFonts w:hint="eastAsia" w:ascii="宋体" w:hAnsi="宋体" w:eastAsia="宋体" w:cs="宋体"/>
                <w:color w:val="auto"/>
                <w:kern w:val="0"/>
                <w:sz w:val="20"/>
                <w:szCs w:val="20"/>
                <w:highlight w:val="none"/>
                <w:lang w:val="en-US" w:eastAsia="zh-CN"/>
              </w:rPr>
              <w:t>个</w:t>
            </w:r>
            <w:r>
              <w:rPr>
                <w:rFonts w:hint="eastAsia" w:ascii="宋体" w:hAnsi="宋体" w:cs="宋体"/>
                <w:color w:val="auto"/>
                <w:kern w:val="0"/>
                <w:sz w:val="20"/>
                <w:szCs w:val="20"/>
                <w:highlight w:val="none"/>
                <w:lang w:val="en-US" w:eastAsia="zh-CN"/>
              </w:rPr>
              <w:t>）</w:t>
            </w:r>
          </w:p>
        </w:tc>
        <w:tc>
          <w:tcPr>
            <w:tcW w:w="659" w:type="pct"/>
            <w:noWrap w:val="0"/>
            <w:vAlign w:val="center"/>
          </w:tcPr>
          <w:p w14:paraId="3D146DF4">
            <w:pPr>
              <w:widowControl/>
              <w:spacing w:line="240" w:lineRule="auto"/>
              <w:ind w:firstLine="0" w:firstLineChars="0"/>
              <w:jc w:val="center"/>
              <w:rPr>
                <w:rFonts w:hint="eastAsia" w:ascii="宋体" w:hAnsi="宋体" w:eastAsia="宋体" w:cs="宋体"/>
                <w:color w:val="auto"/>
                <w:kern w:val="0"/>
                <w:sz w:val="20"/>
                <w:szCs w:val="20"/>
                <w:highlight w:val="none"/>
                <w:lang w:val="en-US" w:eastAsia="zh-CN"/>
              </w:rPr>
            </w:pPr>
            <w:r>
              <w:rPr>
                <w:rFonts w:hint="eastAsia" w:ascii="宋体" w:hAnsi="宋体" w:eastAsia="宋体" w:cs="宋体"/>
                <w:color w:val="auto"/>
                <w:kern w:val="0"/>
                <w:sz w:val="20"/>
                <w:szCs w:val="20"/>
                <w:highlight w:val="none"/>
                <w:lang w:val="en-US" w:eastAsia="zh-CN"/>
              </w:rPr>
              <w:t>14个</w:t>
            </w:r>
          </w:p>
        </w:tc>
      </w:tr>
      <w:tr w14:paraId="6A60CC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jc w:val="center"/>
        </w:trPr>
        <w:tc>
          <w:tcPr>
            <w:tcW w:w="755" w:type="pct"/>
            <w:vMerge w:val="continue"/>
            <w:noWrap w:val="0"/>
            <w:vAlign w:val="center"/>
          </w:tcPr>
          <w:p w14:paraId="6CD42E7D">
            <w:pPr>
              <w:widowControl/>
              <w:spacing w:line="240" w:lineRule="auto"/>
              <w:ind w:firstLine="0" w:firstLineChars="0"/>
              <w:jc w:val="center"/>
              <w:rPr>
                <w:rFonts w:hint="eastAsia" w:ascii="宋体" w:hAnsi="宋体" w:eastAsia="宋体" w:cs="宋体"/>
                <w:color w:val="auto"/>
                <w:kern w:val="0"/>
                <w:sz w:val="20"/>
                <w:szCs w:val="20"/>
                <w:highlight w:val="none"/>
              </w:rPr>
            </w:pPr>
          </w:p>
        </w:tc>
        <w:tc>
          <w:tcPr>
            <w:tcW w:w="565" w:type="pct"/>
            <w:vMerge w:val="continue"/>
            <w:noWrap w:val="0"/>
            <w:vAlign w:val="center"/>
          </w:tcPr>
          <w:p w14:paraId="55185233">
            <w:pPr>
              <w:widowControl/>
              <w:spacing w:line="240" w:lineRule="auto"/>
              <w:ind w:firstLine="0" w:firstLineChars="0"/>
              <w:jc w:val="center"/>
              <w:rPr>
                <w:rFonts w:hint="eastAsia" w:ascii="宋体" w:hAnsi="宋体" w:eastAsia="宋体" w:cs="宋体"/>
                <w:color w:val="auto"/>
                <w:kern w:val="0"/>
                <w:sz w:val="20"/>
                <w:szCs w:val="20"/>
                <w:highlight w:val="none"/>
              </w:rPr>
            </w:pPr>
          </w:p>
        </w:tc>
        <w:tc>
          <w:tcPr>
            <w:tcW w:w="632" w:type="pct"/>
            <w:vMerge w:val="continue"/>
            <w:noWrap w:val="0"/>
            <w:vAlign w:val="center"/>
          </w:tcPr>
          <w:p w14:paraId="0CAB1698">
            <w:pPr>
              <w:widowControl/>
              <w:spacing w:line="240" w:lineRule="auto"/>
              <w:ind w:firstLine="0" w:firstLineChars="0"/>
              <w:jc w:val="center"/>
              <w:rPr>
                <w:rFonts w:hint="eastAsia" w:ascii="宋体" w:hAnsi="宋体" w:eastAsia="宋体" w:cs="宋体"/>
                <w:color w:val="auto"/>
                <w:kern w:val="0"/>
                <w:sz w:val="20"/>
                <w:szCs w:val="20"/>
                <w:highlight w:val="none"/>
              </w:rPr>
            </w:pPr>
          </w:p>
        </w:tc>
        <w:tc>
          <w:tcPr>
            <w:tcW w:w="2387" w:type="pct"/>
            <w:gridSpan w:val="2"/>
            <w:noWrap w:val="0"/>
            <w:vAlign w:val="center"/>
          </w:tcPr>
          <w:p w14:paraId="5602B2C8">
            <w:pPr>
              <w:widowControl/>
              <w:spacing w:line="240" w:lineRule="auto"/>
              <w:ind w:firstLine="0" w:firstLineChars="0"/>
              <w:jc w:val="center"/>
              <w:rPr>
                <w:rFonts w:hint="eastAsia"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纳入</w:t>
            </w:r>
            <w:r>
              <w:rPr>
                <w:rFonts w:hint="eastAsia" w:ascii="宋体" w:hAnsi="宋体" w:eastAsia="宋体" w:cs="宋体"/>
                <w:color w:val="auto"/>
                <w:kern w:val="0"/>
                <w:sz w:val="20"/>
                <w:szCs w:val="20"/>
                <w:highlight w:val="none"/>
                <w:lang w:val="en-US" w:eastAsia="zh-CN"/>
              </w:rPr>
              <w:t>运行监测的企业数量</w:t>
            </w:r>
            <w:r>
              <w:rPr>
                <w:rFonts w:hint="eastAsia" w:ascii="宋体" w:hAnsi="宋体" w:cs="宋体"/>
                <w:color w:val="auto"/>
                <w:kern w:val="0"/>
                <w:sz w:val="20"/>
                <w:szCs w:val="20"/>
                <w:highlight w:val="none"/>
                <w:lang w:val="en-US" w:eastAsia="zh-CN"/>
              </w:rPr>
              <w:t>（</w:t>
            </w:r>
            <w:r>
              <w:rPr>
                <w:rFonts w:hint="eastAsia" w:ascii="宋体" w:hAnsi="宋体" w:eastAsia="宋体" w:cs="宋体"/>
                <w:color w:val="auto"/>
                <w:kern w:val="0"/>
                <w:sz w:val="20"/>
                <w:szCs w:val="20"/>
                <w:highlight w:val="none"/>
                <w:lang w:val="en-US" w:eastAsia="zh-CN"/>
              </w:rPr>
              <w:t>家</w:t>
            </w:r>
            <w:r>
              <w:rPr>
                <w:rFonts w:hint="eastAsia" w:ascii="宋体" w:hAnsi="宋体" w:cs="宋体"/>
                <w:color w:val="auto"/>
                <w:kern w:val="0"/>
                <w:sz w:val="20"/>
                <w:szCs w:val="20"/>
                <w:highlight w:val="none"/>
                <w:lang w:val="en-US" w:eastAsia="zh-CN"/>
              </w:rPr>
              <w:t>）</w:t>
            </w:r>
          </w:p>
        </w:tc>
        <w:tc>
          <w:tcPr>
            <w:tcW w:w="659" w:type="pct"/>
            <w:noWrap w:val="0"/>
            <w:vAlign w:val="center"/>
          </w:tcPr>
          <w:p w14:paraId="3CC5C007">
            <w:pPr>
              <w:widowControl/>
              <w:spacing w:line="240" w:lineRule="auto"/>
              <w:ind w:firstLine="0" w:firstLineChars="0"/>
              <w:jc w:val="center"/>
              <w:rPr>
                <w:rFonts w:hint="eastAsia" w:ascii="宋体" w:hAnsi="宋体" w:eastAsia="宋体" w:cs="宋体"/>
                <w:color w:val="auto"/>
                <w:kern w:val="0"/>
                <w:sz w:val="20"/>
                <w:szCs w:val="20"/>
                <w:highlight w:val="none"/>
                <w:lang w:val="en-US" w:eastAsia="zh-CN"/>
              </w:rPr>
            </w:pPr>
            <w:r>
              <w:rPr>
                <w:rFonts w:hint="eastAsia" w:ascii="宋体" w:hAnsi="宋体" w:eastAsia="宋体" w:cs="宋体"/>
                <w:color w:val="auto"/>
                <w:kern w:val="0"/>
                <w:sz w:val="20"/>
                <w:szCs w:val="20"/>
                <w:highlight w:val="none"/>
                <w:lang w:val="en-US" w:eastAsia="zh-CN"/>
              </w:rPr>
              <w:t>≥500家</w:t>
            </w:r>
          </w:p>
        </w:tc>
      </w:tr>
      <w:tr w14:paraId="3B4C78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6" w:hRule="atLeast"/>
          <w:jc w:val="center"/>
        </w:trPr>
        <w:tc>
          <w:tcPr>
            <w:tcW w:w="755" w:type="pct"/>
            <w:vMerge w:val="continue"/>
            <w:noWrap w:val="0"/>
            <w:vAlign w:val="center"/>
          </w:tcPr>
          <w:p w14:paraId="1400383F">
            <w:pPr>
              <w:widowControl/>
              <w:spacing w:line="240" w:lineRule="auto"/>
              <w:ind w:firstLine="0" w:firstLineChars="0"/>
              <w:jc w:val="center"/>
              <w:rPr>
                <w:rFonts w:hint="eastAsia" w:ascii="宋体" w:hAnsi="宋体" w:eastAsia="宋体" w:cs="宋体"/>
                <w:color w:val="auto"/>
                <w:kern w:val="0"/>
                <w:sz w:val="20"/>
                <w:szCs w:val="20"/>
                <w:highlight w:val="none"/>
              </w:rPr>
            </w:pPr>
          </w:p>
        </w:tc>
        <w:tc>
          <w:tcPr>
            <w:tcW w:w="565" w:type="pct"/>
            <w:vMerge w:val="continue"/>
            <w:noWrap w:val="0"/>
            <w:vAlign w:val="center"/>
          </w:tcPr>
          <w:p w14:paraId="2AE436F0">
            <w:pPr>
              <w:widowControl/>
              <w:spacing w:line="240" w:lineRule="auto"/>
              <w:ind w:firstLine="0" w:firstLineChars="0"/>
              <w:jc w:val="center"/>
              <w:rPr>
                <w:rFonts w:hint="eastAsia" w:ascii="宋体" w:hAnsi="宋体" w:eastAsia="宋体" w:cs="宋体"/>
                <w:color w:val="auto"/>
                <w:kern w:val="0"/>
                <w:sz w:val="20"/>
                <w:szCs w:val="20"/>
                <w:highlight w:val="none"/>
              </w:rPr>
            </w:pPr>
          </w:p>
        </w:tc>
        <w:tc>
          <w:tcPr>
            <w:tcW w:w="632" w:type="pct"/>
            <w:vMerge w:val="continue"/>
            <w:noWrap w:val="0"/>
            <w:vAlign w:val="center"/>
          </w:tcPr>
          <w:p w14:paraId="57098748">
            <w:pPr>
              <w:widowControl/>
              <w:spacing w:line="240" w:lineRule="auto"/>
              <w:ind w:firstLine="0" w:firstLineChars="0"/>
              <w:jc w:val="center"/>
              <w:rPr>
                <w:rFonts w:hint="eastAsia" w:ascii="宋体" w:hAnsi="宋体" w:eastAsia="宋体" w:cs="宋体"/>
                <w:color w:val="auto"/>
                <w:kern w:val="0"/>
                <w:sz w:val="20"/>
                <w:szCs w:val="20"/>
                <w:highlight w:val="none"/>
              </w:rPr>
            </w:pPr>
          </w:p>
        </w:tc>
        <w:tc>
          <w:tcPr>
            <w:tcW w:w="2387" w:type="pct"/>
            <w:gridSpan w:val="2"/>
            <w:noWrap w:val="0"/>
            <w:vAlign w:val="center"/>
          </w:tcPr>
          <w:p w14:paraId="7599CAF8">
            <w:pPr>
              <w:widowControl/>
              <w:spacing w:line="240" w:lineRule="auto"/>
              <w:ind w:firstLine="0" w:firstLineChars="0"/>
              <w:jc w:val="center"/>
              <w:rPr>
                <w:rFonts w:hint="eastAsia" w:ascii="宋体" w:hAnsi="宋体" w:eastAsia="宋体" w:cs="宋体"/>
                <w:color w:val="auto"/>
                <w:kern w:val="0"/>
                <w:sz w:val="20"/>
                <w:szCs w:val="20"/>
                <w:highlight w:val="none"/>
                <w:lang w:val="en-US" w:eastAsia="zh-CN"/>
              </w:rPr>
            </w:pPr>
            <w:r>
              <w:rPr>
                <w:rFonts w:hint="eastAsia" w:ascii="宋体" w:hAnsi="宋体" w:eastAsia="宋体" w:cs="宋体"/>
                <w:color w:val="auto"/>
                <w:kern w:val="0"/>
                <w:sz w:val="20"/>
                <w:szCs w:val="20"/>
                <w:highlight w:val="none"/>
                <w:lang w:val="en-US" w:eastAsia="zh-CN"/>
              </w:rPr>
              <w:t>申领中小企业服务券企业数量</w:t>
            </w:r>
            <w:r>
              <w:rPr>
                <w:rFonts w:hint="eastAsia" w:ascii="宋体" w:hAnsi="宋体" w:cs="宋体"/>
                <w:color w:val="auto"/>
                <w:kern w:val="0"/>
                <w:sz w:val="20"/>
                <w:szCs w:val="20"/>
                <w:highlight w:val="none"/>
                <w:lang w:val="en-US" w:eastAsia="zh-CN"/>
              </w:rPr>
              <w:t>（</w:t>
            </w:r>
            <w:r>
              <w:rPr>
                <w:rFonts w:hint="eastAsia" w:ascii="宋体" w:hAnsi="宋体" w:eastAsia="宋体" w:cs="宋体"/>
                <w:color w:val="auto"/>
                <w:kern w:val="0"/>
                <w:sz w:val="20"/>
                <w:szCs w:val="20"/>
                <w:highlight w:val="none"/>
                <w:lang w:val="en-US" w:eastAsia="zh-CN"/>
              </w:rPr>
              <w:t>家</w:t>
            </w:r>
            <w:r>
              <w:rPr>
                <w:rFonts w:hint="eastAsia" w:ascii="宋体" w:hAnsi="宋体" w:cs="宋体"/>
                <w:color w:val="auto"/>
                <w:kern w:val="0"/>
                <w:sz w:val="20"/>
                <w:szCs w:val="20"/>
                <w:highlight w:val="none"/>
                <w:lang w:val="en-US" w:eastAsia="zh-CN"/>
              </w:rPr>
              <w:t>）</w:t>
            </w:r>
          </w:p>
        </w:tc>
        <w:tc>
          <w:tcPr>
            <w:tcW w:w="659" w:type="pct"/>
            <w:noWrap w:val="0"/>
            <w:vAlign w:val="center"/>
          </w:tcPr>
          <w:p w14:paraId="77228C82">
            <w:pPr>
              <w:widowControl/>
              <w:spacing w:line="240" w:lineRule="auto"/>
              <w:ind w:firstLine="0" w:firstLineChars="0"/>
              <w:jc w:val="center"/>
              <w:rPr>
                <w:rFonts w:hint="eastAsia" w:ascii="宋体" w:hAnsi="宋体" w:eastAsia="宋体" w:cs="宋体"/>
                <w:color w:val="auto"/>
                <w:kern w:val="0"/>
                <w:sz w:val="20"/>
                <w:szCs w:val="20"/>
                <w:highlight w:val="none"/>
                <w:lang w:val="en-US" w:eastAsia="zh-CN"/>
              </w:rPr>
            </w:pPr>
            <w:r>
              <w:rPr>
                <w:rFonts w:hint="eastAsia" w:ascii="宋体" w:hAnsi="宋体" w:eastAsia="宋体" w:cs="宋体"/>
                <w:color w:val="auto"/>
                <w:kern w:val="0"/>
                <w:sz w:val="20"/>
                <w:szCs w:val="20"/>
                <w:highlight w:val="none"/>
                <w:lang w:val="en-US" w:eastAsia="zh-CN"/>
              </w:rPr>
              <w:t>≥50家</w:t>
            </w:r>
          </w:p>
        </w:tc>
      </w:tr>
      <w:tr w14:paraId="710E29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8" w:hRule="atLeast"/>
          <w:jc w:val="center"/>
        </w:trPr>
        <w:tc>
          <w:tcPr>
            <w:tcW w:w="755" w:type="pct"/>
            <w:vMerge w:val="continue"/>
            <w:noWrap w:val="0"/>
            <w:vAlign w:val="center"/>
          </w:tcPr>
          <w:p w14:paraId="3987C907">
            <w:pPr>
              <w:widowControl/>
              <w:spacing w:line="240" w:lineRule="auto"/>
              <w:ind w:firstLine="0" w:firstLineChars="0"/>
              <w:jc w:val="center"/>
              <w:rPr>
                <w:rFonts w:hint="eastAsia" w:ascii="宋体" w:hAnsi="宋体" w:eastAsia="宋体" w:cs="宋体"/>
                <w:color w:val="auto"/>
                <w:kern w:val="0"/>
                <w:sz w:val="20"/>
                <w:szCs w:val="20"/>
                <w:highlight w:val="none"/>
              </w:rPr>
            </w:pPr>
          </w:p>
        </w:tc>
        <w:tc>
          <w:tcPr>
            <w:tcW w:w="565" w:type="pct"/>
            <w:vMerge w:val="continue"/>
            <w:noWrap w:val="0"/>
            <w:vAlign w:val="center"/>
          </w:tcPr>
          <w:p w14:paraId="2FF978C6">
            <w:pPr>
              <w:widowControl/>
              <w:spacing w:line="240" w:lineRule="auto"/>
              <w:ind w:firstLine="0" w:firstLineChars="0"/>
              <w:jc w:val="center"/>
              <w:rPr>
                <w:rFonts w:hint="eastAsia" w:ascii="宋体" w:hAnsi="宋体" w:eastAsia="宋体" w:cs="宋体"/>
                <w:color w:val="auto"/>
                <w:kern w:val="0"/>
                <w:sz w:val="20"/>
                <w:szCs w:val="20"/>
                <w:highlight w:val="none"/>
              </w:rPr>
            </w:pPr>
          </w:p>
        </w:tc>
        <w:tc>
          <w:tcPr>
            <w:tcW w:w="632" w:type="pct"/>
            <w:vMerge w:val="continue"/>
            <w:noWrap w:val="0"/>
            <w:vAlign w:val="center"/>
          </w:tcPr>
          <w:p w14:paraId="30686E15">
            <w:pPr>
              <w:widowControl/>
              <w:spacing w:line="240" w:lineRule="auto"/>
              <w:ind w:firstLine="0" w:firstLineChars="0"/>
              <w:jc w:val="center"/>
              <w:rPr>
                <w:rFonts w:hint="eastAsia" w:ascii="宋体" w:hAnsi="宋体" w:eastAsia="宋体" w:cs="宋体"/>
                <w:color w:val="auto"/>
                <w:kern w:val="0"/>
                <w:sz w:val="20"/>
                <w:szCs w:val="20"/>
                <w:highlight w:val="none"/>
              </w:rPr>
            </w:pPr>
          </w:p>
        </w:tc>
        <w:tc>
          <w:tcPr>
            <w:tcW w:w="2387" w:type="pct"/>
            <w:gridSpan w:val="2"/>
            <w:noWrap w:val="0"/>
            <w:vAlign w:val="center"/>
          </w:tcPr>
          <w:p w14:paraId="437B4EBB">
            <w:pPr>
              <w:widowControl/>
              <w:spacing w:line="240" w:lineRule="auto"/>
              <w:ind w:firstLine="0" w:firstLineChars="0"/>
              <w:jc w:val="center"/>
              <w:rPr>
                <w:rFonts w:hint="eastAsia" w:ascii="宋体" w:hAnsi="宋体" w:eastAsia="宋体" w:cs="宋体"/>
                <w:color w:val="auto"/>
                <w:kern w:val="0"/>
                <w:sz w:val="20"/>
                <w:szCs w:val="20"/>
                <w:highlight w:val="none"/>
                <w:lang w:val="en-US" w:eastAsia="zh-CN"/>
              </w:rPr>
            </w:pPr>
            <w:r>
              <w:rPr>
                <w:rFonts w:hint="eastAsia" w:ascii="宋体" w:hAnsi="宋体" w:eastAsia="宋体" w:cs="宋体"/>
                <w:color w:val="auto"/>
                <w:kern w:val="0"/>
                <w:sz w:val="20"/>
                <w:szCs w:val="20"/>
                <w:highlight w:val="none"/>
                <w:lang w:val="en-US" w:eastAsia="zh-CN"/>
              </w:rPr>
              <w:t>推送各类政策信息数量</w:t>
            </w:r>
            <w:r>
              <w:rPr>
                <w:rFonts w:hint="eastAsia" w:ascii="宋体" w:hAnsi="宋体" w:cs="宋体"/>
                <w:color w:val="auto"/>
                <w:kern w:val="0"/>
                <w:sz w:val="20"/>
                <w:szCs w:val="20"/>
                <w:highlight w:val="none"/>
                <w:lang w:val="en-US" w:eastAsia="zh-CN"/>
              </w:rPr>
              <w:t>（</w:t>
            </w:r>
            <w:r>
              <w:rPr>
                <w:rFonts w:hint="eastAsia" w:ascii="宋体" w:hAnsi="宋体" w:eastAsia="宋体" w:cs="宋体"/>
                <w:color w:val="auto"/>
                <w:kern w:val="0"/>
                <w:sz w:val="20"/>
                <w:szCs w:val="20"/>
                <w:highlight w:val="none"/>
                <w:lang w:val="en-US" w:eastAsia="zh-CN"/>
              </w:rPr>
              <w:t>条</w:t>
            </w:r>
            <w:r>
              <w:rPr>
                <w:rFonts w:hint="eastAsia" w:ascii="宋体" w:hAnsi="宋体" w:cs="宋体"/>
                <w:color w:val="auto"/>
                <w:kern w:val="0"/>
                <w:sz w:val="20"/>
                <w:szCs w:val="20"/>
                <w:highlight w:val="none"/>
                <w:lang w:val="en-US" w:eastAsia="zh-CN"/>
              </w:rPr>
              <w:t>）</w:t>
            </w:r>
          </w:p>
        </w:tc>
        <w:tc>
          <w:tcPr>
            <w:tcW w:w="659" w:type="pct"/>
            <w:noWrap w:val="0"/>
            <w:vAlign w:val="center"/>
          </w:tcPr>
          <w:p w14:paraId="51A296E8">
            <w:pPr>
              <w:widowControl/>
              <w:spacing w:line="240" w:lineRule="auto"/>
              <w:ind w:firstLine="0" w:firstLineChars="0"/>
              <w:jc w:val="center"/>
              <w:rPr>
                <w:rFonts w:hint="default" w:ascii="宋体" w:hAnsi="宋体" w:eastAsia="宋体" w:cs="宋体"/>
                <w:color w:val="auto"/>
                <w:kern w:val="0"/>
                <w:sz w:val="20"/>
                <w:szCs w:val="20"/>
                <w:highlight w:val="none"/>
                <w:lang w:val="en-US" w:eastAsia="zh-CN"/>
              </w:rPr>
            </w:pPr>
            <w:r>
              <w:rPr>
                <w:rFonts w:hint="eastAsia" w:ascii="宋体" w:hAnsi="宋体" w:eastAsia="宋体" w:cs="宋体"/>
                <w:color w:val="auto"/>
                <w:kern w:val="0"/>
                <w:sz w:val="20"/>
                <w:szCs w:val="20"/>
                <w:highlight w:val="none"/>
                <w:lang w:val="en-US" w:eastAsia="zh-CN"/>
              </w:rPr>
              <w:t>≥1500条</w:t>
            </w:r>
          </w:p>
        </w:tc>
      </w:tr>
      <w:tr w14:paraId="525578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 w:hRule="atLeast"/>
          <w:jc w:val="center"/>
        </w:trPr>
        <w:tc>
          <w:tcPr>
            <w:tcW w:w="755" w:type="pct"/>
            <w:vMerge w:val="continue"/>
            <w:noWrap w:val="0"/>
            <w:vAlign w:val="center"/>
          </w:tcPr>
          <w:p w14:paraId="5DF8EC47">
            <w:pPr>
              <w:widowControl/>
              <w:spacing w:line="240" w:lineRule="auto"/>
              <w:ind w:firstLine="0" w:firstLineChars="0"/>
              <w:jc w:val="center"/>
              <w:rPr>
                <w:rFonts w:hint="eastAsia" w:ascii="宋体" w:hAnsi="宋体" w:eastAsia="宋体" w:cs="宋体"/>
                <w:color w:val="auto"/>
                <w:kern w:val="0"/>
                <w:sz w:val="20"/>
                <w:szCs w:val="20"/>
                <w:highlight w:val="none"/>
              </w:rPr>
            </w:pPr>
          </w:p>
        </w:tc>
        <w:tc>
          <w:tcPr>
            <w:tcW w:w="565" w:type="pct"/>
            <w:vMerge w:val="continue"/>
            <w:noWrap w:val="0"/>
            <w:vAlign w:val="center"/>
          </w:tcPr>
          <w:p w14:paraId="64D8FCD3">
            <w:pPr>
              <w:widowControl/>
              <w:spacing w:line="240" w:lineRule="auto"/>
              <w:ind w:firstLine="0" w:firstLineChars="0"/>
              <w:jc w:val="center"/>
              <w:rPr>
                <w:rFonts w:hint="eastAsia" w:ascii="宋体" w:hAnsi="宋体" w:eastAsia="宋体" w:cs="宋体"/>
                <w:color w:val="auto"/>
                <w:kern w:val="0"/>
                <w:sz w:val="20"/>
                <w:szCs w:val="20"/>
                <w:highlight w:val="none"/>
              </w:rPr>
            </w:pPr>
          </w:p>
        </w:tc>
        <w:tc>
          <w:tcPr>
            <w:tcW w:w="632" w:type="pct"/>
            <w:noWrap w:val="0"/>
            <w:vAlign w:val="center"/>
          </w:tcPr>
          <w:p w14:paraId="60FFEB5F">
            <w:pPr>
              <w:widowControl/>
              <w:spacing w:line="240" w:lineRule="auto"/>
              <w:ind w:firstLine="0" w:firstLineChars="0"/>
              <w:jc w:val="center"/>
              <w:rPr>
                <w:rFonts w:hint="eastAsia"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lang w:val="en-US" w:eastAsia="zh-CN"/>
              </w:rPr>
              <w:t>时效指标</w:t>
            </w:r>
          </w:p>
        </w:tc>
        <w:tc>
          <w:tcPr>
            <w:tcW w:w="2387" w:type="pct"/>
            <w:gridSpan w:val="2"/>
            <w:noWrap w:val="0"/>
            <w:vAlign w:val="center"/>
          </w:tcPr>
          <w:p w14:paraId="76D0F878">
            <w:pPr>
              <w:widowControl/>
              <w:spacing w:line="240" w:lineRule="auto"/>
              <w:ind w:firstLine="0" w:firstLineChars="0"/>
              <w:jc w:val="center"/>
              <w:rPr>
                <w:rFonts w:hint="eastAsia" w:ascii="宋体" w:hAnsi="宋体" w:eastAsia="宋体" w:cs="宋体"/>
                <w:color w:val="auto"/>
                <w:kern w:val="0"/>
                <w:sz w:val="20"/>
                <w:szCs w:val="20"/>
                <w:highlight w:val="none"/>
                <w:lang w:val="en-US" w:eastAsia="zh-CN"/>
              </w:rPr>
            </w:pPr>
            <w:r>
              <w:rPr>
                <w:rFonts w:hint="eastAsia" w:ascii="宋体" w:hAnsi="宋体" w:eastAsia="宋体" w:cs="宋体"/>
                <w:color w:val="auto"/>
                <w:kern w:val="0"/>
                <w:sz w:val="20"/>
                <w:szCs w:val="20"/>
                <w:highlight w:val="none"/>
                <w:lang w:val="en-US" w:eastAsia="zh-CN"/>
              </w:rPr>
              <w:t>资金拨付及时率</w:t>
            </w:r>
          </w:p>
        </w:tc>
        <w:tc>
          <w:tcPr>
            <w:tcW w:w="659" w:type="pct"/>
            <w:noWrap w:val="0"/>
            <w:vAlign w:val="center"/>
          </w:tcPr>
          <w:p w14:paraId="2BD57435">
            <w:pPr>
              <w:widowControl/>
              <w:spacing w:line="240" w:lineRule="auto"/>
              <w:ind w:firstLine="0" w:firstLineChars="0"/>
              <w:jc w:val="center"/>
              <w:rPr>
                <w:rFonts w:hint="default" w:ascii="宋体" w:hAnsi="宋体" w:eastAsia="宋体" w:cs="宋体"/>
                <w:color w:val="auto"/>
                <w:kern w:val="0"/>
                <w:sz w:val="20"/>
                <w:szCs w:val="20"/>
                <w:highlight w:val="none"/>
                <w:lang w:val="en-US" w:eastAsia="zh-CN"/>
              </w:rPr>
            </w:pPr>
            <w:r>
              <w:rPr>
                <w:rFonts w:hint="eastAsia" w:ascii="宋体" w:hAnsi="宋体" w:eastAsia="宋体" w:cs="宋体"/>
                <w:color w:val="auto"/>
                <w:kern w:val="0"/>
                <w:sz w:val="20"/>
                <w:szCs w:val="20"/>
                <w:highlight w:val="none"/>
                <w:lang w:val="en-US" w:eastAsia="zh-CN"/>
              </w:rPr>
              <w:t>100%</w:t>
            </w:r>
          </w:p>
        </w:tc>
      </w:tr>
      <w:tr w14:paraId="3F67CB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jc w:val="center"/>
        </w:trPr>
        <w:tc>
          <w:tcPr>
            <w:tcW w:w="755" w:type="pct"/>
            <w:vMerge w:val="continue"/>
            <w:noWrap w:val="0"/>
            <w:vAlign w:val="center"/>
          </w:tcPr>
          <w:p w14:paraId="52C37ED0">
            <w:pPr>
              <w:widowControl/>
              <w:spacing w:line="240" w:lineRule="auto"/>
              <w:ind w:firstLine="0" w:firstLineChars="0"/>
              <w:jc w:val="center"/>
              <w:rPr>
                <w:rFonts w:hint="eastAsia" w:ascii="宋体" w:hAnsi="宋体" w:eastAsia="宋体" w:cs="宋体"/>
                <w:color w:val="auto"/>
                <w:kern w:val="0"/>
                <w:sz w:val="20"/>
                <w:szCs w:val="20"/>
                <w:highlight w:val="none"/>
              </w:rPr>
            </w:pPr>
          </w:p>
        </w:tc>
        <w:tc>
          <w:tcPr>
            <w:tcW w:w="565" w:type="pct"/>
            <w:vMerge w:val="restart"/>
            <w:noWrap w:val="0"/>
            <w:vAlign w:val="center"/>
          </w:tcPr>
          <w:p w14:paraId="1D2F43D6">
            <w:pPr>
              <w:widowControl/>
              <w:spacing w:line="240" w:lineRule="auto"/>
              <w:ind w:firstLine="0" w:firstLineChars="0"/>
              <w:jc w:val="center"/>
              <w:rPr>
                <w:rFonts w:hint="eastAsia" w:ascii="宋体" w:hAnsi="宋体" w:eastAsia="宋体" w:cs="宋体"/>
                <w:color w:val="auto"/>
                <w:kern w:val="0"/>
                <w:sz w:val="20"/>
                <w:szCs w:val="20"/>
                <w:highlight w:val="none"/>
                <w:lang w:val="en-US" w:eastAsia="zh-CN"/>
              </w:rPr>
            </w:pPr>
            <w:r>
              <w:rPr>
                <w:rFonts w:hint="eastAsia" w:ascii="宋体" w:hAnsi="宋体" w:eastAsia="宋体" w:cs="宋体"/>
                <w:color w:val="auto"/>
                <w:kern w:val="0"/>
                <w:sz w:val="20"/>
                <w:szCs w:val="20"/>
                <w:highlight w:val="none"/>
                <w:lang w:val="en-US" w:eastAsia="zh-CN"/>
              </w:rPr>
              <w:t>效益指标</w:t>
            </w:r>
          </w:p>
        </w:tc>
        <w:tc>
          <w:tcPr>
            <w:tcW w:w="632" w:type="pct"/>
            <w:vMerge w:val="restart"/>
            <w:noWrap w:val="0"/>
            <w:vAlign w:val="center"/>
          </w:tcPr>
          <w:p w14:paraId="77F6BDBB">
            <w:pPr>
              <w:widowControl/>
              <w:spacing w:line="240" w:lineRule="auto"/>
              <w:ind w:firstLine="0" w:firstLineChars="0"/>
              <w:jc w:val="center"/>
              <w:rPr>
                <w:rFonts w:hint="default" w:ascii="宋体" w:hAnsi="宋体" w:eastAsia="宋体" w:cs="宋体"/>
                <w:color w:val="auto"/>
                <w:kern w:val="0"/>
                <w:sz w:val="20"/>
                <w:szCs w:val="20"/>
                <w:highlight w:val="none"/>
                <w:lang w:val="en-US" w:eastAsia="zh-CN"/>
              </w:rPr>
            </w:pPr>
            <w:r>
              <w:rPr>
                <w:rFonts w:hint="eastAsia" w:ascii="宋体" w:hAnsi="宋体" w:eastAsia="宋体" w:cs="宋体"/>
                <w:color w:val="auto"/>
                <w:kern w:val="0"/>
                <w:sz w:val="20"/>
                <w:szCs w:val="20"/>
                <w:highlight w:val="none"/>
                <w:lang w:val="en-US" w:eastAsia="zh-CN"/>
              </w:rPr>
              <w:t>经济效益指标</w:t>
            </w:r>
          </w:p>
        </w:tc>
        <w:tc>
          <w:tcPr>
            <w:tcW w:w="2387" w:type="pct"/>
            <w:gridSpan w:val="2"/>
            <w:noWrap w:val="0"/>
            <w:vAlign w:val="center"/>
          </w:tcPr>
          <w:p w14:paraId="42A272B3">
            <w:pPr>
              <w:widowControl/>
              <w:spacing w:line="240" w:lineRule="auto"/>
              <w:ind w:firstLine="0" w:firstLineChars="0"/>
              <w:jc w:val="center"/>
              <w:rPr>
                <w:rFonts w:hint="eastAsia" w:ascii="宋体" w:hAnsi="宋体" w:eastAsia="宋体" w:cs="宋体"/>
                <w:color w:val="auto"/>
                <w:kern w:val="0"/>
                <w:sz w:val="20"/>
                <w:szCs w:val="20"/>
                <w:highlight w:val="none"/>
                <w:lang w:val="en-US" w:eastAsia="zh-CN"/>
              </w:rPr>
            </w:pPr>
            <w:r>
              <w:rPr>
                <w:rFonts w:hint="eastAsia" w:ascii="宋体" w:hAnsi="宋体" w:eastAsia="宋体" w:cs="宋体"/>
                <w:color w:val="auto"/>
                <w:kern w:val="0"/>
                <w:sz w:val="20"/>
                <w:szCs w:val="20"/>
                <w:highlight w:val="none"/>
                <w:lang w:val="en-US" w:eastAsia="zh-CN"/>
              </w:rPr>
              <w:t>第十八届中博会同国内企业协议签约额</w:t>
            </w:r>
          </w:p>
        </w:tc>
        <w:tc>
          <w:tcPr>
            <w:tcW w:w="659" w:type="pct"/>
            <w:noWrap w:val="0"/>
            <w:vAlign w:val="center"/>
          </w:tcPr>
          <w:p w14:paraId="14F44FB5">
            <w:pPr>
              <w:widowControl/>
              <w:spacing w:line="240" w:lineRule="auto"/>
              <w:ind w:firstLine="0" w:firstLineChars="0"/>
              <w:jc w:val="center"/>
              <w:rPr>
                <w:rFonts w:hint="default" w:ascii="宋体" w:hAnsi="宋体" w:eastAsia="宋体" w:cs="宋体"/>
                <w:color w:val="auto"/>
                <w:kern w:val="0"/>
                <w:sz w:val="20"/>
                <w:szCs w:val="20"/>
                <w:highlight w:val="none"/>
                <w:lang w:val="en-US" w:eastAsia="zh-CN"/>
              </w:rPr>
            </w:pPr>
            <w:r>
              <w:rPr>
                <w:rFonts w:hint="eastAsia" w:ascii="宋体" w:hAnsi="宋体" w:eastAsia="宋体" w:cs="宋体"/>
                <w:color w:val="auto"/>
                <w:kern w:val="0"/>
                <w:sz w:val="20"/>
                <w:szCs w:val="20"/>
                <w:highlight w:val="none"/>
                <w:lang w:val="en-US" w:eastAsia="zh-CN"/>
              </w:rPr>
              <w:t>≥1500万</w:t>
            </w:r>
          </w:p>
        </w:tc>
      </w:tr>
      <w:tr w14:paraId="2CDC87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9" w:hRule="atLeast"/>
          <w:jc w:val="center"/>
        </w:trPr>
        <w:tc>
          <w:tcPr>
            <w:tcW w:w="755" w:type="pct"/>
            <w:vMerge w:val="continue"/>
            <w:noWrap w:val="0"/>
            <w:vAlign w:val="center"/>
          </w:tcPr>
          <w:p w14:paraId="3E5E81A1">
            <w:pPr>
              <w:widowControl/>
              <w:spacing w:line="240" w:lineRule="auto"/>
              <w:ind w:firstLine="0" w:firstLineChars="0"/>
              <w:jc w:val="center"/>
              <w:rPr>
                <w:rFonts w:hint="eastAsia" w:ascii="宋体" w:hAnsi="宋体" w:eastAsia="宋体" w:cs="宋体"/>
                <w:color w:val="auto"/>
                <w:kern w:val="0"/>
                <w:sz w:val="20"/>
                <w:szCs w:val="20"/>
                <w:highlight w:val="none"/>
              </w:rPr>
            </w:pPr>
          </w:p>
        </w:tc>
        <w:tc>
          <w:tcPr>
            <w:tcW w:w="565" w:type="pct"/>
            <w:vMerge w:val="continue"/>
            <w:noWrap w:val="0"/>
            <w:vAlign w:val="center"/>
          </w:tcPr>
          <w:p w14:paraId="24B4E9DC">
            <w:pPr>
              <w:widowControl/>
              <w:spacing w:line="240" w:lineRule="auto"/>
              <w:ind w:firstLine="0" w:firstLineChars="0"/>
              <w:jc w:val="center"/>
              <w:rPr>
                <w:rFonts w:hint="eastAsia" w:ascii="宋体" w:hAnsi="宋体" w:eastAsia="宋体" w:cs="宋体"/>
                <w:color w:val="auto"/>
                <w:kern w:val="0"/>
                <w:sz w:val="20"/>
                <w:szCs w:val="20"/>
                <w:highlight w:val="none"/>
              </w:rPr>
            </w:pPr>
          </w:p>
        </w:tc>
        <w:tc>
          <w:tcPr>
            <w:tcW w:w="632" w:type="pct"/>
            <w:vMerge w:val="continue"/>
            <w:noWrap w:val="0"/>
            <w:vAlign w:val="center"/>
          </w:tcPr>
          <w:p w14:paraId="30EA89EE">
            <w:pPr>
              <w:widowControl/>
              <w:spacing w:line="240" w:lineRule="auto"/>
              <w:ind w:firstLine="0" w:firstLineChars="0"/>
              <w:jc w:val="center"/>
              <w:rPr>
                <w:rFonts w:hint="eastAsia" w:ascii="宋体" w:hAnsi="宋体" w:eastAsia="宋体" w:cs="宋体"/>
                <w:color w:val="auto"/>
                <w:kern w:val="0"/>
                <w:sz w:val="20"/>
                <w:szCs w:val="20"/>
                <w:highlight w:val="none"/>
              </w:rPr>
            </w:pPr>
          </w:p>
        </w:tc>
        <w:tc>
          <w:tcPr>
            <w:tcW w:w="2387" w:type="pct"/>
            <w:gridSpan w:val="2"/>
            <w:noWrap w:val="0"/>
            <w:vAlign w:val="center"/>
          </w:tcPr>
          <w:p w14:paraId="440EEE2C">
            <w:pPr>
              <w:widowControl/>
              <w:spacing w:line="240" w:lineRule="auto"/>
              <w:ind w:firstLine="0" w:firstLineChars="0"/>
              <w:jc w:val="center"/>
              <w:rPr>
                <w:rFonts w:hint="eastAsia" w:ascii="宋体" w:hAnsi="宋体" w:eastAsia="宋体" w:cs="宋体"/>
                <w:color w:val="auto"/>
                <w:kern w:val="0"/>
                <w:sz w:val="20"/>
                <w:szCs w:val="20"/>
                <w:highlight w:val="none"/>
                <w:lang w:val="en-US" w:eastAsia="zh-CN"/>
              </w:rPr>
            </w:pPr>
            <w:r>
              <w:rPr>
                <w:rFonts w:hint="eastAsia" w:ascii="宋体" w:hAnsi="宋体" w:eastAsia="宋体" w:cs="宋体"/>
                <w:color w:val="auto"/>
                <w:kern w:val="0"/>
                <w:sz w:val="20"/>
                <w:szCs w:val="20"/>
                <w:highlight w:val="none"/>
                <w:lang w:val="en-US" w:eastAsia="zh-CN"/>
              </w:rPr>
              <w:t>第十二届APEC技展会同国内企业协议签约额</w:t>
            </w:r>
          </w:p>
        </w:tc>
        <w:tc>
          <w:tcPr>
            <w:tcW w:w="659" w:type="pct"/>
            <w:noWrap w:val="0"/>
            <w:vAlign w:val="center"/>
          </w:tcPr>
          <w:p w14:paraId="422C81F3">
            <w:pPr>
              <w:widowControl/>
              <w:spacing w:line="240" w:lineRule="auto"/>
              <w:ind w:firstLine="0" w:firstLineChars="0"/>
              <w:jc w:val="center"/>
              <w:rPr>
                <w:rFonts w:hint="default" w:ascii="宋体" w:hAnsi="宋体" w:eastAsia="宋体" w:cs="宋体"/>
                <w:color w:val="auto"/>
                <w:kern w:val="0"/>
                <w:sz w:val="20"/>
                <w:szCs w:val="20"/>
                <w:highlight w:val="none"/>
                <w:lang w:val="en-US" w:eastAsia="zh-CN"/>
              </w:rPr>
            </w:pPr>
            <w:r>
              <w:rPr>
                <w:rFonts w:hint="eastAsia" w:ascii="宋体" w:hAnsi="宋体" w:eastAsia="宋体" w:cs="宋体"/>
                <w:color w:val="auto"/>
                <w:kern w:val="0"/>
                <w:sz w:val="20"/>
                <w:szCs w:val="20"/>
                <w:highlight w:val="none"/>
                <w:lang w:val="en-US" w:eastAsia="zh-CN"/>
              </w:rPr>
              <w:t>≥1000万</w:t>
            </w:r>
          </w:p>
        </w:tc>
      </w:tr>
      <w:tr w14:paraId="7F28D2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jc w:val="center"/>
        </w:trPr>
        <w:tc>
          <w:tcPr>
            <w:tcW w:w="755" w:type="pct"/>
            <w:vMerge w:val="continue"/>
            <w:noWrap w:val="0"/>
            <w:vAlign w:val="center"/>
          </w:tcPr>
          <w:p w14:paraId="465FB0BB">
            <w:pPr>
              <w:widowControl/>
              <w:spacing w:line="240" w:lineRule="auto"/>
              <w:ind w:firstLine="0" w:firstLineChars="0"/>
              <w:jc w:val="center"/>
              <w:rPr>
                <w:rFonts w:hint="eastAsia" w:ascii="宋体" w:hAnsi="宋体" w:eastAsia="宋体" w:cs="宋体"/>
                <w:color w:val="auto"/>
                <w:kern w:val="0"/>
                <w:sz w:val="20"/>
                <w:szCs w:val="20"/>
                <w:highlight w:val="none"/>
              </w:rPr>
            </w:pPr>
          </w:p>
        </w:tc>
        <w:tc>
          <w:tcPr>
            <w:tcW w:w="565" w:type="pct"/>
            <w:vMerge w:val="continue"/>
            <w:noWrap w:val="0"/>
            <w:vAlign w:val="center"/>
          </w:tcPr>
          <w:p w14:paraId="670185D0">
            <w:pPr>
              <w:widowControl/>
              <w:spacing w:line="240" w:lineRule="auto"/>
              <w:ind w:firstLine="0" w:firstLineChars="0"/>
              <w:jc w:val="center"/>
              <w:rPr>
                <w:rFonts w:hint="eastAsia" w:ascii="宋体" w:hAnsi="宋体" w:eastAsia="宋体" w:cs="宋体"/>
                <w:color w:val="auto"/>
                <w:kern w:val="0"/>
                <w:sz w:val="20"/>
                <w:szCs w:val="20"/>
                <w:highlight w:val="none"/>
              </w:rPr>
            </w:pPr>
          </w:p>
        </w:tc>
        <w:tc>
          <w:tcPr>
            <w:tcW w:w="632" w:type="pct"/>
            <w:noWrap w:val="0"/>
            <w:vAlign w:val="center"/>
          </w:tcPr>
          <w:p w14:paraId="46E58117">
            <w:pPr>
              <w:widowControl/>
              <w:spacing w:line="240" w:lineRule="auto"/>
              <w:ind w:firstLine="0" w:firstLineChars="0"/>
              <w:jc w:val="center"/>
              <w:rPr>
                <w:rFonts w:hint="eastAsia"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lang w:val="en-US" w:eastAsia="zh-CN"/>
              </w:rPr>
              <w:t>社会效益指标</w:t>
            </w:r>
          </w:p>
        </w:tc>
        <w:tc>
          <w:tcPr>
            <w:tcW w:w="2387" w:type="pct"/>
            <w:gridSpan w:val="2"/>
            <w:noWrap w:val="0"/>
            <w:vAlign w:val="center"/>
          </w:tcPr>
          <w:p w14:paraId="428504E6">
            <w:pPr>
              <w:widowControl/>
              <w:spacing w:line="240" w:lineRule="auto"/>
              <w:ind w:firstLine="0" w:firstLineChars="0"/>
              <w:jc w:val="center"/>
              <w:rPr>
                <w:rFonts w:hint="eastAsia" w:ascii="宋体" w:hAnsi="宋体" w:eastAsia="宋体" w:cs="宋体"/>
                <w:color w:val="auto"/>
                <w:kern w:val="0"/>
                <w:sz w:val="20"/>
                <w:szCs w:val="20"/>
                <w:highlight w:val="none"/>
                <w:lang w:val="en-US" w:eastAsia="zh-CN"/>
              </w:rPr>
            </w:pPr>
            <w:r>
              <w:rPr>
                <w:rFonts w:hint="eastAsia" w:ascii="宋体" w:hAnsi="宋体" w:eastAsia="宋体" w:cs="宋体"/>
                <w:color w:val="auto"/>
                <w:kern w:val="0"/>
                <w:sz w:val="20"/>
                <w:szCs w:val="20"/>
                <w:highlight w:val="none"/>
                <w:lang w:val="en-US" w:eastAsia="zh-CN"/>
              </w:rPr>
              <w:t>提高企业经营水平</w:t>
            </w:r>
          </w:p>
        </w:tc>
        <w:tc>
          <w:tcPr>
            <w:tcW w:w="659" w:type="pct"/>
            <w:noWrap w:val="0"/>
            <w:vAlign w:val="center"/>
          </w:tcPr>
          <w:p w14:paraId="4D256BF4">
            <w:pPr>
              <w:widowControl/>
              <w:spacing w:line="240" w:lineRule="auto"/>
              <w:ind w:firstLine="0" w:firstLineChars="0"/>
              <w:jc w:val="center"/>
              <w:rPr>
                <w:rFonts w:hint="eastAsia" w:ascii="宋体" w:hAnsi="宋体" w:eastAsia="宋体" w:cs="宋体"/>
                <w:color w:val="auto"/>
                <w:kern w:val="0"/>
                <w:sz w:val="20"/>
                <w:szCs w:val="20"/>
                <w:highlight w:val="none"/>
                <w:lang w:val="en-US" w:eastAsia="zh-CN"/>
              </w:rPr>
            </w:pPr>
            <w:r>
              <w:rPr>
                <w:rFonts w:hint="eastAsia" w:ascii="宋体" w:hAnsi="宋体" w:eastAsia="宋体" w:cs="宋体"/>
                <w:color w:val="auto"/>
                <w:kern w:val="0"/>
                <w:sz w:val="20"/>
                <w:szCs w:val="20"/>
                <w:highlight w:val="none"/>
                <w:lang w:val="en-US" w:eastAsia="zh-CN"/>
              </w:rPr>
              <w:t>有效提高</w:t>
            </w:r>
          </w:p>
        </w:tc>
      </w:tr>
      <w:tr w14:paraId="15303F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jc w:val="center"/>
        </w:trPr>
        <w:tc>
          <w:tcPr>
            <w:tcW w:w="755" w:type="pct"/>
            <w:vMerge w:val="continue"/>
            <w:noWrap w:val="0"/>
            <w:vAlign w:val="center"/>
          </w:tcPr>
          <w:p w14:paraId="3EB0ED4B">
            <w:pPr>
              <w:widowControl/>
              <w:spacing w:line="240" w:lineRule="auto"/>
              <w:ind w:firstLine="0" w:firstLineChars="0"/>
              <w:jc w:val="center"/>
              <w:rPr>
                <w:rFonts w:hint="eastAsia" w:ascii="宋体" w:hAnsi="宋体" w:eastAsia="宋体" w:cs="宋体"/>
                <w:color w:val="auto"/>
                <w:kern w:val="0"/>
                <w:sz w:val="20"/>
                <w:szCs w:val="20"/>
                <w:highlight w:val="none"/>
              </w:rPr>
            </w:pPr>
          </w:p>
        </w:tc>
        <w:tc>
          <w:tcPr>
            <w:tcW w:w="565" w:type="pct"/>
            <w:noWrap w:val="0"/>
            <w:vAlign w:val="center"/>
          </w:tcPr>
          <w:p w14:paraId="1A9AD948">
            <w:pPr>
              <w:widowControl/>
              <w:spacing w:line="240" w:lineRule="auto"/>
              <w:ind w:firstLine="0" w:firstLineChars="0"/>
              <w:jc w:val="center"/>
              <w:rPr>
                <w:rFonts w:hint="eastAsia" w:ascii="宋体" w:hAnsi="宋体" w:eastAsia="宋体" w:cs="宋体"/>
                <w:color w:val="auto"/>
                <w:kern w:val="0"/>
                <w:sz w:val="20"/>
                <w:szCs w:val="20"/>
                <w:highlight w:val="none"/>
                <w:lang w:val="en-US" w:eastAsia="zh-CN"/>
              </w:rPr>
            </w:pPr>
            <w:r>
              <w:rPr>
                <w:rFonts w:hint="eastAsia" w:ascii="宋体" w:hAnsi="宋体" w:eastAsia="宋体" w:cs="宋体"/>
                <w:color w:val="auto"/>
                <w:kern w:val="0"/>
                <w:sz w:val="20"/>
                <w:szCs w:val="20"/>
                <w:highlight w:val="none"/>
                <w:lang w:val="en-US" w:eastAsia="zh-CN"/>
              </w:rPr>
              <w:t>满意度指标</w:t>
            </w:r>
          </w:p>
        </w:tc>
        <w:tc>
          <w:tcPr>
            <w:tcW w:w="632" w:type="pct"/>
            <w:noWrap w:val="0"/>
            <w:vAlign w:val="center"/>
          </w:tcPr>
          <w:p w14:paraId="2186ED69">
            <w:pPr>
              <w:widowControl/>
              <w:spacing w:line="240" w:lineRule="auto"/>
              <w:ind w:firstLine="0" w:firstLineChars="0"/>
              <w:jc w:val="both"/>
              <w:rPr>
                <w:rFonts w:hint="eastAsia" w:ascii="宋体" w:hAnsi="宋体" w:eastAsia="宋体" w:cs="宋体"/>
                <w:color w:val="auto"/>
                <w:kern w:val="0"/>
                <w:sz w:val="20"/>
                <w:szCs w:val="20"/>
                <w:highlight w:val="none"/>
                <w:lang w:val="en-US" w:eastAsia="zh-CN"/>
              </w:rPr>
            </w:pPr>
            <w:r>
              <w:rPr>
                <w:rFonts w:hint="eastAsia" w:ascii="宋体" w:hAnsi="宋体" w:eastAsia="宋体" w:cs="宋体"/>
                <w:color w:val="auto"/>
                <w:kern w:val="0"/>
                <w:sz w:val="20"/>
                <w:szCs w:val="20"/>
                <w:highlight w:val="none"/>
                <w:lang w:val="en-US" w:eastAsia="zh-CN"/>
              </w:rPr>
              <w:t>满意度指标</w:t>
            </w:r>
          </w:p>
        </w:tc>
        <w:tc>
          <w:tcPr>
            <w:tcW w:w="2387" w:type="pct"/>
            <w:gridSpan w:val="2"/>
            <w:noWrap w:val="0"/>
            <w:vAlign w:val="center"/>
          </w:tcPr>
          <w:p w14:paraId="1E82ADEF">
            <w:pPr>
              <w:widowControl/>
              <w:spacing w:line="240" w:lineRule="auto"/>
              <w:ind w:firstLine="0" w:firstLineChars="0"/>
              <w:jc w:val="center"/>
              <w:rPr>
                <w:rFonts w:hint="eastAsia" w:ascii="宋体" w:hAnsi="宋体" w:eastAsia="宋体" w:cs="宋体"/>
                <w:color w:val="auto"/>
                <w:kern w:val="0"/>
                <w:sz w:val="20"/>
                <w:szCs w:val="20"/>
                <w:highlight w:val="none"/>
                <w:lang w:val="en-US" w:eastAsia="zh-CN"/>
              </w:rPr>
            </w:pPr>
            <w:r>
              <w:rPr>
                <w:rFonts w:hint="eastAsia" w:ascii="宋体" w:hAnsi="宋体" w:eastAsia="宋体" w:cs="宋体"/>
                <w:color w:val="auto"/>
                <w:kern w:val="0"/>
                <w:sz w:val="20"/>
                <w:szCs w:val="20"/>
                <w:highlight w:val="none"/>
                <w:lang w:val="en-US" w:eastAsia="zh-CN"/>
              </w:rPr>
              <w:t>被服务对象满意率</w:t>
            </w:r>
          </w:p>
        </w:tc>
        <w:tc>
          <w:tcPr>
            <w:tcW w:w="659" w:type="pct"/>
            <w:noWrap w:val="0"/>
            <w:vAlign w:val="center"/>
          </w:tcPr>
          <w:p w14:paraId="53CB5237">
            <w:pPr>
              <w:widowControl/>
              <w:spacing w:line="240" w:lineRule="auto"/>
              <w:ind w:firstLine="0" w:firstLineChars="0"/>
              <w:jc w:val="center"/>
              <w:rPr>
                <w:rFonts w:hint="eastAsia" w:ascii="宋体" w:hAnsi="宋体" w:eastAsia="宋体" w:cs="宋体"/>
                <w:color w:val="auto"/>
                <w:kern w:val="0"/>
                <w:sz w:val="20"/>
                <w:szCs w:val="20"/>
                <w:highlight w:val="none"/>
                <w:lang w:val="en-US" w:eastAsia="zh-CN"/>
              </w:rPr>
            </w:pPr>
            <w:r>
              <w:rPr>
                <w:rFonts w:hint="eastAsia" w:ascii="宋体" w:hAnsi="宋体" w:eastAsia="宋体" w:cs="宋体"/>
                <w:color w:val="auto"/>
                <w:kern w:val="0"/>
                <w:sz w:val="20"/>
                <w:szCs w:val="20"/>
                <w:highlight w:val="none"/>
                <w:lang w:val="en-US" w:eastAsia="zh-CN"/>
              </w:rPr>
              <w:t>≥90%</w:t>
            </w:r>
          </w:p>
        </w:tc>
      </w:tr>
    </w:tbl>
    <w:p w14:paraId="4F824D05">
      <w:pPr>
        <w:keepNext w:val="0"/>
        <w:keepLines w:val="0"/>
        <w:pageBreakBefore w:val="0"/>
        <w:kinsoku/>
        <w:wordWrap/>
        <w:overflowPunct/>
        <w:topLinePunct w:val="0"/>
        <w:autoSpaceDE/>
        <w:autoSpaceDN/>
        <w:bidi w:val="0"/>
        <w:adjustRightInd/>
        <w:snapToGrid/>
        <w:spacing w:line="560" w:lineRule="exact"/>
        <w:ind w:firstLine="643" w:firstLineChars="200"/>
        <w:textAlignment w:val="auto"/>
        <w:rPr>
          <w:b/>
          <w:bCs/>
        </w:rPr>
      </w:pPr>
      <w:r>
        <w:rPr>
          <w:rFonts w:eastAsia="仿宋_GB2312"/>
          <w:b/>
          <w:bCs/>
          <w:sz w:val="32"/>
          <w:szCs w:val="32"/>
        </w:rPr>
        <w:t>2</w:t>
      </w:r>
      <w:r>
        <w:rPr>
          <w:rFonts w:hint="eastAsia" w:eastAsia="仿宋_GB2312"/>
          <w:b/>
          <w:bCs/>
          <w:sz w:val="32"/>
          <w:szCs w:val="32"/>
          <w:lang w:val="en-US" w:eastAsia="zh-CN"/>
        </w:rPr>
        <w:t>.</w:t>
      </w:r>
      <w:r>
        <w:rPr>
          <w:rFonts w:eastAsia="仿宋_GB2312"/>
          <w:b/>
          <w:bCs/>
          <w:sz w:val="32"/>
          <w:szCs w:val="32"/>
        </w:rPr>
        <w:t>阶段性目标</w:t>
      </w:r>
    </w:p>
    <w:p w14:paraId="32356CCE">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eastAsia="仿宋_GB2312"/>
          <w:sz w:val="32"/>
          <w:szCs w:val="32"/>
        </w:rPr>
      </w:pPr>
      <w:r>
        <w:rPr>
          <w:rFonts w:eastAsia="仿宋_GB2312"/>
          <w:sz w:val="32"/>
          <w:szCs w:val="32"/>
        </w:rPr>
        <w:t>（1）前期准备：通过制定项目实施方案，经项目负责人审核通过后，有序开展后续工作。</w:t>
      </w:r>
    </w:p>
    <w:p w14:paraId="12B596D2">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eastAsia="仿宋_GB2312"/>
          <w:sz w:val="32"/>
          <w:szCs w:val="32"/>
        </w:rPr>
      </w:pPr>
      <w:r>
        <w:rPr>
          <w:rFonts w:eastAsia="仿宋_GB2312"/>
          <w:sz w:val="32"/>
          <w:szCs w:val="32"/>
        </w:rPr>
        <w:t>（2）组织实施：资金一到位，立即根据项目要求实施项目。项目责任人按照项目实施方案要求逐一进行项目部署安排，提高项目质量及</w:t>
      </w:r>
      <w:r>
        <w:rPr>
          <w:rFonts w:hint="eastAsia" w:eastAsia="仿宋_GB2312"/>
          <w:sz w:val="32"/>
          <w:szCs w:val="32"/>
          <w:lang w:eastAsia="zh-CN"/>
        </w:rPr>
        <w:t>效率</w:t>
      </w:r>
      <w:r>
        <w:rPr>
          <w:rFonts w:eastAsia="仿宋_GB2312"/>
          <w:sz w:val="32"/>
          <w:szCs w:val="32"/>
        </w:rPr>
        <w:t>。</w:t>
      </w:r>
    </w:p>
    <w:p w14:paraId="529FD23D">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eastAsia="黑体"/>
          <w:sz w:val="32"/>
          <w:szCs w:val="32"/>
        </w:rPr>
      </w:pPr>
      <w:r>
        <w:rPr>
          <w:rFonts w:eastAsia="黑体"/>
          <w:sz w:val="32"/>
          <w:szCs w:val="32"/>
        </w:rPr>
        <w:t>二、绩效评价工作开展情况</w:t>
      </w:r>
    </w:p>
    <w:p w14:paraId="4C4312FC">
      <w:pPr>
        <w:keepNext w:val="0"/>
        <w:keepLines w:val="0"/>
        <w:pageBreakBefore w:val="0"/>
        <w:kinsoku/>
        <w:wordWrap/>
        <w:overflowPunct/>
        <w:topLinePunct w:val="0"/>
        <w:autoSpaceDE/>
        <w:autoSpaceDN/>
        <w:bidi w:val="0"/>
        <w:adjustRightInd/>
        <w:snapToGrid/>
        <w:spacing w:line="560" w:lineRule="exact"/>
        <w:ind w:firstLine="643" w:firstLineChars="200"/>
        <w:textAlignment w:val="auto"/>
        <w:rPr>
          <w:rFonts w:eastAsia="楷体_GB2312"/>
          <w:b/>
          <w:bCs/>
          <w:sz w:val="32"/>
          <w:szCs w:val="32"/>
        </w:rPr>
      </w:pPr>
      <w:r>
        <w:rPr>
          <w:rFonts w:eastAsia="楷体_GB2312"/>
          <w:b/>
          <w:bCs/>
          <w:sz w:val="32"/>
          <w:szCs w:val="32"/>
        </w:rPr>
        <w:t>（一）绩效评价目的、对象和范围</w:t>
      </w:r>
    </w:p>
    <w:p w14:paraId="24B307B9">
      <w:pPr>
        <w:pStyle w:val="2"/>
        <w:keepNext w:val="0"/>
        <w:keepLines w:val="0"/>
        <w:pageBreakBefore w:val="0"/>
        <w:widowControl w:val="0"/>
        <w:kinsoku/>
        <w:wordWrap/>
        <w:overflowPunct/>
        <w:topLinePunct w:val="0"/>
        <w:autoSpaceDE/>
        <w:autoSpaceDN/>
        <w:bidi w:val="0"/>
        <w:adjustRightInd/>
        <w:snapToGrid/>
        <w:spacing w:before="0" w:after="0" w:line="560" w:lineRule="exact"/>
        <w:ind w:firstLine="643" w:firstLineChars="200"/>
        <w:jc w:val="both"/>
        <w:textAlignment w:val="auto"/>
        <w:outlineLvl w:val="9"/>
        <w:rPr>
          <w:rFonts w:ascii="Times New Roman" w:hAnsi="Times New Roman" w:eastAsia="仿宋_GB2312"/>
          <w:b/>
          <w:bCs/>
        </w:rPr>
      </w:pPr>
      <w:r>
        <w:rPr>
          <w:rFonts w:ascii="Times New Roman" w:hAnsi="Times New Roman" w:eastAsia="仿宋_GB2312"/>
          <w:b/>
          <w:bCs/>
        </w:rPr>
        <w:t>1</w:t>
      </w:r>
      <w:r>
        <w:rPr>
          <w:rFonts w:hint="eastAsia" w:ascii="Times New Roman" w:hAnsi="Times New Roman" w:eastAsia="仿宋_GB2312"/>
          <w:b/>
          <w:bCs/>
          <w:lang w:val="en-US" w:eastAsia="zh-CN"/>
        </w:rPr>
        <w:t>.</w:t>
      </w:r>
      <w:r>
        <w:rPr>
          <w:rFonts w:ascii="Times New Roman" w:hAnsi="Times New Roman" w:eastAsia="仿宋_GB2312"/>
          <w:b/>
          <w:bCs/>
        </w:rPr>
        <w:t>绩效评价的目的</w:t>
      </w:r>
    </w:p>
    <w:p w14:paraId="7AB9C0C0">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22"/>
          <w:highlight w:val="none"/>
        </w:rPr>
      </w:pPr>
      <w:r>
        <w:rPr>
          <w:rFonts w:hint="default" w:ascii="Times New Roman" w:hAnsi="Times New Roman" w:eastAsia="仿宋_GB2312" w:cs="Times New Roman"/>
          <w:sz w:val="32"/>
          <w:szCs w:val="22"/>
          <w:highlight w:val="none"/>
        </w:rPr>
        <w:t>通过开展中小企业发展专项资金绩效评价，考察项目决策、项目管理、项目绩效等方面来反映项目总体管理及执行情况，以期通过绩效评价达到提高财政资金使用效益、强化预算主管部门预算绩效管理目的。具体而言，评估目的主要包括以下三个方面：</w:t>
      </w:r>
    </w:p>
    <w:p w14:paraId="7C7560DF">
      <w:pPr>
        <w:keepNext w:val="0"/>
        <w:keepLines w:val="0"/>
        <w:pageBreakBefore w:val="0"/>
        <w:kinsoku/>
        <w:wordWrap/>
        <w:overflowPunct/>
        <w:topLinePunct w:val="0"/>
        <w:autoSpaceDE/>
        <w:autoSpaceDN/>
        <w:bidi w:val="0"/>
        <w:adjustRightInd/>
        <w:snapToGrid/>
        <w:spacing w:line="560" w:lineRule="exact"/>
        <w:ind w:firstLine="643" w:firstLineChars="200"/>
        <w:textAlignment w:val="auto"/>
        <w:rPr>
          <w:rFonts w:hint="default" w:ascii="Times New Roman" w:hAnsi="Times New Roman" w:eastAsia="仿宋_GB2312" w:cs="Times New Roman"/>
          <w:sz w:val="32"/>
          <w:szCs w:val="22"/>
          <w:highlight w:val="none"/>
        </w:rPr>
      </w:pPr>
      <w:r>
        <w:rPr>
          <w:rFonts w:hint="default" w:ascii="Times New Roman" w:hAnsi="Times New Roman" w:eastAsia="仿宋_GB2312" w:cs="Times New Roman"/>
          <w:b/>
          <w:bCs/>
          <w:sz w:val="32"/>
          <w:szCs w:val="22"/>
          <w:highlight w:val="none"/>
          <w:lang w:val="en-US" w:eastAsia="zh-CN"/>
        </w:rPr>
        <w:t>（1）</w:t>
      </w:r>
      <w:r>
        <w:rPr>
          <w:rFonts w:hint="default" w:ascii="Times New Roman" w:hAnsi="Times New Roman" w:eastAsia="仿宋_GB2312" w:cs="Times New Roman"/>
          <w:b/>
          <w:bCs/>
          <w:sz w:val="32"/>
          <w:szCs w:val="22"/>
          <w:highlight w:val="none"/>
        </w:rPr>
        <w:t>全面反映中小企业发展专项资金使用成效</w:t>
      </w:r>
      <w:r>
        <w:rPr>
          <w:rFonts w:hint="default" w:ascii="Times New Roman" w:hAnsi="Times New Roman" w:eastAsia="仿宋_GB2312" w:cs="Times New Roman"/>
          <w:b/>
          <w:bCs/>
          <w:sz w:val="32"/>
          <w:szCs w:val="22"/>
          <w:highlight w:val="none"/>
          <w:lang w:eastAsia="zh-CN"/>
        </w:rPr>
        <w:t>。</w:t>
      </w:r>
      <w:r>
        <w:rPr>
          <w:rFonts w:hint="default" w:ascii="Times New Roman" w:hAnsi="Times New Roman" w:eastAsia="仿宋_GB2312" w:cs="Times New Roman"/>
          <w:sz w:val="32"/>
          <w:szCs w:val="22"/>
          <w:highlight w:val="none"/>
        </w:rPr>
        <w:t>通过建立科学、合理的评价指标体系，对新疆202</w:t>
      </w:r>
      <w:r>
        <w:rPr>
          <w:rFonts w:hint="eastAsia" w:eastAsia="仿宋_GB2312" w:cs="Times New Roman"/>
          <w:sz w:val="32"/>
          <w:szCs w:val="22"/>
          <w:highlight w:val="none"/>
          <w:lang w:val="en-US" w:eastAsia="zh-CN"/>
        </w:rPr>
        <w:t>3</w:t>
      </w:r>
      <w:r>
        <w:rPr>
          <w:rFonts w:hint="default" w:ascii="Times New Roman" w:hAnsi="Times New Roman" w:eastAsia="仿宋_GB2312" w:cs="Times New Roman"/>
          <w:sz w:val="32"/>
          <w:szCs w:val="22"/>
          <w:highlight w:val="none"/>
        </w:rPr>
        <w:t>年中小企业发展专项资金</w:t>
      </w:r>
      <w:r>
        <w:rPr>
          <w:rFonts w:hint="eastAsia" w:eastAsia="仿宋_GB2312" w:cs="Times New Roman"/>
          <w:sz w:val="32"/>
          <w:szCs w:val="22"/>
          <w:highlight w:val="none"/>
          <w:lang w:eastAsia="zh-CN"/>
        </w:rPr>
        <w:t>（</w:t>
      </w:r>
      <w:r>
        <w:rPr>
          <w:rFonts w:hint="eastAsia" w:eastAsia="仿宋_GB2312" w:cs="Times New Roman"/>
          <w:sz w:val="32"/>
          <w:szCs w:val="22"/>
          <w:highlight w:val="none"/>
          <w:lang w:val="en-US" w:eastAsia="zh-CN"/>
        </w:rPr>
        <w:t>自治区本级</w:t>
      </w:r>
      <w:r>
        <w:rPr>
          <w:rFonts w:hint="eastAsia" w:eastAsia="仿宋_GB2312" w:cs="Times New Roman"/>
          <w:sz w:val="32"/>
          <w:szCs w:val="22"/>
          <w:highlight w:val="none"/>
          <w:lang w:eastAsia="zh-CN"/>
        </w:rPr>
        <w:t>）</w:t>
      </w:r>
      <w:r>
        <w:rPr>
          <w:rFonts w:hint="default" w:ascii="Times New Roman" w:hAnsi="Times New Roman" w:eastAsia="仿宋_GB2312" w:cs="Times New Roman"/>
          <w:sz w:val="32"/>
          <w:szCs w:val="22"/>
          <w:highlight w:val="none"/>
        </w:rPr>
        <w:t>组织实施情况及取得的成效进行全面系统的评价，及时掌握专项资金的分配、到达情况，对资金支持项目的目标制定与完成、资金使用与管理、项目执行进度、产出效益等内容进行客观、公正地评价，如实反映中小企业发展专项资金支出绩效和使用效益。</w:t>
      </w:r>
    </w:p>
    <w:p w14:paraId="35F04834">
      <w:pPr>
        <w:keepNext w:val="0"/>
        <w:keepLines w:val="0"/>
        <w:pageBreakBefore w:val="0"/>
        <w:kinsoku/>
        <w:wordWrap/>
        <w:overflowPunct/>
        <w:topLinePunct w:val="0"/>
        <w:autoSpaceDE/>
        <w:autoSpaceDN/>
        <w:bidi w:val="0"/>
        <w:adjustRightInd/>
        <w:snapToGrid/>
        <w:spacing w:line="560" w:lineRule="exact"/>
        <w:ind w:firstLine="643" w:firstLineChars="200"/>
        <w:textAlignment w:val="auto"/>
        <w:rPr>
          <w:rFonts w:hint="default" w:ascii="Times New Roman" w:hAnsi="Times New Roman" w:eastAsia="仿宋_GB2312" w:cs="Times New Roman"/>
          <w:sz w:val="32"/>
          <w:szCs w:val="22"/>
          <w:highlight w:val="none"/>
        </w:rPr>
      </w:pPr>
      <w:r>
        <w:rPr>
          <w:rFonts w:hint="default" w:ascii="Times New Roman" w:hAnsi="Times New Roman" w:eastAsia="仿宋_GB2312" w:cs="Times New Roman"/>
          <w:b/>
          <w:bCs/>
          <w:sz w:val="32"/>
          <w:szCs w:val="22"/>
          <w:highlight w:val="none"/>
          <w:lang w:val="en-US" w:eastAsia="zh-CN"/>
        </w:rPr>
        <w:t>（2）提高各责任单位预算绩效管理工作水平。</w:t>
      </w:r>
      <w:r>
        <w:rPr>
          <w:rFonts w:hint="default" w:ascii="Times New Roman" w:hAnsi="Times New Roman" w:eastAsia="仿宋_GB2312" w:cs="Times New Roman"/>
          <w:sz w:val="32"/>
          <w:szCs w:val="22"/>
          <w:highlight w:val="none"/>
        </w:rPr>
        <w:t>通过中小企业专项资金</w:t>
      </w:r>
      <w:r>
        <w:rPr>
          <w:rFonts w:hint="default" w:ascii="Times New Roman" w:hAnsi="Times New Roman" w:eastAsia="仿宋_GB2312" w:cs="Times New Roman"/>
          <w:sz w:val="32"/>
          <w:szCs w:val="22"/>
          <w:highlight w:val="none"/>
          <w:lang w:val="en-US" w:eastAsia="zh-CN"/>
        </w:rPr>
        <w:t>绩效评价</w:t>
      </w:r>
      <w:r>
        <w:rPr>
          <w:rFonts w:hint="default" w:ascii="Times New Roman" w:hAnsi="Times New Roman" w:eastAsia="仿宋_GB2312" w:cs="Times New Roman"/>
          <w:sz w:val="32"/>
          <w:szCs w:val="22"/>
          <w:highlight w:val="none"/>
        </w:rPr>
        <w:t>，强化资金管理部门对资金预算执行效果、完成水平的综合性管控，借助定量考核、定性考核的方式保证专项资金使用的规范性、合理性、有效性。同时，根据</w:t>
      </w:r>
      <w:r>
        <w:rPr>
          <w:rFonts w:hint="default" w:ascii="Times New Roman" w:hAnsi="Times New Roman" w:eastAsia="仿宋_GB2312" w:cs="Times New Roman"/>
          <w:sz w:val="32"/>
          <w:szCs w:val="22"/>
          <w:highlight w:val="none"/>
          <w:lang w:val="en-US" w:eastAsia="zh-CN"/>
        </w:rPr>
        <w:t>绩效评价</w:t>
      </w:r>
      <w:r>
        <w:rPr>
          <w:rFonts w:hint="default" w:ascii="Times New Roman" w:hAnsi="Times New Roman" w:eastAsia="仿宋_GB2312" w:cs="Times New Roman"/>
          <w:sz w:val="32"/>
          <w:szCs w:val="22"/>
          <w:highlight w:val="none"/>
        </w:rPr>
        <w:t>结果，各预算管理部门能及时总结在专项资金绩效管理和组织实施等方面存在的问题，明确专项资金绩效管理体系改进方向，制定资金管理改进举措，从而提升预算绩效管理水平。</w:t>
      </w:r>
    </w:p>
    <w:p w14:paraId="47B3B9A0">
      <w:pPr>
        <w:pStyle w:val="2"/>
        <w:keepNext w:val="0"/>
        <w:keepLines w:val="0"/>
        <w:pageBreakBefore w:val="0"/>
        <w:widowControl w:val="0"/>
        <w:kinsoku/>
        <w:wordWrap/>
        <w:overflowPunct/>
        <w:topLinePunct w:val="0"/>
        <w:autoSpaceDE/>
        <w:autoSpaceDN/>
        <w:bidi w:val="0"/>
        <w:adjustRightInd/>
        <w:snapToGrid/>
        <w:spacing w:before="0" w:after="0" w:line="560" w:lineRule="exact"/>
        <w:ind w:firstLine="643" w:firstLineChars="200"/>
        <w:jc w:val="both"/>
        <w:textAlignment w:val="auto"/>
        <w:outlineLvl w:val="9"/>
        <w:rPr>
          <w:rFonts w:hint="default" w:ascii="Times New Roman" w:hAnsi="Times New Roman" w:eastAsia="仿宋_GB2312" w:cs="Times New Roman"/>
          <w:b w:val="0"/>
          <w:bCs w:val="0"/>
          <w:sz w:val="32"/>
          <w:szCs w:val="22"/>
          <w:highlight w:val="none"/>
        </w:rPr>
      </w:pPr>
      <w:r>
        <w:rPr>
          <w:rFonts w:hint="default" w:ascii="Times New Roman" w:hAnsi="Times New Roman" w:eastAsia="仿宋_GB2312" w:cs="Times New Roman"/>
          <w:b/>
          <w:bCs/>
          <w:sz w:val="32"/>
          <w:szCs w:val="22"/>
          <w:highlight w:val="none"/>
          <w:lang w:val="en-US" w:eastAsia="zh-CN"/>
        </w:rPr>
        <w:t>（3）形成常态化专项资金绩效评价管理机制。</w:t>
      </w:r>
      <w:r>
        <w:rPr>
          <w:rFonts w:hint="default" w:ascii="Times New Roman" w:hAnsi="Times New Roman" w:eastAsia="仿宋_GB2312" w:cs="Times New Roman"/>
          <w:b w:val="0"/>
          <w:bCs w:val="0"/>
          <w:sz w:val="32"/>
          <w:szCs w:val="22"/>
          <w:highlight w:val="none"/>
        </w:rPr>
        <w:t>通过对自治区中小企业发展专项资金进行</w:t>
      </w:r>
      <w:r>
        <w:rPr>
          <w:rFonts w:hint="default" w:ascii="Times New Roman" w:hAnsi="Times New Roman" w:eastAsia="仿宋_GB2312" w:cs="Times New Roman"/>
          <w:b w:val="0"/>
          <w:bCs w:val="0"/>
          <w:sz w:val="32"/>
          <w:szCs w:val="22"/>
          <w:highlight w:val="none"/>
          <w:lang w:val="en-US" w:eastAsia="zh-CN"/>
        </w:rPr>
        <w:t>绩效评价</w:t>
      </w:r>
      <w:r>
        <w:rPr>
          <w:rFonts w:hint="default" w:ascii="Times New Roman" w:hAnsi="Times New Roman" w:eastAsia="仿宋_GB2312" w:cs="Times New Roman"/>
          <w:b w:val="0"/>
          <w:bCs w:val="0"/>
          <w:sz w:val="32"/>
          <w:szCs w:val="22"/>
          <w:highlight w:val="none"/>
        </w:rPr>
        <w:t>，建立一套中小企业专项资金绩效评价管理体系，形成常态化评价机制，统筹和规范后续年度中小企业发展专项资金绩效评价工作，形成良好的监督约束作用，改善资金使用的透明度，确保资金预算的精准性安排，增强预算工作的规范性和透明度，提升专项资金使用效益和水平。</w:t>
      </w:r>
    </w:p>
    <w:p w14:paraId="1C3EDD0F">
      <w:pPr>
        <w:pStyle w:val="2"/>
        <w:keepNext w:val="0"/>
        <w:keepLines w:val="0"/>
        <w:pageBreakBefore w:val="0"/>
        <w:widowControl w:val="0"/>
        <w:kinsoku/>
        <w:wordWrap/>
        <w:overflowPunct/>
        <w:topLinePunct w:val="0"/>
        <w:autoSpaceDE/>
        <w:autoSpaceDN/>
        <w:bidi w:val="0"/>
        <w:adjustRightInd/>
        <w:snapToGrid/>
        <w:spacing w:before="0" w:after="0" w:line="560" w:lineRule="exact"/>
        <w:ind w:firstLine="643" w:firstLineChars="200"/>
        <w:jc w:val="both"/>
        <w:textAlignment w:val="auto"/>
        <w:outlineLvl w:val="9"/>
        <w:rPr>
          <w:rFonts w:ascii="Times New Roman" w:hAnsi="Times New Roman" w:eastAsia="仿宋_GB2312"/>
          <w:b/>
          <w:bCs/>
        </w:rPr>
      </w:pPr>
      <w:r>
        <w:rPr>
          <w:rFonts w:ascii="Times New Roman" w:hAnsi="Times New Roman" w:eastAsia="仿宋_GB2312"/>
          <w:b/>
          <w:bCs/>
        </w:rPr>
        <w:t>2</w:t>
      </w:r>
      <w:r>
        <w:rPr>
          <w:rFonts w:hint="eastAsia" w:ascii="Times New Roman" w:hAnsi="Times New Roman" w:eastAsia="仿宋_GB2312"/>
          <w:b/>
          <w:bCs/>
          <w:lang w:eastAsia="zh-CN"/>
        </w:rPr>
        <w:t>.</w:t>
      </w:r>
      <w:r>
        <w:rPr>
          <w:rFonts w:ascii="Times New Roman" w:hAnsi="Times New Roman" w:eastAsia="仿宋_GB2312"/>
          <w:b/>
          <w:bCs/>
        </w:rPr>
        <w:t>绩效评价的对象</w:t>
      </w:r>
    </w:p>
    <w:p w14:paraId="1030D200">
      <w:pPr>
        <w:keepNext w:val="0"/>
        <w:keepLines w:val="0"/>
        <w:pageBreakBefore w:val="0"/>
        <w:widowControl/>
        <w:kinsoku/>
        <w:wordWrap/>
        <w:overflowPunct/>
        <w:topLinePunct w:val="0"/>
        <w:autoSpaceDE/>
        <w:autoSpaceDN/>
        <w:bidi w:val="0"/>
        <w:adjustRightInd/>
        <w:snapToGrid/>
        <w:spacing w:after="0" w:line="560" w:lineRule="exact"/>
        <w:ind w:left="0" w:leftChars="0" w:right="0" w:rightChars="0" w:firstLine="640" w:firstLineChars="200"/>
        <w:jc w:val="left"/>
        <w:textAlignment w:val="auto"/>
        <w:outlineLvl w:val="9"/>
        <w:rPr>
          <w:rStyle w:val="23"/>
          <w:rFonts w:hint="eastAsia" w:ascii="Times New Roman" w:hAnsi="Times New Roman" w:eastAsia="仿宋_GB2312" w:cs="Times New Roman"/>
          <w:b w:val="0"/>
          <w:bCs/>
          <w:spacing w:val="-4"/>
          <w:sz w:val="32"/>
          <w:szCs w:val="32"/>
          <w:highlight w:val="none"/>
          <w:lang w:val="en-US" w:eastAsia="zh-CN"/>
        </w:rPr>
      </w:pPr>
      <w:r>
        <w:rPr>
          <w:rFonts w:hint="default" w:ascii="Times New Roman" w:hAnsi="Times New Roman" w:eastAsia="仿宋_GB2312" w:cs="Times New Roman"/>
          <w:sz w:val="32"/>
          <w:highlight w:val="none"/>
          <w:lang w:val="en-US" w:eastAsia="zh-CN"/>
        </w:rPr>
        <w:t>2</w:t>
      </w:r>
      <w:r>
        <w:rPr>
          <w:rFonts w:hint="default" w:ascii="Times New Roman" w:hAnsi="Times New Roman" w:eastAsia="仿宋_GB2312" w:cs="Times New Roman"/>
          <w:sz w:val="32"/>
          <w:highlight w:val="none"/>
        </w:rPr>
        <w:t>02</w:t>
      </w:r>
      <w:r>
        <w:rPr>
          <w:rFonts w:hint="eastAsia" w:ascii="Times New Roman" w:hAnsi="Times New Roman" w:eastAsia="仿宋_GB2312" w:cs="Times New Roman"/>
          <w:sz w:val="32"/>
          <w:highlight w:val="none"/>
          <w:lang w:val="en-US" w:eastAsia="zh-CN"/>
        </w:rPr>
        <w:t>3</w:t>
      </w:r>
      <w:r>
        <w:rPr>
          <w:rFonts w:hint="default" w:ascii="Times New Roman" w:hAnsi="Times New Roman" w:eastAsia="仿宋_GB2312" w:cs="Times New Roman"/>
          <w:sz w:val="32"/>
          <w:highlight w:val="none"/>
        </w:rPr>
        <w:t>年新疆维吾尔自治区中小企业发展专项资金</w:t>
      </w:r>
      <w:r>
        <w:rPr>
          <w:rFonts w:hint="eastAsia" w:eastAsia="仿宋_GB2312" w:cs="Times New Roman"/>
          <w:sz w:val="32"/>
          <w:highlight w:val="none"/>
          <w:lang w:eastAsia="zh-CN"/>
        </w:rPr>
        <w:t>（</w:t>
      </w:r>
      <w:r>
        <w:rPr>
          <w:rFonts w:hint="eastAsia" w:eastAsia="仿宋_GB2312" w:cs="Times New Roman"/>
          <w:sz w:val="32"/>
          <w:highlight w:val="none"/>
          <w:lang w:val="en-US" w:eastAsia="zh-CN"/>
        </w:rPr>
        <w:t>自治区本级</w:t>
      </w:r>
      <w:r>
        <w:rPr>
          <w:rFonts w:hint="eastAsia" w:eastAsia="仿宋_GB2312" w:cs="Times New Roman"/>
          <w:sz w:val="32"/>
          <w:highlight w:val="none"/>
          <w:lang w:eastAsia="zh-CN"/>
        </w:rPr>
        <w:t>）</w:t>
      </w:r>
      <w:r>
        <w:rPr>
          <w:rFonts w:hint="default" w:ascii="Times New Roman" w:hAnsi="Times New Roman" w:eastAsia="仿宋_GB2312" w:cs="Times New Roman"/>
          <w:sz w:val="32"/>
          <w:highlight w:val="none"/>
        </w:rPr>
        <w:t>所涉及的项目管理部门和承担单位</w:t>
      </w:r>
      <w:r>
        <w:rPr>
          <w:rFonts w:hint="eastAsia" w:eastAsia="仿宋_GB2312" w:cs="Times New Roman"/>
          <w:sz w:val="32"/>
          <w:highlight w:val="none"/>
          <w:lang w:eastAsia="zh-CN"/>
        </w:rPr>
        <w:t>。</w:t>
      </w:r>
    </w:p>
    <w:p w14:paraId="1E4AAE5A">
      <w:pPr>
        <w:pStyle w:val="2"/>
        <w:keepNext w:val="0"/>
        <w:keepLines w:val="0"/>
        <w:pageBreakBefore w:val="0"/>
        <w:widowControl w:val="0"/>
        <w:kinsoku/>
        <w:wordWrap/>
        <w:overflowPunct/>
        <w:topLinePunct w:val="0"/>
        <w:autoSpaceDE/>
        <w:autoSpaceDN/>
        <w:bidi w:val="0"/>
        <w:adjustRightInd/>
        <w:snapToGrid/>
        <w:spacing w:before="0" w:after="0" w:line="560" w:lineRule="exact"/>
        <w:ind w:firstLine="643" w:firstLineChars="200"/>
        <w:jc w:val="both"/>
        <w:textAlignment w:val="auto"/>
        <w:outlineLvl w:val="9"/>
        <w:rPr>
          <w:rFonts w:ascii="Times New Roman" w:hAnsi="Times New Roman" w:eastAsia="仿宋_GB2312"/>
          <w:b/>
          <w:bCs/>
        </w:rPr>
      </w:pPr>
      <w:r>
        <w:rPr>
          <w:rFonts w:ascii="Times New Roman" w:hAnsi="Times New Roman" w:eastAsia="仿宋_GB2312"/>
          <w:b/>
          <w:bCs/>
        </w:rPr>
        <w:t>3</w:t>
      </w:r>
      <w:r>
        <w:rPr>
          <w:rFonts w:hint="eastAsia" w:ascii="Times New Roman" w:hAnsi="Times New Roman" w:eastAsia="仿宋_GB2312"/>
          <w:b/>
          <w:bCs/>
          <w:lang w:eastAsia="zh-CN"/>
        </w:rPr>
        <w:t>.</w:t>
      </w:r>
      <w:r>
        <w:rPr>
          <w:rFonts w:ascii="Times New Roman" w:hAnsi="Times New Roman" w:eastAsia="仿宋_GB2312"/>
          <w:b/>
          <w:bCs/>
        </w:rPr>
        <w:t>绩效评价的范围</w:t>
      </w:r>
    </w:p>
    <w:p w14:paraId="602C07A2">
      <w:pPr>
        <w:keepNext w:val="0"/>
        <w:keepLines w:val="0"/>
        <w:pageBreakBefore w:val="0"/>
        <w:kinsoku/>
        <w:wordWrap/>
        <w:overflowPunct/>
        <w:topLinePunct w:val="0"/>
        <w:autoSpaceDE/>
        <w:autoSpaceDN/>
        <w:bidi w:val="0"/>
        <w:adjustRightInd/>
        <w:snapToGrid/>
        <w:spacing w:after="0" w:line="560" w:lineRule="exact"/>
        <w:ind w:firstLine="640" w:firstLineChars="200"/>
        <w:textAlignment w:val="auto"/>
        <w:rPr>
          <w:rFonts w:ascii="仿宋_GB2312" w:hAnsi="仿宋_GB2312" w:eastAsia="仿宋_GB2312" w:cs="仿宋_GB2312"/>
          <w:sz w:val="32"/>
          <w:szCs w:val="32"/>
          <w:highlight w:val="none"/>
        </w:rPr>
      </w:pPr>
      <w:r>
        <w:rPr>
          <w:rFonts w:hint="default" w:ascii="Times New Roman" w:hAnsi="Times New Roman" w:eastAsia="仿宋_GB2312" w:cs="Times New Roman"/>
          <w:sz w:val="32"/>
          <w:highlight w:val="none"/>
        </w:rPr>
        <w:t>本次</w:t>
      </w:r>
      <w:r>
        <w:rPr>
          <w:rFonts w:hint="default" w:ascii="Times New Roman" w:hAnsi="Times New Roman" w:eastAsia="仿宋_GB2312" w:cs="Times New Roman"/>
          <w:sz w:val="32"/>
          <w:szCs w:val="22"/>
          <w:highlight w:val="none"/>
          <w:lang w:val="en-US" w:eastAsia="zh-CN"/>
        </w:rPr>
        <w:t>绩效评价</w:t>
      </w:r>
      <w:r>
        <w:rPr>
          <w:rFonts w:hint="default" w:ascii="Times New Roman" w:hAnsi="Times New Roman" w:eastAsia="仿宋_GB2312" w:cs="Times New Roman"/>
          <w:sz w:val="32"/>
          <w:highlight w:val="none"/>
        </w:rPr>
        <w:t>针对202</w:t>
      </w:r>
      <w:r>
        <w:rPr>
          <w:rFonts w:hint="eastAsia" w:ascii="Times New Roman" w:hAnsi="Times New Roman" w:eastAsia="仿宋_GB2312" w:cs="Times New Roman"/>
          <w:sz w:val="32"/>
          <w:highlight w:val="none"/>
          <w:lang w:val="en-US" w:eastAsia="zh-CN"/>
        </w:rPr>
        <w:t>3</w:t>
      </w:r>
      <w:r>
        <w:rPr>
          <w:rFonts w:hint="default" w:ascii="Times New Roman" w:hAnsi="Times New Roman" w:eastAsia="仿宋_GB2312" w:cs="Times New Roman"/>
          <w:sz w:val="32"/>
          <w:highlight w:val="none"/>
        </w:rPr>
        <w:t>年新疆维吾尔自治区本级的中小企业发展专项资金</w:t>
      </w:r>
      <w:r>
        <w:rPr>
          <w:rFonts w:hint="eastAsia" w:ascii="Times New Roman" w:hAnsi="Times New Roman" w:eastAsia="仿宋_GB2312" w:cs="Times New Roman"/>
          <w:sz w:val="32"/>
          <w:highlight w:val="none"/>
          <w:lang w:val="en-US" w:eastAsia="zh-CN"/>
        </w:rPr>
        <w:t>5000</w:t>
      </w:r>
      <w:r>
        <w:rPr>
          <w:rFonts w:hint="default" w:ascii="Times New Roman" w:hAnsi="Times New Roman" w:eastAsia="仿宋_GB2312" w:cs="Times New Roman"/>
          <w:sz w:val="32"/>
          <w:highlight w:val="none"/>
        </w:rPr>
        <w:t>万元，以及专项资金所涉及的项目管理部门和承担单位开展全面、系统</w:t>
      </w:r>
      <w:r>
        <w:rPr>
          <w:rFonts w:hint="eastAsia" w:eastAsia="仿宋_GB2312" w:cs="Times New Roman"/>
          <w:sz w:val="32"/>
          <w:highlight w:val="none"/>
          <w:lang w:eastAsia="zh-CN"/>
        </w:rPr>
        <w:t>的</w:t>
      </w:r>
      <w:r>
        <w:rPr>
          <w:rFonts w:hint="default" w:ascii="Times New Roman" w:hAnsi="Times New Roman" w:eastAsia="仿宋_GB2312" w:cs="Times New Roman"/>
          <w:sz w:val="32"/>
          <w:highlight w:val="none"/>
        </w:rPr>
        <w:t>绩效评价</w:t>
      </w:r>
      <w:r>
        <w:rPr>
          <w:rFonts w:hint="eastAsia" w:ascii="Times New Roman" w:hAnsi="Times New Roman" w:eastAsia="仿宋_GB2312" w:cs="Times New Roman"/>
          <w:sz w:val="32"/>
          <w:highlight w:val="none"/>
          <w:lang w:eastAsia="zh-CN"/>
        </w:rPr>
        <w:t>，</w:t>
      </w:r>
      <w:r>
        <w:rPr>
          <w:rFonts w:hint="eastAsia" w:ascii="Times New Roman" w:hAnsi="Times New Roman" w:eastAsia="仿宋_GB2312" w:cs="Times New Roman"/>
          <w:sz w:val="32"/>
          <w:highlight w:val="none"/>
          <w:lang w:val="en-US" w:eastAsia="zh-CN"/>
        </w:rPr>
        <w:t>包括</w:t>
      </w:r>
      <w:r>
        <w:rPr>
          <w:rFonts w:hint="eastAsia" w:ascii="仿宋_GB2312" w:hAnsi="仿宋_GB2312" w:eastAsia="仿宋_GB2312" w:cs="仿宋_GB2312"/>
          <w:sz w:val="32"/>
          <w:szCs w:val="32"/>
          <w:highlight w:val="none"/>
        </w:rPr>
        <w:t>项目的决策、过程、产出、效益等。</w:t>
      </w:r>
    </w:p>
    <w:p w14:paraId="21DE49C9">
      <w:pPr>
        <w:keepNext w:val="0"/>
        <w:keepLines w:val="0"/>
        <w:pageBreakBefore w:val="0"/>
        <w:kinsoku/>
        <w:wordWrap/>
        <w:overflowPunct/>
        <w:topLinePunct w:val="0"/>
        <w:autoSpaceDE/>
        <w:autoSpaceDN/>
        <w:bidi w:val="0"/>
        <w:adjustRightInd/>
        <w:snapToGrid/>
        <w:spacing w:line="560" w:lineRule="exact"/>
        <w:ind w:firstLine="643" w:firstLineChars="200"/>
        <w:textAlignment w:val="auto"/>
      </w:pPr>
      <w:r>
        <w:rPr>
          <w:rFonts w:eastAsia="楷体_GB2312"/>
          <w:b/>
          <w:bCs/>
          <w:sz w:val="32"/>
          <w:szCs w:val="32"/>
        </w:rPr>
        <w:t>（二）绩效评价原则、指标体系、评价方法、评价标准。</w:t>
      </w:r>
    </w:p>
    <w:p w14:paraId="0D99E1D5">
      <w:pPr>
        <w:keepNext w:val="0"/>
        <w:keepLines w:val="0"/>
        <w:pageBreakBefore w:val="0"/>
        <w:kinsoku/>
        <w:wordWrap/>
        <w:overflowPunct/>
        <w:topLinePunct w:val="0"/>
        <w:autoSpaceDE/>
        <w:autoSpaceDN/>
        <w:bidi w:val="0"/>
        <w:adjustRightInd/>
        <w:snapToGrid/>
        <w:spacing w:line="560" w:lineRule="exact"/>
        <w:ind w:firstLine="643" w:firstLineChars="200"/>
        <w:textAlignment w:val="auto"/>
        <w:rPr>
          <w:rFonts w:hint="default" w:ascii="Times New Roman" w:hAnsi="Times New Roman" w:eastAsia="仿宋_GB2312" w:cs="Times New Roman"/>
          <w:b/>
          <w:bCs/>
          <w:kern w:val="28"/>
          <w:sz w:val="32"/>
          <w:szCs w:val="22"/>
          <w:highlight w:val="none"/>
          <w:lang w:val="en-US" w:eastAsia="zh-CN" w:bidi="ar-SA"/>
        </w:rPr>
      </w:pPr>
      <w:r>
        <w:rPr>
          <w:rFonts w:hint="default" w:ascii="Times New Roman" w:hAnsi="Times New Roman" w:eastAsia="仿宋_GB2312" w:cs="Times New Roman"/>
          <w:b/>
          <w:bCs/>
          <w:kern w:val="28"/>
          <w:sz w:val="32"/>
          <w:szCs w:val="22"/>
          <w:highlight w:val="none"/>
          <w:lang w:val="en-US" w:eastAsia="zh-CN" w:bidi="ar-SA"/>
        </w:rPr>
        <w:t>1</w:t>
      </w:r>
      <w:r>
        <w:rPr>
          <w:rFonts w:hint="eastAsia" w:ascii="Times New Roman" w:hAnsi="Times New Roman" w:eastAsia="仿宋_GB2312" w:cs="Times New Roman"/>
          <w:b/>
          <w:bCs/>
          <w:kern w:val="28"/>
          <w:sz w:val="32"/>
          <w:szCs w:val="22"/>
          <w:highlight w:val="none"/>
          <w:lang w:val="en-US" w:eastAsia="zh-CN" w:bidi="ar-SA"/>
        </w:rPr>
        <w:t>.</w:t>
      </w:r>
      <w:r>
        <w:rPr>
          <w:rFonts w:hint="default" w:ascii="Times New Roman" w:hAnsi="Times New Roman" w:eastAsia="仿宋_GB2312" w:cs="Times New Roman"/>
          <w:b/>
          <w:bCs/>
          <w:kern w:val="28"/>
          <w:sz w:val="32"/>
          <w:szCs w:val="22"/>
          <w:highlight w:val="none"/>
          <w:lang w:val="en-US" w:eastAsia="zh-CN" w:bidi="ar-SA"/>
        </w:rPr>
        <w:t>绩效评价原则</w:t>
      </w:r>
    </w:p>
    <w:p w14:paraId="399175C4">
      <w:pPr>
        <w:keepNext w:val="0"/>
        <w:keepLines w:val="0"/>
        <w:pageBreakBefore w:val="0"/>
        <w:kinsoku/>
        <w:wordWrap/>
        <w:overflowPunct/>
        <w:topLinePunct w:val="0"/>
        <w:autoSpaceDE/>
        <w:autoSpaceDN/>
        <w:bidi w:val="0"/>
        <w:adjustRightInd/>
        <w:snapToGrid/>
        <w:spacing w:after="0" w:line="560" w:lineRule="exact"/>
        <w:ind w:firstLine="640" w:firstLineChars="200"/>
        <w:textAlignment w:val="auto"/>
        <w:rPr>
          <w:rFonts w:hint="default" w:ascii="Times New Roman" w:hAnsi="Times New Roman" w:eastAsia="仿宋_GB2312" w:cs="Times New Roman"/>
          <w:sz w:val="32"/>
          <w:highlight w:val="none"/>
        </w:rPr>
      </w:pPr>
      <w:r>
        <w:rPr>
          <w:rFonts w:hint="default" w:ascii="Times New Roman" w:hAnsi="Times New Roman" w:eastAsia="仿宋_GB2312" w:cs="Times New Roman"/>
          <w:sz w:val="32"/>
          <w:highlight w:val="none"/>
        </w:rPr>
        <w:t>在开展中小企业发展专项资金成效评估的过程中，应遵循科学规范、统筹兼顾、公开公正、分级分类、绩效相关等原则。</w:t>
      </w:r>
    </w:p>
    <w:p w14:paraId="1D284027">
      <w:pPr>
        <w:keepNext w:val="0"/>
        <w:keepLines w:val="0"/>
        <w:pageBreakBefore w:val="0"/>
        <w:kinsoku/>
        <w:wordWrap/>
        <w:overflowPunct/>
        <w:topLinePunct w:val="0"/>
        <w:autoSpaceDE/>
        <w:autoSpaceDN/>
        <w:bidi w:val="0"/>
        <w:adjustRightInd/>
        <w:snapToGrid/>
        <w:spacing w:after="0" w:line="560" w:lineRule="exact"/>
        <w:ind w:firstLine="643" w:firstLineChars="200"/>
        <w:textAlignment w:val="auto"/>
        <w:rPr>
          <w:rFonts w:hint="default" w:ascii="Times New Roman" w:hAnsi="Times New Roman" w:eastAsia="仿宋_GB2312" w:cs="Times New Roman"/>
          <w:sz w:val="32"/>
          <w:highlight w:val="none"/>
          <w:lang w:val="en-US" w:eastAsia="zh-CN"/>
        </w:rPr>
      </w:pPr>
      <w:r>
        <w:rPr>
          <w:rFonts w:hint="default" w:ascii="Times New Roman" w:hAnsi="Times New Roman" w:eastAsia="仿宋_GB2312" w:cs="Times New Roman"/>
          <w:b/>
          <w:bCs/>
          <w:sz w:val="32"/>
          <w:szCs w:val="22"/>
          <w:highlight w:val="none"/>
          <w:lang w:val="en-US" w:eastAsia="zh-CN"/>
        </w:rPr>
        <w:t>（1）科学规范原则。</w:t>
      </w:r>
      <w:r>
        <w:rPr>
          <w:rFonts w:hint="default" w:ascii="Times New Roman" w:hAnsi="Times New Roman" w:eastAsia="仿宋_GB2312" w:cs="Times New Roman"/>
          <w:sz w:val="32"/>
          <w:highlight w:val="none"/>
          <w:lang w:val="en-US" w:eastAsia="zh-CN"/>
        </w:rPr>
        <w:t>中小企业发展专项资金</w:t>
      </w:r>
      <w:r>
        <w:rPr>
          <w:rFonts w:hint="default" w:ascii="Times New Roman" w:hAnsi="Times New Roman" w:eastAsia="仿宋_GB2312" w:cs="Times New Roman"/>
          <w:sz w:val="32"/>
          <w:szCs w:val="22"/>
          <w:highlight w:val="none"/>
          <w:lang w:val="en-US" w:eastAsia="zh-CN"/>
        </w:rPr>
        <w:t>绩效评价</w:t>
      </w:r>
      <w:r>
        <w:rPr>
          <w:rFonts w:hint="default" w:ascii="Times New Roman" w:hAnsi="Times New Roman" w:eastAsia="仿宋_GB2312" w:cs="Times New Roman"/>
          <w:sz w:val="32"/>
          <w:highlight w:val="none"/>
          <w:lang w:val="en-US" w:eastAsia="zh-CN"/>
        </w:rPr>
        <w:t>应当运用科学规范的方法，制定科学、合理、有效的评价指标体系，严格执行规定的</w:t>
      </w:r>
      <w:r>
        <w:rPr>
          <w:rFonts w:hint="default" w:ascii="Times New Roman" w:hAnsi="Times New Roman" w:eastAsia="仿宋_GB2312" w:cs="Times New Roman"/>
          <w:sz w:val="32"/>
          <w:szCs w:val="22"/>
          <w:highlight w:val="none"/>
          <w:lang w:val="en-US" w:eastAsia="zh-CN"/>
        </w:rPr>
        <w:t>绩效评价</w:t>
      </w:r>
      <w:r>
        <w:rPr>
          <w:rFonts w:hint="default" w:ascii="Times New Roman" w:hAnsi="Times New Roman" w:eastAsia="仿宋_GB2312" w:cs="Times New Roman"/>
          <w:sz w:val="32"/>
          <w:highlight w:val="none"/>
          <w:lang w:val="en-US" w:eastAsia="zh-CN"/>
        </w:rPr>
        <w:t>程序，采用定量定性相结合的综合分析方法，对新疆维吾尔自治区中小企业发展专项资金支出的经济性、效率性和有效性进行评价。</w:t>
      </w:r>
    </w:p>
    <w:p w14:paraId="110211F8">
      <w:pPr>
        <w:keepNext w:val="0"/>
        <w:keepLines w:val="0"/>
        <w:pageBreakBefore w:val="0"/>
        <w:kinsoku/>
        <w:wordWrap/>
        <w:overflowPunct/>
        <w:topLinePunct w:val="0"/>
        <w:autoSpaceDE/>
        <w:autoSpaceDN/>
        <w:bidi w:val="0"/>
        <w:adjustRightInd/>
        <w:snapToGrid/>
        <w:spacing w:after="0" w:line="560" w:lineRule="exact"/>
        <w:ind w:firstLine="643" w:firstLineChars="200"/>
        <w:textAlignment w:val="auto"/>
        <w:rPr>
          <w:rFonts w:hint="default" w:ascii="Times New Roman" w:hAnsi="Times New Roman" w:eastAsia="仿宋_GB2312" w:cs="Times New Roman"/>
          <w:sz w:val="32"/>
          <w:highlight w:val="none"/>
          <w:lang w:val="en-US" w:eastAsia="zh-CN"/>
        </w:rPr>
      </w:pPr>
      <w:r>
        <w:rPr>
          <w:rFonts w:hint="default" w:ascii="Times New Roman" w:hAnsi="Times New Roman" w:eastAsia="仿宋_GB2312" w:cs="Times New Roman"/>
          <w:b/>
          <w:bCs/>
          <w:sz w:val="32"/>
          <w:szCs w:val="22"/>
          <w:highlight w:val="none"/>
          <w:lang w:val="en-US" w:eastAsia="zh-CN"/>
        </w:rPr>
        <w:t>（2）统筹兼顾原则。</w:t>
      </w:r>
      <w:r>
        <w:rPr>
          <w:rFonts w:hint="default" w:ascii="Times New Roman" w:hAnsi="Times New Roman" w:eastAsia="仿宋_GB2312" w:cs="Times New Roman"/>
          <w:sz w:val="32"/>
          <w:highlight w:val="none"/>
          <w:lang w:val="en-US" w:eastAsia="zh-CN"/>
        </w:rPr>
        <w:t>统筹兼顾原则是指在中小企业发展专项资金</w:t>
      </w:r>
      <w:r>
        <w:rPr>
          <w:rFonts w:hint="default" w:ascii="Times New Roman" w:hAnsi="Times New Roman" w:eastAsia="仿宋_GB2312" w:cs="Times New Roman"/>
          <w:sz w:val="32"/>
          <w:szCs w:val="22"/>
          <w:highlight w:val="none"/>
          <w:lang w:val="en-US" w:eastAsia="zh-CN"/>
        </w:rPr>
        <w:t>绩效评价</w:t>
      </w:r>
      <w:r>
        <w:rPr>
          <w:rFonts w:hint="default" w:ascii="Times New Roman" w:hAnsi="Times New Roman" w:eastAsia="仿宋_GB2312" w:cs="Times New Roman"/>
          <w:sz w:val="32"/>
          <w:highlight w:val="none"/>
          <w:lang w:val="en-US" w:eastAsia="zh-CN"/>
        </w:rPr>
        <w:t>的过程中，单位自评、部门评价和财政评价应职责明确，各有侧重，相互衔接。单位自评应由项目单位自主实施，即“谁支出、谁自评”。部门评价和财政评价应在单位自评的基础上开展。</w:t>
      </w:r>
    </w:p>
    <w:p w14:paraId="21D65916">
      <w:pPr>
        <w:keepNext w:val="0"/>
        <w:keepLines w:val="0"/>
        <w:pageBreakBefore w:val="0"/>
        <w:kinsoku/>
        <w:wordWrap/>
        <w:overflowPunct/>
        <w:topLinePunct w:val="0"/>
        <w:autoSpaceDE/>
        <w:autoSpaceDN/>
        <w:bidi w:val="0"/>
        <w:adjustRightInd/>
        <w:snapToGrid/>
        <w:spacing w:after="0" w:line="560" w:lineRule="exact"/>
        <w:ind w:firstLine="643" w:firstLineChars="200"/>
        <w:textAlignment w:val="auto"/>
        <w:rPr>
          <w:rFonts w:hint="default" w:ascii="Times New Roman" w:hAnsi="Times New Roman" w:eastAsia="仿宋_GB2312" w:cs="Times New Roman"/>
          <w:sz w:val="32"/>
          <w:highlight w:val="none"/>
          <w:lang w:val="en-US" w:eastAsia="zh-CN"/>
        </w:rPr>
      </w:pPr>
      <w:r>
        <w:rPr>
          <w:rFonts w:hint="default" w:ascii="Times New Roman" w:hAnsi="Times New Roman" w:eastAsia="仿宋_GB2312" w:cs="Times New Roman"/>
          <w:b/>
          <w:bCs/>
          <w:sz w:val="32"/>
          <w:szCs w:val="22"/>
          <w:highlight w:val="none"/>
          <w:lang w:val="en-US" w:eastAsia="zh-CN"/>
        </w:rPr>
        <w:t>（3）公开公正原则。</w:t>
      </w:r>
      <w:r>
        <w:rPr>
          <w:rFonts w:hint="default" w:ascii="Times New Roman" w:hAnsi="Times New Roman" w:eastAsia="仿宋_GB2312" w:cs="Times New Roman"/>
          <w:sz w:val="32"/>
          <w:highlight w:val="none"/>
          <w:lang w:val="en-US" w:eastAsia="zh-CN"/>
        </w:rPr>
        <w:t>中小企业发展专项资金</w:t>
      </w:r>
      <w:r>
        <w:rPr>
          <w:rFonts w:hint="default" w:ascii="Times New Roman" w:hAnsi="Times New Roman" w:eastAsia="仿宋_GB2312" w:cs="Times New Roman"/>
          <w:sz w:val="32"/>
          <w:szCs w:val="22"/>
          <w:highlight w:val="none"/>
          <w:lang w:val="en-US" w:eastAsia="zh-CN"/>
        </w:rPr>
        <w:t>绩效评价</w:t>
      </w:r>
      <w:r>
        <w:rPr>
          <w:rFonts w:hint="default" w:ascii="Times New Roman" w:hAnsi="Times New Roman" w:eastAsia="仿宋_GB2312" w:cs="Times New Roman"/>
          <w:sz w:val="32"/>
          <w:highlight w:val="none"/>
          <w:lang w:val="en-US" w:eastAsia="zh-CN"/>
        </w:rPr>
        <w:t>应坚持公开透明、公平公正的原则，采用统一的评价标准，参考可靠的评价资料，对资金所支持项目的整体支出绩效和使用方向进行客观真实</w:t>
      </w:r>
      <w:r>
        <w:rPr>
          <w:rFonts w:hint="eastAsia" w:eastAsia="仿宋_GB2312" w:cs="Times New Roman"/>
          <w:sz w:val="32"/>
          <w:highlight w:val="none"/>
          <w:lang w:val="en-US" w:eastAsia="zh-CN"/>
        </w:rPr>
        <w:t>地</w:t>
      </w:r>
      <w:r>
        <w:rPr>
          <w:rFonts w:hint="default" w:ascii="Times New Roman" w:hAnsi="Times New Roman" w:eastAsia="仿宋_GB2312" w:cs="Times New Roman"/>
          <w:sz w:val="32"/>
          <w:highlight w:val="none"/>
          <w:lang w:val="en-US" w:eastAsia="zh-CN"/>
        </w:rPr>
        <w:t>反映，同时绩效评价结果应依法依规公开，并自觉接受社会监督。</w:t>
      </w:r>
    </w:p>
    <w:p w14:paraId="2A2B2E3E">
      <w:pPr>
        <w:keepNext w:val="0"/>
        <w:keepLines w:val="0"/>
        <w:pageBreakBefore w:val="0"/>
        <w:kinsoku/>
        <w:wordWrap/>
        <w:overflowPunct/>
        <w:topLinePunct w:val="0"/>
        <w:autoSpaceDE/>
        <w:autoSpaceDN/>
        <w:bidi w:val="0"/>
        <w:adjustRightInd/>
        <w:snapToGrid/>
        <w:spacing w:after="0" w:line="560" w:lineRule="exact"/>
        <w:ind w:firstLine="643" w:firstLineChars="200"/>
        <w:textAlignment w:val="auto"/>
        <w:rPr>
          <w:rFonts w:hint="default" w:ascii="Times New Roman" w:hAnsi="Times New Roman" w:eastAsia="仿宋_GB2312" w:cs="Times New Roman"/>
          <w:sz w:val="32"/>
          <w:highlight w:val="none"/>
          <w:lang w:val="en-US" w:eastAsia="zh-CN"/>
        </w:rPr>
      </w:pPr>
      <w:r>
        <w:rPr>
          <w:rFonts w:hint="default" w:ascii="Times New Roman" w:hAnsi="Times New Roman" w:eastAsia="仿宋_GB2312" w:cs="Times New Roman"/>
          <w:b/>
          <w:bCs/>
          <w:sz w:val="32"/>
          <w:szCs w:val="22"/>
          <w:highlight w:val="none"/>
          <w:lang w:val="en-US" w:eastAsia="zh-CN"/>
        </w:rPr>
        <w:t>（4）分级分类原则。</w:t>
      </w:r>
      <w:r>
        <w:rPr>
          <w:rFonts w:hint="default" w:ascii="Times New Roman" w:hAnsi="Times New Roman" w:eastAsia="仿宋_GB2312" w:cs="Times New Roman"/>
          <w:sz w:val="32"/>
          <w:highlight w:val="none"/>
          <w:lang w:val="en-US" w:eastAsia="zh-CN"/>
        </w:rPr>
        <w:t>中小企业发展专项资金</w:t>
      </w:r>
      <w:r>
        <w:rPr>
          <w:rFonts w:hint="default" w:ascii="Times New Roman" w:hAnsi="Times New Roman" w:eastAsia="仿宋_GB2312" w:cs="Times New Roman"/>
          <w:sz w:val="32"/>
          <w:szCs w:val="22"/>
          <w:highlight w:val="none"/>
          <w:lang w:val="en-US" w:eastAsia="zh-CN"/>
        </w:rPr>
        <w:t>绩效评价</w:t>
      </w:r>
      <w:r>
        <w:rPr>
          <w:rFonts w:hint="default" w:ascii="Times New Roman" w:hAnsi="Times New Roman" w:eastAsia="仿宋_GB2312" w:cs="Times New Roman"/>
          <w:sz w:val="32"/>
          <w:highlight w:val="none"/>
          <w:lang w:val="en-US" w:eastAsia="zh-CN"/>
        </w:rPr>
        <w:t>应采用分级分类原则，针对自治区本级中小企业专项发展资金在支持方向、补助方式等方面的不同特点，分级分类地组织实施绩效评价。</w:t>
      </w:r>
    </w:p>
    <w:p w14:paraId="646F9F12">
      <w:pPr>
        <w:keepNext w:val="0"/>
        <w:keepLines w:val="0"/>
        <w:pageBreakBefore w:val="0"/>
        <w:kinsoku/>
        <w:wordWrap/>
        <w:overflowPunct/>
        <w:topLinePunct w:val="0"/>
        <w:autoSpaceDE/>
        <w:autoSpaceDN/>
        <w:bidi w:val="0"/>
        <w:adjustRightInd/>
        <w:snapToGrid/>
        <w:spacing w:after="0" w:line="560" w:lineRule="exact"/>
        <w:ind w:firstLine="643" w:firstLineChars="200"/>
        <w:textAlignment w:val="auto"/>
        <w:rPr>
          <w:rFonts w:hint="default" w:ascii="Times New Roman" w:hAnsi="Times New Roman" w:eastAsia="仿宋_GB2312" w:cs="Times New Roman"/>
          <w:sz w:val="32"/>
          <w:highlight w:val="none"/>
          <w:lang w:val="en-US" w:eastAsia="zh-CN"/>
        </w:rPr>
      </w:pPr>
      <w:r>
        <w:rPr>
          <w:rFonts w:hint="default" w:ascii="Times New Roman" w:hAnsi="Times New Roman" w:eastAsia="仿宋_GB2312" w:cs="Times New Roman"/>
          <w:b/>
          <w:bCs/>
          <w:sz w:val="32"/>
          <w:szCs w:val="22"/>
          <w:highlight w:val="none"/>
          <w:lang w:val="en-US" w:eastAsia="zh-CN"/>
        </w:rPr>
        <w:t>（5）绩效相关原则。</w:t>
      </w:r>
      <w:r>
        <w:rPr>
          <w:rFonts w:hint="default" w:ascii="Times New Roman" w:hAnsi="Times New Roman" w:eastAsia="仿宋_GB2312" w:cs="Times New Roman"/>
          <w:sz w:val="32"/>
          <w:highlight w:val="none"/>
          <w:lang w:val="en-US" w:eastAsia="zh-CN"/>
        </w:rPr>
        <w:t>绩效相关原则是指中小企业发展专项资金绩效评价应针对财政资金的具体支出及其产出绩效进行评价，评价结果应能够清晰</w:t>
      </w:r>
      <w:r>
        <w:rPr>
          <w:rFonts w:hint="eastAsia" w:eastAsia="仿宋_GB2312" w:cs="Times New Roman"/>
          <w:sz w:val="32"/>
          <w:highlight w:val="none"/>
          <w:lang w:val="en-US" w:eastAsia="zh-CN"/>
        </w:rPr>
        <w:t>地</w:t>
      </w:r>
      <w:r>
        <w:rPr>
          <w:rFonts w:hint="default" w:ascii="Times New Roman" w:hAnsi="Times New Roman" w:eastAsia="仿宋_GB2312" w:cs="Times New Roman"/>
          <w:sz w:val="32"/>
          <w:highlight w:val="none"/>
          <w:lang w:val="en-US" w:eastAsia="zh-CN"/>
        </w:rPr>
        <w:t>反映支出和产出绩效的紧密对应关系。</w:t>
      </w:r>
    </w:p>
    <w:p w14:paraId="1E3420DB">
      <w:pPr>
        <w:keepNext w:val="0"/>
        <w:keepLines w:val="0"/>
        <w:pageBreakBefore w:val="0"/>
        <w:kinsoku/>
        <w:wordWrap/>
        <w:overflowPunct/>
        <w:topLinePunct w:val="0"/>
        <w:autoSpaceDE/>
        <w:autoSpaceDN/>
        <w:bidi w:val="0"/>
        <w:adjustRightInd/>
        <w:snapToGrid/>
        <w:spacing w:line="560" w:lineRule="exact"/>
        <w:ind w:firstLine="643" w:firstLineChars="200"/>
        <w:textAlignment w:val="auto"/>
        <w:rPr>
          <w:rFonts w:hint="default" w:ascii="Times New Roman" w:hAnsi="Times New Roman" w:eastAsia="仿宋_GB2312" w:cs="Times New Roman"/>
          <w:b/>
          <w:bCs/>
          <w:kern w:val="28"/>
          <w:sz w:val="32"/>
          <w:szCs w:val="22"/>
          <w:highlight w:val="none"/>
          <w:lang w:val="en-US" w:eastAsia="zh-CN" w:bidi="ar-SA"/>
        </w:rPr>
      </w:pPr>
      <w:r>
        <w:rPr>
          <w:rFonts w:hint="default" w:ascii="Times New Roman" w:hAnsi="Times New Roman" w:eastAsia="仿宋_GB2312" w:cs="Times New Roman"/>
          <w:b/>
          <w:bCs/>
          <w:kern w:val="28"/>
          <w:sz w:val="32"/>
          <w:szCs w:val="22"/>
          <w:highlight w:val="none"/>
          <w:lang w:val="en-US" w:eastAsia="zh-CN" w:bidi="ar-SA"/>
        </w:rPr>
        <w:t>2</w:t>
      </w:r>
      <w:r>
        <w:rPr>
          <w:rFonts w:hint="eastAsia" w:eastAsia="仿宋_GB2312" w:cs="Times New Roman"/>
          <w:b/>
          <w:bCs/>
          <w:kern w:val="28"/>
          <w:sz w:val="32"/>
          <w:szCs w:val="22"/>
          <w:highlight w:val="none"/>
          <w:lang w:val="en-US" w:eastAsia="zh-CN" w:bidi="ar-SA"/>
        </w:rPr>
        <w:t>.</w:t>
      </w:r>
      <w:r>
        <w:rPr>
          <w:rFonts w:hint="default" w:ascii="Times New Roman" w:hAnsi="Times New Roman" w:eastAsia="仿宋_GB2312" w:cs="Times New Roman"/>
          <w:b/>
          <w:bCs/>
          <w:kern w:val="28"/>
          <w:sz w:val="32"/>
          <w:szCs w:val="22"/>
          <w:highlight w:val="none"/>
          <w:lang w:val="en-US" w:eastAsia="zh-CN" w:bidi="ar-SA"/>
        </w:rPr>
        <w:t>评价指标体系</w:t>
      </w:r>
    </w:p>
    <w:p w14:paraId="40158C75">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b w:val="0"/>
          <w:bCs w:val="0"/>
          <w:kern w:val="28"/>
          <w:sz w:val="32"/>
          <w:szCs w:val="22"/>
          <w:highlight w:val="none"/>
          <w:lang w:val="en-US" w:eastAsia="zh-CN" w:bidi="ar-SA"/>
        </w:rPr>
      </w:pPr>
      <w:r>
        <w:rPr>
          <w:rFonts w:hint="default" w:ascii="Times New Roman" w:hAnsi="Times New Roman" w:eastAsia="仿宋_GB2312" w:cs="Times New Roman"/>
          <w:b w:val="0"/>
          <w:bCs w:val="0"/>
          <w:kern w:val="28"/>
          <w:sz w:val="32"/>
          <w:szCs w:val="22"/>
          <w:highlight w:val="none"/>
          <w:lang w:val="en-US" w:eastAsia="zh-CN" w:bidi="ar-SA"/>
        </w:rPr>
        <w:t>绩效评价框架是开展绩效评价的核心。绩效评价框架包括评价准则、关键评价问题、评价指标、数据来源、数据收集方法等。指标体系建立过程如下：</w:t>
      </w:r>
    </w:p>
    <w:p w14:paraId="44F0D18B">
      <w:pPr>
        <w:keepNext w:val="0"/>
        <w:keepLines w:val="0"/>
        <w:pageBreakBefore w:val="0"/>
        <w:kinsoku/>
        <w:wordWrap/>
        <w:overflowPunct/>
        <w:topLinePunct w:val="0"/>
        <w:autoSpaceDE/>
        <w:autoSpaceDN/>
        <w:bidi w:val="0"/>
        <w:adjustRightInd/>
        <w:snapToGrid/>
        <w:spacing w:line="560" w:lineRule="exact"/>
        <w:ind w:firstLine="643" w:firstLineChars="200"/>
        <w:textAlignment w:val="auto"/>
        <w:rPr>
          <w:rFonts w:hint="default" w:ascii="Times New Roman" w:hAnsi="Times New Roman" w:eastAsia="仿宋_GB2312" w:cs="Times New Roman"/>
          <w:b/>
          <w:bCs/>
          <w:kern w:val="28"/>
          <w:sz w:val="32"/>
          <w:szCs w:val="22"/>
          <w:highlight w:val="none"/>
          <w:lang w:val="en-US" w:eastAsia="zh-CN" w:bidi="ar-SA"/>
        </w:rPr>
      </w:pPr>
      <w:r>
        <w:rPr>
          <w:rFonts w:hint="default" w:ascii="Times New Roman" w:hAnsi="Times New Roman" w:eastAsia="仿宋_GB2312" w:cs="Times New Roman"/>
          <w:b/>
          <w:bCs/>
          <w:kern w:val="28"/>
          <w:sz w:val="32"/>
          <w:szCs w:val="22"/>
          <w:highlight w:val="none"/>
          <w:lang w:val="en-US" w:eastAsia="zh-CN" w:bidi="ar-SA"/>
        </w:rPr>
        <w:t>（1）确定评价指标</w:t>
      </w:r>
    </w:p>
    <w:p w14:paraId="37AB05D8">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b w:val="0"/>
          <w:bCs w:val="0"/>
          <w:kern w:val="28"/>
          <w:sz w:val="32"/>
          <w:szCs w:val="22"/>
          <w:highlight w:val="none"/>
          <w:lang w:val="en-US" w:eastAsia="zh-CN" w:bidi="ar-SA"/>
        </w:rPr>
      </w:pPr>
      <w:r>
        <w:rPr>
          <w:rFonts w:hint="default" w:ascii="Times New Roman" w:hAnsi="Times New Roman" w:eastAsia="仿宋_GB2312" w:cs="Times New Roman"/>
          <w:b w:val="0"/>
          <w:bCs w:val="0"/>
          <w:kern w:val="28"/>
          <w:sz w:val="32"/>
          <w:szCs w:val="22"/>
          <w:highlight w:val="none"/>
          <w:lang w:val="en-US" w:eastAsia="zh-CN" w:bidi="ar-SA"/>
        </w:rPr>
        <w:t>采用层次分析法，建立评价指标体系。绩效评价将指标分为项目决策指标、项目过程指标、项目产出指标、项目效益指标四个维度，最终形成一个由多个相互联系的指标组成的多层次指标体系。</w:t>
      </w:r>
    </w:p>
    <w:p w14:paraId="7AEF2644">
      <w:pPr>
        <w:keepNext w:val="0"/>
        <w:keepLines w:val="0"/>
        <w:pageBreakBefore w:val="0"/>
        <w:kinsoku/>
        <w:wordWrap/>
        <w:overflowPunct/>
        <w:topLinePunct w:val="0"/>
        <w:autoSpaceDE/>
        <w:autoSpaceDN/>
        <w:bidi w:val="0"/>
        <w:adjustRightInd/>
        <w:snapToGrid/>
        <w:spacing w:line="560" w:lineRule="exact"/>
        <w:ind w:firstLine="643" w:firstLineChars="200"/>
        <w:textAlignment w:val="auto"/>
        <w:rPr>
          <w:rFonts w:hint="default" w:ascii="Times New Roman" w:hAnsi="Times New Roman" w:eastAsia="仿宋_GB2312" w:cs="Times New Roman"/>
          <w:b/>
          <w:bCs/>
          <w:kern w:val="28"/>
          <w:sz w:val="32"/>
          <w:szCs w:val="22"/>
          <w:highlight w:val="none"/>
          <w:lang w:val="en-US" w:eastAsia="zh-CN" w:bidi="ar-SA"/>
        </w:rPr>
      </w:pPr>
      <w:r>
        <w:rPr>
          <w:rFonts w:hint="default" w:ascii="Times New Roman" w:hAnsi="Times New Roman" w:eastAsia="仿宋_GB2312" w:cs="Times New Roman"/>
          <w:b/>
          <w:bCs/>
          <w:kern w:val="28"/>
          <w:sz w:val="32"/>
          <w:szCs w:val="22"/>
          <w:highlight w:val="none"/>
          <w:lang w:val="en-US" w:eastAsia="zh-CN" w:bidi="ar-SA"/>
        </w:rPr>
        <w:t>（2）确定权重</w:t>
      </w:r>
    </w:p>
    <w:p w14:paraId="60C75E38">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b w:val="0"/>
          <w:bCs w:val="0"/>
          <w:kern w:val="28"/>
          <w:sz w:val="32"/>
          <w:szCs w:val="22"/>
          <w:highlight w:val="none"/>
          <w:lang w:val="en-US" w:eastAsia="zh-CN" w:bidi="ar-SA"/>
        </w:rPr>
      </w:pPr>
      <w:r>
        <w:rPr>
          <w:rFonts w:hint="default" w:ascii="Times New Roman" w:hAnsi="Times New Roman" w:eastAsia="仿宋_GB2312" w:cs="Times New Roman"/>
          <w:b w:val="0"/>
          <w:bCs w:val="0"/>
          <w:kern w:val="28"/>
          <w:sz w:val="32"/>
          <w:szCs w:val="22"/>
          <w:highlight w:val="none"/>
          <w:lang w:val="en-US" w:eastAsia="zh-CN" w:bidi="ar-SA"/>
        </w:rPr>
        <w:t>确定各个指标相对于项目总体绩效的权重分值。在绩效评价指标体系中，项目决策权重为</w:t>
      </w:r>
      <w:r>
        <w:rPr>
          <w:rFonts w:hint="eastAsia" w:eastAsia="仿宋_GB2312" w:cs="Times New Roman"/>
          <w:b w:val="0"/>
          <w:bCs w:val="0"/>
          <w:kern w:val="28"/>
          <w:sz w:val="32"/>
          <w:szCs w:val="22"/>
          <w:highlight w:val="none"/>
          <w:lang w:val="en-US" w:eastAsia="zh-CN" w:bidi="ar-SA"/>
        </w:rPr>
        <w:t>20</w:t>
      </w:r>
      <w:r>
        <w:rPr>
          <w:rFonts w:hint="default" w:ascii="Times New Roman" w:hAnsi="Times New Roman" w:eastAsia="仿宋_GB2312" w:cs="Times New Roman"/>
          <w:b w:val="0"/>
          <w:bCs w:val="0"/>
          <w:kern w:val="28"/>
          <w:sz w:val="32"/>
          <w:szCs w:val="22"/>
          <w:highlight w:val="none"/>
          <w:lang w:val="en-US" w:eastAsia="zh-CN" w:bidi="ar-SA"/>
        </w:rPr>
        <w:t>分，项目过程权重为</w:t>
      </w:r>
      <w:r>
        <w:rPr>
          <w:rFonts w:hint="eastAsia" w:eastAsia="仿宋_GB2312" w:cs="Times New Roman"/>
          <w:b w:val="0"/>
          <w:bCs w:val="0"/>
          <w:kern w:val="28"/>
          <w:sz w:val="32"/>
          <w:szCs w:val="22"/>
          <w:highlight w:val="none"/>
          <w:lang w:val="en-US" w:eastAsia="zh-CN" w:bidi="ar-SA"/>
        </w:rPr>
        <w:t>20</w:t>
      </w:r>
      <w:r>
        <w:rPr>
          <w:rFonts w:hint="default" w:ascii="Times New Roman" w:hAnsi="Times New Roman" w:eastAsia="仿宋_GB2312" w:cs="Times New Roman"/>
          <w:b w:val="0"/>
          <w:bCs w:val="0"/>
          <w:kern w:val="28"/>
          <w:sz w:val="32"/>
          <w:szCs w:val="22"/>
          <w:highlight w:val="none"/>
          <w:lang w:val="en-US" w:eastAsia="zh-CN" w:bidi="ar-SA"/>
        </w:rPr>
        <w:t>分，项目产出权重为</w:t>
      </w:r>
      <w:r>
        <w:rPr>
          <w:rFonts w:hint="eastAsia" w:eastAsia="仿宋_GB2312" w:cs="Times New Roman"/>
          <w:b w:val="0"/>
          <w:bCs w:val="0"/>
          <w:kern w:val="28"/>
          <w:sz w:val="32"/>
          <w:szCs w:val="22"/>
          <w:highlight w:val="none"/>
          <w:lang w:val="en-US" w:eastAsia="zh-CN" w:bidi="ar-SA"/>
        </w:rPr>
        <w:t>40</w:t>
      </w:r>
      <w:r>
        <w:rPr>
          <w:rFonts w:hint="default" w:ascii="Times New Roman" w:hAnsi="Times New Roman" w:eastAsia="仿宋_GB2312" w:cs="Times New Roman"/>
          <w:b w:val="0"/>
          <w:bCs w:val="0"/>
          <w:kern w:val="28"/>
          <w:sz w:val="32"/>
          <w:szCs w:val="22"/>
          <w:highlight w:val="none"/>
          <w:lang w:val="en-US" w:eastAsia="zh-CN" w:bidi="ar-SA"/>
        </w:rPr>
        <w:t>分，项目效益权重为</w:t>
      </w:r>
      <w:r>
        <w:rPr>
          <w:rFonts w:hint="eastAsia" w:eastAsia="仿宋_GB2312" w:cs="Times New Roman"/>
          <w:b w:val="0"/>
          <w:bCs w:val="0"/>
          <w:kern w:val="28"/>
          <w:sz w:val="32"/>
          <w:szCs w:val="22"/>
          <w:highlight w:val="none"/>
          <w:lang w:val="en-US" w:eastAsia="zh-CN" w:bidi="ar-SA"/>
        </w:rPr>
        <w:t>20</w:t>
      </w:r>
      <w:r>
        <w:rPr>
          <w:rFonts w:hint="default" w:ascii="Times New Roman" w:hAnsi="Times New Roman" w:eastAsia="仿宋_GB2312" w:cs="Times New Roman"/>
          <w:b w:val="0"/>
          <w:bCs w:val="0"/>
          <w:kern w:val="28"/>
          <w:sz w:val="32"/>
          <w:szCs w:val="22"/>
          <w:highlight w:val="none"/>
          <w:lang w:val="en-US" w:eastAsia="zh-CN" w:bidi="ar-SA"/>
        </w:rPr>
        <w:t>分。</w:t>
      </w:r>
    </w:p>
    <w:p w14:paraId="58C21A3B">
      <w:pPr>
        <w:keepNext w:val="0"/>
        <w:keepLines w:val="0"/>
        <w:pageBreakBefore w:val="0"/>
        <w:kinsoku/>
        <w:wordWrap/>
        <w:overflowPunct/>
        <w:topLinePunct w:val="0"/>
        <w:autoSpaceDE/>
        <w:autoSpaceDN/>
        <w:bidi w:val="0"/>
        <w:adjustRightInd/>
        <w:snapToGrid/>
        <w:spacing w:line="560" w:lineRule="exact"/>
        <w:ind w:firstLine="643" w:firstLineChars="200"/>
        <w:textAlignment w:val="auto"/>
        <w:rPr>
          <w:rFonts w:hint="default" w:ascii="Times New Roman" w:hAnsi="Times New Roman" w:eastAsia="仿宋_GB2312" w:cs="Times New Roman"/>
          <w:b/>
          <w:bCs/>
          <w:kern w:val="28"/>
          <w:sz w:val="32"/>
          <w:szCs w:val="22"/>
          <w:highlight w:val="none"/>
          <w:lang w:val="en-US" w:eastAsia="zh-CN" w:bidi="ar-SA"/>
        </w:rPr>
      </w:pPr>
      <w:r>
        <w:rPr>
          <w:rFonts w:hint="default" w:ascii="Times New Roman" w:hAnsi="Times New Roman" w:eastAsia="仿宋_GB2312" w:cs="Times New Roman"/>
          <w:b/>
          <w:bCs/>
          <w:kern w:val="28"/>
          <w:sz w:val="32"/>
          <w:szCs w:val="22"/>
          <w:highlight w:val="none"/>
          <w:lang w:val="en-US" w:eastAsia="zh-CN" w:bidi="ar-SA"/>
        </w:rPr>
        <w:t>（3）确定指标标准值</w:t>
      </w:r>
    </w:p>
    <w:p w14:paraId="4678E68B">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b w:val="0"/>
          <w:bCs w:val="0"/>
          <w:kern w:val="28"/>
          <w:sz w:val="32"/>
          <w:szCs w:val="22"/>
          <w:highlight w:val="none"/>
          <w:lang w:val="en-US" w:eastAsia="zh-CN" w:bidi="ar-SA"/>
        </w:rPr>
      </w:pPr>
      <w:r>
        <w:rPr>
          <w:rFonts w:hint="default" w:ascii="Times New Roman" w:hAnsi="Times New Roman" w:eastAsia="仿宋_GB2312" w:cs="Times New Roman"/>
          <w:b w:val="0"/>
          <w:bCs w:val="0"/>
          <w:kern w:val="28"/>
          <w:sz w:val="32"/>
          <w:szCs w:val="22"/>
          <w:highlight w:val="none"/>
          <w:lang w:val="en-US" w:eastAsia="zh-CN" w:bidi="ar-SA"/>
        </w:rPr>
        <w:t>指标标准值是绩效评价指标的尺度，既要反映同类项目的先进水平，又要符合项目的实际绩效水平。具体采用计划标准等确定此次绩效评价指标标准值。</w:t>
      </w:r>
    </w:p>
    <w:p w14:paraId="648E3135">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b w:val="0"/>
          <w:bCs w:val="0"/>
          <w:kern w:val="28"/>
          <w:sz w:val="32"/>
          <w:szCs w:val="22"/>
          <w:highlight w:val="none"/>
          <w:lang w:val="en-US" w:eastAsia="zh-CN" w:bidi="ar-SA"/>
        </w:rPr>
      </w:pPr>
      <w:r>
        <w:rPr>
          <w:rFonts w:hint="default" w:ascii="Times New Roman" w:hAnsi="Times New Roman" w:eastAsia="仿宋_GB2312" w:cs="Times New Roman"/>
          <w:b w:val="0"/>
          <w:bCs w:val="0"/>
          <w:kern w:val="28"/>
          <w:sz w:val="32"/>
          <w:szCs w:val="22"/>
          <w:highlight w:val="none"/>
          <w:lang w:val="en-US" w:eastAsia="zh-CN" w:bidi="ar-SA"/>
        </w:rPr>
        <w:t>绩效评价总分值100分，根据综合评分结果，评价计分90分-100分（含90分）对应的评分结果级别为优，80-90分（含80分）对应的评分结果级别为良，60-80分（含60分）对应的评分结果级别为中，60分以下对应的评分结果级别为差。</w:t>
      </w:r>
    </w:p>
    <w:p w14:paraId="21189798">
      <w:pPr>
        <w:keepNext w:val="0"/>
        <w:keepLines w:val="0"/>
        <w:pageBreakBefore w:val="0"/>
        <w:kinsoku/>
        <w:wordWrap/>
        <w:overflowPunct/>
        <w:topLinePunct w:val="0"/>
        <w:autoSpaceDE/>
        <w:autoSpaceDN/>
        <w:bidi w:val="0"/>
        <w:adjustRightInd/>
        <w:snapToGrid/>
        <w:spacing w:line="560" w:lineRule="exact"/>
        <w:ind w:firstLine="643" w:firstLineChars="200"/>
        <w:textAlignment w:val="auto"/>
        <w:rPr>
          <w:rFonts w:hint="default" w:ascii="Times New Roman" w:hAnsi="Times New Roman" w:eastAsia="仿宋_GB2312" w:cs="Times New Roman"/>
          <w:b/>
          <w:bCs/>
          <w:kern w:val="28"/>
          <w:sz w:val="32"/>
          <w:szCs w:val="22"/>
          <w:highlight w:val="none"/>
          <w:lang w:val="en-US" w:eastAsia="zh-CN" w:bidi="ar-SA"/>
        </w:rPr>
      </w:pPr>
      <w:r>
        <w:rPr>
          <w:rFonts w:hint="default" w:ascii="Times New Roman" w:hAnsi="Times New Roman" w:eastAsia="仿宋_GB2312" w:cs="Times New Roman"/>
          <w:b/>
          <w:bCs/>
          <w:kern w:val="28"/>
          <w:sz w:val="32"/>
          <w:szCs w:val="22"/>
          <w:highlight w:val="none"/>
          <w:lang w:val="en-US" w:eastAsia="zh-CN" w:bidi="ar-SA"/>
        </w:rPr>
        <w:t>3</w:t>
      </w:r>
      <w:r>
        <w:rPr>
          <w:rFonts w:hint="eastAsia" w:ascii="Times New Roman" w:hAnsi="Times New Roman" w:eastAsia="仿宋_GB2312" w:cs="Times New Roman"/>
          <w:b/>
          <w:bCs/>
          <w:kern w:val="28"/>
          <w:sz w:val="32"/>
          <w:szCs w:val="22"/>
          <w:highlight w:val="none"/>
          <w:lang w:val="en-US" w:eastAsia="zh-CN" w:bidi="ar-SA"/>
        </w:rPr>
        <w:t>.</w:t>
      </w:r>
      <w:r>
        <w:rPr>
          <w:rFonts w:hint="default" w:ascii="Times New Roman" w:hAnsi="Times New Roman" w:eastAsia="仿宋_GB2312" w:cs="Times New Roman"/>
          <w:b/>
          <w:bCs/>
          <w:kern w:val="28"/>
          <w:sz w:val="32"/>
          <w:szCs w:val="22"/>
          <w:highlight w:val="none"/>
          <w:lang w:val="en-US" w:eastAsia="zh-CN" w:bidi="ar-SA"/>
        </w:rPr>
        <w:t>绩效评价方法</w:t>
      </w:r>
    </w:p>
    <w:p w14:paraId="3E030E22">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b w:val="0"/>
          <w:bCs w:val="0"/>
          <w:kern w:val="28"/>
          <w:sz w:val="32"/>
          <w:szCs w:val="22"/>
          <w:highlight w:val="none"/>
          <w:lang w:val="en-US" w:eastAsia="zh-CN" w:bidi="ar-SA"/>
        </w:rPr>
      </w:pPr>
      <w:r>
        <w:rPr>
          <w:rFonts w:hint="default" w:ascii="Times New Roman" w:hAnsi="Times New Roman" w:eastAsia="仿宋_GB2312" w:cs="Times New Roman"/>
          <w:b w:val="0"/>
          <w:bCs w:val="0"/>
          <w:kern w:val="28"/>
          <w:sz w:val="32"/>
          <w:szCs w:val="22"/>
          <w:highlight w:val="none"/>
          <w:lang w:val="en-US" w:eastAsia="zh-CN" w:bidi="ar-SA"/>
        </w:rPr>
        <w:t>绩效评价从项目决策、项目过程、项目产出、项目效益四个维度进行评价。评价对象为项目目标实施情况，评价核心为资金的支出完成情况和项目的产出效益。</w:t>
      </w:r>
    </w:p>
    <w:p w14:paraId="0E2393E6">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b w:val="0"/>
          <w:bCs w:val="0"/>
          <w:kern w:val="28"/>
          <w:sz w:val="32"/>
          <w:szCs w:val="22"/>
          <w:highlight w:val="none"/>
          <w:lang w:val="en-US" w:eastAsia="zh-CN" w:bidi="ar-SA"/>
        </w:rPr>
      </w:pPr>
      <w:r>
        <w:rPr>
          <w:rFonts w:hint="default" w:ascii="Times New Roman" w:hAnsi="Times New Roman" w:eastAsia="仿宋_GB2312" w:cs="Times New Roman"/>
          <w:b w:val="0"/>
          <w:bCs w:val="0"/>
          <w:kern w:val="28"/>
          <w:sz w:val="32"/>
          <w:szCs w:val="22"/>
          <w:highlight w:val="none"/>
          <w:lang w:val="en-US" w:eastAsia="zh-CN" w:bidi="ar-SA"/>
        </w:rPr>
        <w:t>本次评价指标中，既有定性指标又有定量指标，各类指标因考核内容不同和客观标准不同存在较大差异，因此核定具体指标时采用了不同方法，具体评价方法如下：</w:t>
      </w:r>
    </w:p>
    <w:p w14:paraId="6C65ED6F">
      <w:pPr>
        <w:keepNext w:val="0"/>
        <w:keepLines w:val="0"/>
        <w:pageBreakBefore w:val="0"/>
        <w:kinsoku/>
        <w:wordWrap/>
        <w:overflowPunct/>
        <w:topLinePunct w:val="0"/>
        <w:autoSpaceDE/>
        <w:autoSpaceDN/>
        <w:bidi w:val="0"/>
        <w:adjustRightInd/>
        <w:snapToGrid/>
        <w:spacing w:line="560" w:lineRule="exact"/>
        <w:ind w:firstLine="643" w:firstLineChars="200"/>
        <w:textAlignment w:val="auto"/>
        <w:rPr>
          <w:rFonts w:hint="default" w:ascii="Times New Roman" w:hAnsi="Times New Roman" w:eastAsia="仿宋_GB2312" w:cs="Times New Roman"/>
          <w:b/>
          <w:bCs/>
          <w:kern w:val="28"/>
          <w:sz w:val="32"/>
          <w:szCs w:val="22"/>
          <w:highlight w:val="none"/>
          <w:lang w:val="en-US" w:eastAsia="zh-CN" w:bidi="ar-SA"/>
        </w:rPr>
      </w:pPr>
      <w:r>
        <w:rPr>
          <w:rFonts w:hint="default" w:ascii="Times New Roman" w:hAnsi="Times New Roman" w:eastAsia="仿宋_GB2312" w:cs="Times New Roman"/>
          <w:b/>
          <w:bCs/>
          <w:kern w:val="28"/>
          <w:sz w:val="32"/>
          <w:szCs w:val="22"/>
          <w:highlight w:val="none"/>
          <w:lang w:val="en-US" w:eastAsia="zh-CN" w:bidi="ar-SA"/>
        </w:rPr>
        <w:t>（1）比较法</w:t>
      </w:r>
    </w:p>
    <w:p w14:paraId="1BDD6417">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b w:val="0"/>
          <w:bCs w:val="0"/>
          <w:kern w:val="28"/>
          <w:sz w:val="32"/>
          <w:szCs w:val="22"/>
          <w:highlight w:val="none"/>
          <w:lang w:val="en-US" w:eastAsia="zh-CN" w:bidi="ar-SA"/>
        </w:rPr>
      </w:pPr>
      <w:r>
        <w:rPr>
          <w:rFonts w:hint="default" w:ascii="Times New Roman" w:hAnsi="Times New Roman" w:eastAsia="仿宋_GB2312" w:cs="Times New Roman"/>
          <w:b w:val="0"/>
          <w:bCs w:val="0"/>
          <w:kern w:val="28"/>
          <w:sz w:val="32"/>
          <w:szCs w:val="22"/>
          <w:highlight w:val="none"/>
          <w:lang w:val="en-US" w:eastAsia="zh-CN" w:bidi="ar-SA"/>
        </w:rPr>
        <w:t>通过对绩效目标与实施效果、历史与当期情况，综合分析绩效目标实现程度。对项目最终验收情况与年度绩效目标对比、预算资金执行情况等相关因素进行比较。</w:t>
      </w:r>
    </w:p>
    <w:p w14:paraId="4F1C66A0">
      <w:pPr>
        <w:keepNext w:val="0"/>
        <w:keepLines w:val="0"/>
        <w:pageBreakBefore w:val="0"/>
        <w:kinsoku/>
        <w:wordWrap/>
        <w:overflowPunct/>
        <w:topLinePunct w:val="0"/>
        <w:autoSpaceDE/>
        <w:autoSpaceDN/>
        <w:bidi w:val="0"/>
        <w:adjustRightInd/>
        <w:snapToGrid/>
        <w:spacing w:line="560" w:lineRule="exact"/>
        <w:ind w:firstLine="643" w:firstLineChars="200"/>
        <w:textAlignment w:val="auto"/>
        <w:rPr>
          <w:rFonts w:hint="default" w:ascii="Times New Roman" w:hAnsi="Times New Roman" w:eastAsia="仿宋_GB2312" w:cs="Times New Roman"/>
          <w:b/>
          <w:bCs/>
          <w:kern w:val="28"/>
          <w:sz w:val="32"/>
          <w:szCs w:val="22"/>
          <w:highlight w:val="none"/>
          <w:lang w:val="en-US" w:eastAsia="zh-CN" w:bidi="ar-SA"/>
        </w:rPr>
      </w:pPr>
      <w:r>
        <w:rPr>
          <w:rFonts w:hint="default" w:ascii="Times New Roman" w:hAnsi="Times New Roman" w:eastAsia="仿宋_GB2312" w:cs="Times New Roman"/>
          <w:b/>
          <w:bCs/>
          <w:kern w:val="28"/>
          <w:sz w:val="32"/>
          <w:szCs w:val="22"/>
          <w:highlight w:val="none"/>
          <w:lang w:val="en-US" w:eastAsia="zh-CN" w:bidi="ar-SA"/>
        </w:rPr>
        <w:t>（2）因素分析法</w:t>
      </w:r>
    </w:p>
    <w:p w14:paraId="50C76536">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b w:val="0"/>
          <w:bCs w:val="0"/>
          <w:kern w:val="28"/>
          <w:sz w:val="32"/>
          <w:szCs w:val="22"/>
          <w:highlight w:val="none"/>
          <w:lang w:val="en-US" w:eastAsia="zh-CN" w:bidi="ar-SA"/>
        </w:rPr>
      </w:pPr>
      <w:r>
        <w:rPr>
          <w:rFonts w:hint="default" w:ascii="Times New Roman" w:hAnsi="Times New Roman" w:eastAsia="仿宋_GB2312" w:cs="Times New Roman"/>
          <w:b w:val="0"/>
          <w:bCs w:val="0"/>
          <w:kern w:val="28"/>
          <w:sz w:val="32"/>
          <w:szCs w:val="22"/>
          <w:highlight w:val="none"/>
          <w:lang w:val="en-US" w:eastAsia="zh-CN" w:bidi="ar-SA"/>
        </w:rPr>
        <w:t>通过综合分析影响绩效目标实现、实施效果的内外因素，评价绩效目标实现程度。通过对项目的开展情况、项目产出数量、成本控制、资金拨付文件及自评报告等相关资料的收集和审核，综合分析各因素对绩效目标实现的影响。</w:t>
      </w:r>
    </w:p>
    <w:p w14:paraId="414E5875">
      <w:pPr>
        <w:keepNext w:val="0"/>
        <w:keepLines w:val="0"/>
        <w:pageBreakBefore w:val="0"/>
        <w:kinsoku/>
        <w:wordWrap/>
        <w:overflowPunct/>
        <w:topLinePunct w:val="0"/>
        <w:autoSpaceDE/>
        <w:autoSpaceDN/>
        <w:bidi w:val="0"/>
        <w:adjustRightInd/>
        <w:snapToGrid/>
        <w:spacing w:line="560" w:lineRule="exact"/>
        <w:ind w:firstLine="643" w:firstLineChars="200"/>
        <w:textAlignment w:val="auto"/>
        <w:rPr>
          <w:rFonts w:hint="default" w:ascii="Times New Roman" w:hAnsi="Times New Roman" w:eastAsia="仿宋_GB2312" w:cs="Times New Roman"/>
          <w:b/>
          <w:bCs/>
          <w:kern w:val="28"/>
          <w:sz w:val="32"/>
          <w:szCs w:val="22"/>
          <w:highlight w:val="none"/>
          <w:lang w:val="en-US" w:eastAsia="zh-CN" w:bidi="ar-SA"/>
        </w:rPr>
      </w:pPr>
      <w:r>
        <w:rPr>
          <w:rFonts w:hint="default" w:ascii="Times New Roman" w:hAnsi="Times New Roman" w:eastAsia="仿宋_GB2312" w:cs="Times New Roman"/>
          <w:b/>
          <w:bCs/>
          <w:kern w:val="28"/>
          <w:sz w:val="32"/>
          <w:szCs w:val="22"/>
          <w:highlight w:val="none"/>
          <w:lang w:val="en-US" w:eastAsia="zh-CN" w:bidi="ar-SA"/>
        </w:rPr>
        <w:t>4</w:t>
      </w:r>
      <w:r>
        <w:rPr>
          <w:rFonts w:hint="eastAsia" w:ascii="Times New Roman" w:hAnsi="Times New Roman" w:eastAsia="仿宋_GB2312" w:cs="Times New Roman"/>
          <w:b/>
          <w:bCs/>
          <w:kern w:val="28"/>
          <w:sz w:val="32"/>
          <w:szCs w:val="22"/>
          <w:highlight w:val="none"/>
          <w:lang w:val="en-US" w:eastAsia="zh-CN" w:bidi="ar-SA"/>
        </w:rPr>
        <w:t>.</w:t>
      </w:r>
      <w:r>
        <w:rPr>
          <w:rFonts w:hint="default" w:ascii="Times New Roman" w:hAnsi="Times New Roman" w:eastAsia="仿宋_GB2312" w:cs="Times New Roman"/>
          <w:b/>
          <w:bCs/>
          <w:kern w:val="28"/>
          <w:sz w:val="32"/>
          <w:szCs w:val="22"/>
          <w:highlight w:val="none"/>
          <w:lang w:val="en-US" w:eastAsia="zh-CN" w:bidi="ar-SA"/>
        </w:rPr>
        <w:t>评价标准</w:t>
      </w:r>
    </w:p>
    <w:p w14:paraId="47D48331">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b w:val="0"/>
          <w:bCs w:val="0"/>
          <w:kern w:val="28"/>
          <w:sz w:val="32"/>
          <w:szCs w:val="22"/>
          <w:highlight w:val="none"/>
          <w:lang w:val="en-US" w:eastAsia="zh-CN" w:bidi="ar-SA"/>
        </w:rPr>
      </w:pPr>
      <w:r>
        <w:rPr>
          <w:rFonts w:hint="default" w:ascii="Times New Roman" w:hAnsi="Times New Roman" w:eastAsia="仿宋_GB2312" w:cs="Times New Roman"/>
          <w:b w:val="0"/>
          <w:bCs w:val="0"/>
          <w:kern w:val="28"/>
          <w:sz w:val="32"/>
          <w:szCs w:val="22"/>
          <w:highlight w:val="none"/>
          <w:lang w:val="en-US" w:eastAsia="zh-CN" w:bidi="ar-SA"/>
        </w:rPr>
        <w:t>绩效评价标准通常包括计划标准、行业标准、历史标准等，用于对绩效指标完成情况进行比较。本次评价主要采用了计划标准和行业标准。</w:t>
      </w:r>
    </w:p>
    <w:p w14:paraId="1ECCC096">
      <w:pPr>
        <w:pStyle w:val="2"/>
        <w:keepNext w:val="0"/>
        <w:keepLines w:val="0"/>
        <w:pageBreakBefore w:val="0"/>
        <w:numPr>
          <w:ilvl w:val="0"/>
          <w:numId w:val="1"/>
        </w:numPr>
        <w:kinsoku/>
        <w:wordWrap/>
        <w:overflowPunct/>
        <w:topLinePunct w:val="0"/>
        <w:autoSpaceDE/>
        <w:autoSpaceDN/>
        <w:bidi w:val="0"/>
        <w:adjustRightInd/>
        <w:snapToGrid/>
        <w:spacing w:before="0" w:after="0" w:line="560" w:lineRule="exact"/>
        <w:ind w:firstLine="711" w:firstLineChars="200"/>
        <w:jc w:val="both"/>
        <w:textAlignment w:val="auto"/>
        <w:rPr>
          <w:rFonts w:ascii="楷体" w:hAnsi="楷体" w:eastAsia="楷体" w:cs="楷体"/>
          <w:color w:val="000000"/>
          <w:spacing w:val="17"/>
        </w:rPr>
      </w:pPr>
      <w:r>
        <w:rPr>
          <w:rFonts w:hint="eastAsia" w:ascii="楷体" w:hAnsi="楷体" w:eastAsia="楷体" w:cs="楷体"/>
          <w:color w:val="000000"/>
          <w:spacing w:val="17"/>
        </w:rPr>
        <w:t>绩效评价工作过程</w:t>
      </w:r>
    </w:p>
    <w:p w14:paraId="2234ACB2">
      <w:pPr>
        <w:keepNext w:val="0"/>
        <w:keepLines w:val="0"/>
        <w:pageBreakBefore w:val="0"/>
        <w:kinsoku/>
        <w:wordWrap/>
        <w:overflowPunct/>
        <w:topLinePunct w:val="0"/>
        <w:autoSpaceDE/>
        <w:autoSpaceDN/>
        <w:bidi w:val="0"/>
        <w:adjustRightInd/>
        <w:snapToGrid/>
        <w:spacing w:after="0" w:line="560" w:lineRule="exact"/>
        <w:ind w:firstLine="627" w:firstLineChars="200"/>
        <w:textAlignment w:val="auto"/>
        <w:rPr>
          <w:rFonts w:hint="default" w:ascii="Times New Roman" w:hAnsi="Times New Roman" w:eastAsia="仿宋_GB2312" w:cs="Times New Roman"/>
          <w:sz w:val="32"/>
          <w:szCs w:val="22"/>
          <w:highlight w:val="none"/>
        </w:rPr>
      </w:pPr>
      <w:r>
        <w:rPr>
          <w:rStyle w:val="23"/>
          <w:rFonts w:hint="default" w:ascii="Times New Roman" w:hAnsi="Times New Roman" w:eastAsia="仿宋_GB2312" w:cs="Times New Roman"/>
          <w:b/>
          <w:bCs w:val="0"/>
          <w:spacing w:val="-4"/>
          <w:sz w:val="32"/>
          <w:szCs w:val="32"/>
          <w:highlight w:val="none"/>
        </w:rPr>
        <w:t>1.前期准备。</w:t>
      </w:r>
      <w:r>
        <w:rPr>
          <w:rStyle w:val="23"/>
          <w:rFonts w:hint="default" w:ascii="Times New Roman" w:hAnsi="Times New Roman" w:eastAsia="仿宋_GB2312" w:cs="Times New Roman"/>
          <w:b w:val="0"/>
          <w:bCs/>
          <w:spacing w:val="-4"/>
          <w:sz w:val="32"/>
          <w:szCs w:val="32"/>
          <w:highlight w:val="none"/>
        </w:rPr>
        <w:t>成立绩效评价小组</w:t>
      </w:r>
      <w:r>
        <w:rPr>
          <w:rStyle w:val="23"/>
          <w:rFonts w:hint="default" w:ascii="Times New Roman" w:hAnsi="Times New Roman" w:eastAsia="仿宋_GB2312" w:cs="Times New Roman"/>
          <w:b w:val="0"/>
          <w:bCs/>
          <w:spacing w:val="-4"/>
          <w:sz w:val="32"/>
          <w:szCs w:val="32"/>
          <w:highlight w:val="none"/>
          <w:lang w:eastAsia="zh-CN"/>
        </w:rPr>
        <w:t>，</w:t>
      </w:r>
      <w:r>
        <w:rPr>
          <w:rFonts w:hint="default" w:ascii="Times New Roman" w:hAnsi="Times New Roman" w:eastAsia="仿宋_GB2312" w:cs="Times New Roman"/>
          <w:sz w:val="32"/>
          <w:szCs w:val="22"/>
          <w:highlight w:val="none"/>
        </w:rPr>
        <w:t>启动项目前期准备工作。</w:t>
      </w:r>
    </w:p>
    <w:p w14:paraId="475772B8">
      <w:pPr>
        <w:keepNext w:val="0"/>
        <w:keepLines w:val="0"/>
        <w:pageBreakBefore w:val="0"/>
        <w:kinsoku/>
        <w:wordWrap/>
        <w:overflowPunct/>
        <w:topLinePunct w:val="0"/>
        <w:autoSpaceDE/>
        <w:autoSpaceDN/>
        <w:bidi w:val="0"/>
        <w:adjustRightInd/>
        <w:snapToGrid/>
        <w:spacing w:after="0" w:line="560" w:lineRule="exact"/>
        <w:ind w:firstLine="643" w:firstLineChars="200"/>
        <w:textAlignment w:val="auto"/>
        <w:rPr>
          <w:rFonts w:hint="default" w:ascii="Times New Roman" w:hAnsi="Times New Roman" w:eastAsia="仿宋_GB2312" w:cs="Times New Roman"/>
          <w:sz w:val="32"/>
          <w:szCs w:val="22"/>
          <w:highlight w:val="none"/>
        </w:rPr>
      </w:pPr>
      <w:r>
        <w:rPr>
          <w:rFonts w:hint="default" w:ascii="Times New Roman" w:hAnsi="Times New Roman" w:eastAsia="仿宋_GB2312" w:cs="Times New Roman"/>
          <w:b/>
          <w:bCs/>
          <w:sz w:val="32"/>
          <w:szCs w:val="22"/>
          <w:highlight w:val="none"/>
          <w:lang w:val="en-US" w:eastAsia="zh-CN"/>
        </w:rPr>
        <w:t>2.</w:t>
      </w:r>
      <w:r>
        <w:rPr>
          <w:rFonts w:hint="default" w:ascii="Times New Roman" w:hAnsi="Times New Roman" w:eastAsia="仿宋_GB2312" w:cs="Times New Roman"/>
          <w:b/>
          <w:bCs/>
          <w:sz w:val="32"/>
          <w:szCs w:val="22"/>
          <w:highlight w:val="none"/>
        </w:rPr>
        <w:t>确定绩效评价对象和范围：</w:t>
      </w:r>
      <w:r>
        <w:rPr>
          <w:rFonts w:hint="default" w:ascii="Times New Roman" w:hAnsi="Times New Roman" w:eastAsia="仿宋_GB2312" w:cs="Times New Roman"/>
          <w:sz w:val="32"/>
          <w:szCs w:val="22"/>
          <w:highlight w:val="none"/>
        </w:rPr>
        <w:t>梳理202</w:t>
      </w:r>
      <w:r>
        <w:rPr>
          <w:rFonts w:hint="eastAsia" w:ascii="Times New Roman" w:hAnsi="Times New Roman" w:eastAsia="仿宋_GB2312" w:cs="Times New Roman"/>
          <w:sz w:val="32"/>
          <w:szCs w:val="22"/>
          <w:highlight w:val="none"/>
          <w:lang w:val="en-US" w:eastAsia="zh-CN"/>
        </w:rPr>
        <w:t>3</w:t>
      </w:r>
      <w:r>
        <w:rPr>
          <w:rFonts w:hint="default" w:ascii="Times New Roman" w:hAnsi="Times New Roman" w:eastAsia="仿宋_GB2312" w:cs="Times New Roman"/>
          <w:sz w:val="32"/>
          <w:szCs w:val="22"/>
          <w:highlight w:val="none"/>
        </w:rPr>
        <w:t>年度中小企业专项资金使用情况，确定专项资金所涉及的自治区本级主管部门及相应项目承担单位，明确绩效评价对象和范围。</w:t>
      </w:r>
    </w:p>
    <w:p w14:paraId="00DDEA41">
      <w:pPr>
        <w:keepNext w:val="0"/>
        <w:keepLines w:val="0"/>
        <w:pageBreakBefore w:val="0"/>
        <w:kinsoku/>
        <w:wordWrap/>
        <w:overflowPunct/>
        <w:topLinePunct w:val="0"/>
        <w:autoSpaceDE/>
        <w:autoSpaceDN/>
        <w:bidi w:val="0"/>
        <w:adjustRightInd/>
        <w:snapToGrid/>
        <w:spacing w:after="0" w:line="560" w:lineRule="exact"/>
        <w:ind w:firstLine="643" w:firstLineChars="200"/>
        <w:textAlignment w:val="auto"/>
        <w:rPr>
          <w:rFonts w:hint="default" w:ascii="Times New Roman" w:hAnsi="Times New Roman" w:eastAsia="仿宋_GB2312" w:cs="Times New Roman"/>
          <w:sz w:val="32"/>
          <w:szCs w:val="22"/>
          <w:highlight w:val="none"/>
        </w:rPr>
      </w:pPr>
      <w:r>
        <w:rPr>
          <w:rFonts w:hint="default" w:ascii="Times New Roman" w:hAnsi="Times New Roman" w:eastAsia="仿宋_GB2312" w:cs="Times New Roman"/>
          <w:b/>
          <w:bCs/>
          <w:sz w:val="32"/>
          <w:szCs w:val="22"/>
          <w:highlight w:val="none"/>
          <w:lang w:val="en-US" w:eastAsia="zh-CN"/>
        </w:rPr>
        <w:t>3.</w:t>
      </w:r>
      <w:r>
        <w:rPr>
          <w:rFonts w:hint="default" w:ascii="Times New Roman" w:hAnsi="Times New Roman" w:eastAsia="仿宋_GB2312" w:cs="Times New Roman"/>
          <w:b/>
          <w:bCs/>
          <w:sz w:val="32"/>
          <w:szCs w:val="22"/>
          <w:highlight w:val="none"/>
        </w:rPr>
        <w:t>研究制定成效评估工作方案：</w:t>
      </w:r>
      <w:r>
        <w:rPr>
          <w:rFonts w:hint="default" w:ascii="Times New Roman" w:hAnsi="Times New Roman" w:eastAsia="仿宋_GB2312" w:cs="Times New Roman"/>
          <w:sz w:val="32"/>
          <w:szCs w:val="22"/>
          <w:highlight w:val="none"/>
        </w:rPr>
        <w:t>启动绩效评价工作方案编制工作，最终确定绩效评价工作方案终稿。</w:t>
      </w:r>
    </w:p>
    <w:p w14:paraId="675CAD5E">
      <w:pPr>
        <w:keepNext w:val="0"/>
        <w:keepLines w:val="0"/>
        <w:pageBreakBefore w:val="0"/>
        <w:kinsoku/>
        <w:wordWrap/>
        <w:overflowPunct/>
        <w:topLinePunct w:val="0"/>
        <w:autoSpaceDE/>
        <w:autoSpaceDN/>
        <w:bidi w:val="0"/>
        <w:adjustRightInd/>
        <w:snapToGrid/>
        <w:spacing w:after="0" w:line="560" w:lineRule="exact"/>
        <w:ind w:firstLine="643" w:firstLineChars="200"/>
        <w:textAlignment w:val="auto"/>
        <w:rPr>
          <w:rFonts w:hint="default" w:ascii="Times New Roman" w:hAnsi="Times New Roman" w:eastAsia="仿宋_GB2312" w:cs="Times New Roman"/>
          <w:sz w:val="32"/>
          <w:szCs w:val="22"/>
          <w:highlight w:val="none"/>
        </w:rPr>
      </w:pPr>
      <w:r>
        <w:rPr>
          <w:rFonts w:hint="default" w:ascii="Times New Roman" w:hAnsi="Times New Roman" w:eastAsia="仿宋_GB2312" w:cs="Times New Roman"/>
          <w:b/>
          <w:bCs/>
          <w:sz w:val="32"/>
          <w:szCs w:val="22"/>
          <w:highlight w:val="none"/>
          <w:lang w:val="en-US" w:eastAsia="zh-CN"/>
        </w:rPr>
        <w:t>4.</w:t>
      </w:r>
      <w:r>
        <w:rPr>
          <w:rFonts w:hint="default" w:ascii="Times New Roman" w:hAnsi="Times New Roman" w:eastAsia="仿宋_GB2312" w:cs="Times New Roman"/>
          <w:b/>
          <w:bCs/>
          <w:sz w:val="32"/>
          <w:szCs w:val="22"/>
          <w:highlight w:val="none"/>
        </w:rPr>
        <w:t>下达成效评估通知：</w:t>
      </w:r>
      <w:r>
        <w:rPr>
          <w:rFonts w:hint="default" w:ascii="Times New Roman" w:hAnsi="Times New Roman" w:eastAsia="仿宋_GB2312" w:cs="Times New Roman"/>
          <w:sz w:val="32"/>
          <w:szCs w:val="22"/>
          <w:highlight w:val="none"/>
        </w:rPr>
        <w:t>根据绩效评价工作方案相关要求，下达绩效评价通知到相关责任单位。</w:t>
      </w:r>
    </w:p>
    <w:p w14:paraId="25A5A5B0">
      <w:pPr>
        <w:keepNext w:val="0"/>
        <w:keepLines w:val="0"/>
        <w:pageBreakBefore w:val="0"/>
        <w:kinsoku/>
        <w:wordWrap/>
        <w:overflowPunct/>
        <w:topLinePunct w:val="0"/>
        <w:autoSpaceDE/>
        <w:autoSpaceDN/>
        <w:bidi w:val="0"/>
        <w:adjustRightInd/>
        <w:snapToGrid/>
        <w:spacing w:after="0" w:line="560" w:lineRule="exact"/>
        <w:ind w:firstLine="643" w:firstLineChars="200"/>
        <w:textAlignment w:val="auto"/>
        <w:rPr>
          <w:rFonts w:hint="default" w:ascii="Times New Roman" w:hAnsi="Times New Roman" w:eastAsia="仿宋_GB2312" w:cs="Times New Roman"/>
          <w:sz w:val="32"/>
          <w:szCs w:val="22"/>
          <w:highlight w:val="none"/>
        </w:rPr>
      </w:pPr>
      <w:r>
        <w:rPr>
          <w:rFonts w:hint="default" w:ascii="Times New Roman" w:hAnsi="Times New Roman" w:eastAsia="仿宋_GB2312" w:cs="Times New Roman"/>
          <w:b/>
          <w:bCs/>
          <w:sz w:val="32"/>
          <w:szCs w:val="22"/>
          <w:highlight w:val="none"/>
          <w:lang w:val="en-US" w:eastAsia="zh-CN"/>
        </w:rPr>
        <w:t>5.</w:t>
      </w:r>
      <w:r>
        <w:rPr>
          <w:rFonts w:hint="default" w:ascii="Times New Roman" w:hAnsi="Times New Roman" w:eastAsia="仿宋_GB2312" w:cs="Times New Roman"/>
          <w:b/>
          <w:bCs/>
          <w:sz w:val="32"/>
          <w:szCs w:val="22"/>
          <w:highlight w:val="none"/>
        </w:rPr>
        <w:t>收集成效评估相关数据资料：</w:t>
      </w:r>
      <w:r>
        <w:rPr>
          <w:rFonts w:hint="default" w:ascii="Times New Roman" w:hAnsi="Times New Roman" w:eastAsia="仿宋_GB2312" w:cs="Times New Roman"/>
          <w:sz w:val="32"/>
          <w:szCs w:val="22"/>
          <w:highlight w:val="none"/>
        </w:rPr>
        <w:t>编制数据收集模板并下发到相关责任单位，启动数据收集工作，并开展数据初步分析。</w:t>
      </w:r>
    </w:p>
    <w:p w14:paraId="428380D1">
      <w:pPr>
        <w:keepNext w:val="0"/>
        <w:keepLines w:val="0"/>
        <w:pageBreakBefore w:val="0"/>
        <w:kinsoku/>
        <w:wordWrap/>
        <w:overflowPunct/>
        <w:topLinePunct w:val="0"/>
        <w:autoSpaceDE/>
        <w:autoSpaceDN/>
        <w:bidi w:val="0"/>
        <w:adjustRightInd/>
        <w:snapToGrid/>
        <w:spacing w:after="0" w:line="560" w:lineRule="exact"/>
        <w:ind w:firstLine="643" w:firstLineChars="200"/>
        <w:textAlignment w:val="auto"/>
        <w:rPr>
          <w:rFonts w:hint="default" w:ascii="Times New Roman" w:hAnsi="Times New Roman" w:eastAsia="仿宋_GB2312" w:cs="Times New Roman"/>
          <w:sz w:val="32"/>
          <w:szCs w:val="22"/>
          <w:highlight w:val="none"/>
        </w:rPr>
      </w:pPr>
      <w:r>
        <w:rPr>
          <w:rFonts w:hint="default" w:ascii="Times New Roman" w:hAnsi="Times New Roman" w:eastAsia="仿宋_GB2312" w:cs="Times New Roman"/>
          <w:b/>
          <w:bCs/>
          <w:sz w:val="32"/>
          <w:szCs w:val="22"/>
          <w:highlight w:val="none"/>
          <w:lang w:val="en-US" w:eastAsia="zh-CN"/>
        </w:rPr>
        <w:t>6.</w:t>
      </w:r>
      <w:r>
        <w:rPr>
          <w:rFonts w:hint="default" w:ascii="Times New Roman" w:hAnsi="Times New Roman" w:eastAsia="仿宋_GB2312" w:cs="Times New Roman"/>
          <w:b/>
          <w:bCs/>
          <w:sz w:val="32"/>
          <w:szCs w:val="22"/>
          <w:highlight w:val="none"/>
        </w:rPr>
        <w:t>核实相关资料：</w:t>
      </w:r>
      <w:r>
        <w:rPr>
          <w:rFonts w:hint="default" w:ascii="Times New Roman" w:hAnsi="Times New Roman" w:eastAsia="仿宋_GB2312" w:cs="Times New Roman"/>
          <w:sz w:val="32"/>
          <w:szCs w:val="22"/>
          <w:highlight w:val="none"/>
        </w:rPr>
        <w:t>根据收集资料情况，进驻重点项目开展资料现场核实工作，审核佐证资料的完备性和真实性。</w:t>
      </w:r>
    </w:p>
    <w:p w14:paraId="667A4279">
      <w:pPr>
        <w:keepNext w:val="0"/>
        <w:keepLines w:val="0"/>
        <w:pageBreakBefore w:val="0"/>
        <w:kinsoku/>
        <w:wordWrap/>
        <w:overflowPunct/>
        <w:topLinePunct w:val="0"/>
        <w:autoSpaceDE/>
        <w:autoSpaceDN/>
        <w:bidi w:val="0"/>
        <w:adjustRightInd/>
        <w:snapToGrid/>
        <w:spacing w:after="0" w:line="560" w:lineRule="exact"/>
        <w:ind w:firstLine="643" w:firstLineChars="200"/>
        <w:textAlignment w:val="auto"/>
        <w:rPr>
          <w:rFonts w:hint="default" w:ascii="Times New Roman" w:hAnsi="Times New Roman" w:eastAsia="仿宋_GB2312" w:cs="Times New Roman"/>
          <w:sz w:val="32"/>
          <w:szCs w:val="22"/>
          <w:highlight w:val="none"/>
        </w:rPr>
      </w:pPr>
      <w:r>
        <w:rPr>
          <w:rFonts w:hint="default" w:ascii="Times New Roman" w:hAnsi="Times New Roman" w:eastAsia="仿宋_GB2312" w:cs="Times New Roman"/>
          <w:b/>
          <w:bCs/>
          <w:sz w:val="32"/>
          <w:szCs w:val="22"/>
          <w:highlight w:val="none"/>
          <w:lang w:val="en-US" w:eastAsia="zh-CN"/>
        </w:rPr>
        <w:t>7.</w:t>
      </w:r>
      <w:r>
        <w:rPr>
          <w:rFonts w:hint="default" w:ascii="Times New Roman" w:hAnsi="Times New Roman" w:eastAsia="仿宋_GB2312" w:cs="Times New Roman"/>
          <w:b/>
          <w:bCs/>
          <w:sz w:val="32"/>
          <w:szCs w:val="22"/>
          <w:highlight w:val="none"/>
        </w:rPr>
        <w:t>分析形成初步结论：</w:t>
      </w:r>
      <w:r>
        <w:rPr>
          <w:rFonts w:hint="default" w:ascii="Times New Roman" w:hAnsi="Times New Roman" w:eastAsia="仿宋_GB2312" w:cs="Times New Roman"/>
          <w:sz w:val="32"/>
          <w:szCs w:val="22"/>
          <w:highlight w:val="none"/>
        </w:rPr>
        <w:t>根据收集数据资料和数据分析情况，研究分析形成初步结论。</w:t>
      </w:r>
    </w:p>
    <w:p w14:paraId="30A403EC">
      <w:pPr>
        <w:keepNext w:val="0"/>
        <w:keepLines w:val="0"/>
        <w:pageBreakBefore w:val="0"/>
        <w:kinsoku/>
        <w:wordWrap/>
        <w:overflowPunct/>
        <w:topLinePunct w:val="0"/>
        <w:autoSpaceDE/>
        <w:autoSpaceDN/>
        <w:bidi w:val="0"/>
        <w:adjustRightInd/>
        <w:snapToGrid/>
        <w:spacing w:after="0" w:line="560" w:lineRule="exact"/>
        <w:ind w:firstLine="643" w:firstLineChars="200"/>
        <w:textAlignment w:val="auto"/>
        <w:rPr>
          <w:rFonts w:hint="default" w:ascii="Times New Roman" w:hAnsi="Times New Roman" w:eastAsia="仿宋_GB2312" w:cs="Times New Roman"/>
          <w:sz w:val="32"/>
          <w:szCs w:val="22"/>
          <w:highlight w:val="none"/>
        </w:rPr>
      </w:pPr>
      <w:r>
        <w:rPr>
          <w:rFonts w:hint="default" w:ascii="Times New Roman" w:hAnsi="Times New Roman" w:eastAsia="仿宋_GB2312" w:cs="Times New Roman"/>
          <w:b/>
          <w:bCs/>
          <w:sz w:val="32"/>
          <w:szCs w:val="22"/>
          <w:highlight w:val="none"/>
          <w:lang w:val="en-US" w:eastAsia="zh-CN"/>
        </w:rPr>
        <w:t>8.</w:t>
      </w:r>
      <w:r>
        <w:rPr>
          <w:rFonts w:hint="default" w:ascii="Times New Roman" w:hAnsi="Times New Roman" w:eastAsia="仿宋_GB2312" w:cs="Times New Roman"/>
          <w:b/>
          <w:bCs/>
          <w:sz w:val="32"/>
          <w:szCs w:val="22"/>
          <w:highlight w:val="none"/>
        </w:rPr>
        <w:t>与被评部门（单位）交换意见：</w:t>
      </w:r>
      <w:r>
        <w:rPr>
          <w:rFonts w:hint="default" w:ascii="Times New Roman" w:hAnsi="Times New Roman" w:eastAsia="仿宋_GB2312" w:cs="Times New Roman"/>
          <w:sz w:val="32"/>
          <w:szCs w:val="22"/>
          <w:highlight w:val="none"/>
        </w:rPr>
        <w:t>将相关初步结论反馈给被评部门（单位），收集相关责任单位对于评价结果的解释说明材料。</w:t>
      </w:r>
    </w:p>
    <w:p w14:paraId="2983324F">
      <w:pPr>
        <w:keepNext w:val="0"/>
        <w:keepLines w:val="0"/>
        <w:pageBreakBefore w:val="0"/>
        <w:kinsoku/>
        <w:wordWrap/>
        <w:overflowPunct/>
        <w:topLinePunct w:val="0"/>
        <w:autoSpaceDE/>
        <w:autoSpaceDN/>
        <w:bidi w:val="0"/>
        <w:adjustRightInd/>
        <w:snapToGrid/>
        <w:spacing w:after="0" w:line="560" w:lineRule="exact"/>
        <w:ind w:firstLine="643" w:firstLineChars="200"/>
        <w:textAlignment w:val="auto"/>
        <w:rPr>
          <w:rFonts w:hint="default" w:ascii="Times New Roman" w:hAnsi="Times New Roman" w:eastAsia="仿宋_GB2312" w:cs="Times New Roman"/>
          <w:sz w:val="32"/>
          <w:szCs w:val="22"/>
          <w:highlight w:val="none"/>
        </w:rPr>
      </w:pPr>
      <w:r>
        <w:rPr>
          <w:rFonts w:hint="default" w:ascii="Times New Roman" w:hAnsi="Times New Roman" w:eastAsia="仿宋_GB2312" w:cs="Times New Roman"/>
          <w:b/>
          <w:bCs/>
          <w:sz w:val="32"/>
          <w:szCs w:val="22"/>
          <w:highlight w:val="none"/>
          <w:lang w:val="en-US" w:eastAsia="zh-CN"/>
        </w:rPr>
        <w:t>9.</w:t>
      </w:r>
      <w:r>
        <w:rPr>
          <w:rFonts w:hint="default" w:ascii="Times New Roman" w:hAnsi="Times New Roman" w:eastAsia="仿宋_GB2312" w:cs="Times New Roman"/>
          <w:b/>
          <w:bCs/>
          <w:sz w:val="32"/>
          <w:szCs w:val="22"/>
          <w:highlight w:val="none"/>
        </w:rPr>
        <w:t>出具成效评估报告：</w:t>
      </w:r>
      <w:r>
        <w:rPr>
          <w:rFonts w:hint="default" w:ascii="Times New Roman" w:hAnsi="Times New Roman" w:eastAsia="仿宋_GB2312" w:cs="Times New Roman"/>
          <w:sz w:val="32"/>
          <w:szCs w:val="22"/>
          <w:highlight w:val="none"/>
        </w:rPr>
        <w:t>根据被评部门（单位）提交的说明材料，进行综合分析，出具《202</w:t>
      </w:r>
      <w:r>
        <w:rPr>
          <w:rFonts w:hint="eastAsia" w:ascii="Times New Roman" w:hAnsi="Times New Roman" w:eastAsia="仿宋_GB2312" w:cs="Times New Roman"/>
          <w:sz w:val="32"/>
          <w:szCs w:val="22"/>
          <w:highlight w:val="none"/>
          <w:lang w:val="en-US" w:eastAsia="zh-CN"/>
        </w:rPr>
        <w:t>3</w:t>
      </w:r>
      <w:r>
        <w:rPr>
          <w:rFonts w:hint="default" w:ascii="Times New Roman" w:hAnsi="Times New Roman" w:eastAsia="仿宋_GB2312" w:cs="Times New Roman"/>
          <w:sz w:val="32"/>
          <w:szCs w:val="22"/>
          <w:highlight w:val="none"/>
        </w:rPr>
        <w:t>年度自治区中小企业发展专项资金绩效评价报告》。</w:t>
      </w:r>
    </w:p>
    <w:p w14:paraId="7C03F605">
      <w:pPr>
        <w:keepNext w:val="0"/>
        <w:keepLines w:val="0"/>
        <w:pageBreakBefore w:val="0"/>
        <w:kinsoku/>
        <w:wordWrap/>
        <w:overflowPunct/>
        <w:topLinePunct w:val="0"/>
        <w:autoSpaceDE/>
        <w:autoSpaceDN/>
        <w:bidi w:val="0"/>
        <w:adjustRightInd/>
        <w:snapToGrid/>
        <w:spacing w:after="0" w:line="560" w:lineRule="exact"/>
        <w:ind w:firstLine="643" w:firstLineChars="200"/>
        <w:textAlignment w:val="auto"/>
        <w:rPr>
          <w:rFonts w:hint="default" w:ascii="Times New Roman" w:hAnsi="Times New Roman" w:eastAsia="仿宋_GB2312" w:cs="Times New Roman"/>
          <w:highlight w:val="none"/>
        </w:rPr>
      </w:pPr>
      <w:r>
        <w:rPr>
          <w:rFonts w:hint="default" w:ascii="Times New Roman" w:hAnsi="Times New Roman" w:eastAsia="仿宋_GB2312" w:cs="Times New Roman"/>
          <w:b/>
          <w:bCs/>
          <w:sz w:val="32"/>
          <w:szCs w:val="22"/>
          <w:highlight w:val="none"/>
          <w:lang w:val="en-US" w:eastAsia="zh-CN"/>
        </w:rPr>
        <w:t>10.</w:t>
      </w:r>
      <w:r>
        <w:rPr>
          <w:rFonts w:hint="default" w:ascii="Times New Roman" w:hAnsi="Times New Roman" w:eastAsia="仿宋_GB2312" w:cs="Times New Roman"/>
          <w:b/>
          <w:bCs/>
          <w:sz w:val="32"/>
          <w:szCs w:val="22"/>
          <w:highlight w:val="none"/>
        </w:rPr>
        <w:t>建立成效评估档案：</w:t>
      </w:r>
      <w:r>
        <w:rPr>
          <w:rFonts w:hint="default" w:ascii="Times New Roman" w:hAnsi="Times New Roman" w:eastAsia="仿宋_GB2312" w:cs="Times New Roman"/>
          <w:sz w:val="32"/>
          <w:szCs w:val="22"/>
          <w:highlight w:val="none"/>
        </w:rPr>
        <w:t>建立和落实档案管理制度，将</w:t>
      </w:r>
      <w:r>
        <w:rPr>
          <w:rFonts w:hint="default" w:ascii="Times New Roman" w:hAnsi="Times New Roman" w:eastAsia="仿宋_GB2312" w:cs="Times New Roman"/>
          <w:sz w:val="32"/>
          <w:szCs w:val="22"/>
          <w:highlight w:val="none"/>
          <w:lang w:val="en-US" w:eastAsia="zh-CN"/>
        </w:rPr>
        <w:t>绩效评价</w:t>
      </w:r>
      <w:r>
        <w:rPr>
          <w:rFonts w:hint="default" w:ascii="Times New Roman" w:hAnsi="Times New Roman" w:eastAsia="仿宋_GB2312" w:cs="Times New Roman"/>
          <w:sz w:val="32"/>
          <w:szCs w:val="22"/>
          <w:highlight w:val="none"/>
        </w:rPr>
        <w:t>过程资料、会议资料、访谈记录、调查结果、指标评价体系及评价结果等资料进行梳理并归档，建立202</w:t>
      </w:r>
      <w:r>
        <w:rPr>
          <w:rFonts w:hint="eastAsia" w:ascii="Times New Roman" w:hAnsi="Times New Roman" w:eastAsia="仿宋_GB2312" w:cs="Times New Roman"/>
          <w:sz w:val="32"/>
          <w:szCs w:val="22"/>
          <w:highlight w:val="none"/>
          <w:lang w:val="en-US" w:eastAsia="zh-CN"/>
        </w:rPr>
        <w:t>3</w:t>
      </w:r>
      <w:r>
        <w:rPr>
          <w:rFonts w:hint="default" w:ascii="Times New Roman" w:hAnsi="Times New Roman" w:eastAsia="仿宋_GB2312" w:cs="Times New Roman"/>
          <w:sz w:val="32"/>
          <w:szCs w:val="22"/>
          <w:highlight w:val="none"/>
        </w:rPr>
        <w:t>年度中小企业发展专项资金使用效果评估档案。</w:t>
      </w:r>
    </w:p>
    <w:p w14:paraId="0DAB43A5">
      <w:pPr>
        <w:keepNext w:val="0"/>
        <w:keepLines w:val="0"/>
        <w:pageBreakBefore w:val="0"/>
        <w:numPr>
          <w:ilvl w:val="0"/>
          <w:numId w:val="2"/>
        </w:numPr>
        <w:kinsoku/>
        <w:wordWrap/>
        <w:overflowPunct/>
        <w:topLinePunct w:val="0"/>
        <w:autoSpaceDE/>
        <w:autoSpaceDN/>
        <w:bidi w:val="0"/>
        <w:adjustRightInd/>
        <w:snapToGrid/>
        <w:spacing w:line="560" w:lineRule="exact"/>
        <w:ind w:firstLine="640" w:firstLineChars="200"/>
        <w:textAlignment w:val="auto"/>
        <w:rPr>
          <w:rFonts w:eastAsia="黑体"/>
          <w:sz w:val="32"/>
          <w:szCs w:val="32"/>
        </w:rPr>
      </w:pPr>
      <w:r>
        <w:rPr>
          <w:rFonts w:eastAsia="黑体"/>
          <w:sz w:val="32"/>
          <w:szCs w:val="32"/>
        </w:rPr>
        <w:t>综合评价情况及评价结论（附相关评分表）</w:t>
      </w:r>
    </w:p>
    <w:p w14:paraId="62B12054">
      <w:pPr>
        <w:pStyle w:val="2"/>
        <w:keepNext w:val="0"/>
        <w:keepLines w:val="0"/>
        <w:pageBreakBefore w:val="0"/>
        <w:widowControl/>
        <w:kinsoku/>
        <w:wordWrap/>
        <w:overflowPunct/>
        <w:topLinePunct w:val="0"/>
        <w:autoSpaceDE/>
        <w:autoSpaceDN/>
        <w:bidi w:val="0"/>
        <w:adjustRightInd/>
        <w:snapToGrid/>
        <w:spacing w:before="0" w:after="0" w:line="560" w:lineRule="exact"/>
        <w:ind w:firstLine="643" w:firstLineChars="200"/>
        <w:jc w:val="both"/>
        <w:textAlignment w:val="auto"/>
        <w:rPr>
          <w:rFonts w:hint="eastAsia" w:ascii="Times New Roman" w:hAnsi="Times New Roman" w:eastAsia="楷体_GB2312"/>
          <w:lang w:val="en-US" w:eastAsia="zh-CN"/>
        </w:rPr>
      </w:pPr>
      <w:r>
        <w:rPr>
          <w:rFonts w:hint="eastAsia" w:ascii="Times New Roman" w:hAnsi="Times New Roman" w:eastAsia="楷体_GB2312"/>
          <w:lang w:eastAsia="zh-CN"/>
        </w:rPr>
        <w:t>（</w:t>
      </w:r>
      <w:r>
        <w:rPr>
          <w:rFonts w:hint="eastAsia" w:ascii="Times New Roman" w:hAnsi="Times New Roman" w:eastAsia="楷体_GB2312"/>
          <w:lang w:val="en-US" w:eastAsia="zh-CN"/>
        </w:rPr>
        <w:t>一</w:t>
      </w:r>
      <w:r>
        <w:rPr>
          <w:rFonts w:hint="eastAsia" w:ascii="Times New Roman" w:hAnsi="Times New Roman" w:eastAsia="楷体_GB2312"/>
          <w:lang w:eastAsia="zh-CN"/>
        </w:rPr>
        <w:t>）</w:t>
      </w:r>
      <w:r>
        <w:rPr>
          <w:rFonts w:hint="eastAsia" w:ascii="Times New Roman" w:hAnsi="Times New Roman" w:eastAsia="楷体_GB2312"/>
          <w:lang w:val="en-US" w:eastAsia="zh-CN"/>
        </w:rPr>
        <w:t>评价情况</w:t>
      </w:r>
    </w:p>
    <w:p w14:paraId="2CE35F90">
      <w:pPr>
        <w:pStyle w:val="2"/>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eastAsia" w:ascii="Times New Roman" w:hAnsi="Times New Roman" w:eastAsia="仿宋_GB2312" w:cs="Times New Roman"/>
          <w:b w:val="0"/>
          <w:bCs w:val="0"/>
          <w:kern w:val="28"/>
          <w:sz w:val="32"/>
          <w:szCs w:val="32"/>
          <w:lang w:val="en-US" w:eastAsia="zh-CN" w:bidi="ar-SA"/>
        </w:rPr>
      </w:pPr>
      <w:r>
        <w:rPr>
          <w:rFonts w:hint="eastAsia" w:ascii="Times New Roman" w:hAnsi="Times New Roman" w:eastAsia="仿宋_GB2312" w:cs="Times New Roman"/>
          <w:b w:val="0"/>
          <w:bCs w:val="0"/>
          <w:kern w:val="28"/>
          <w:sz w:val="32"/>
          <w:szCs w:val="32"/>
          <w:lang w:val="en-US" w:eastAsia="zh-CN" w:bidi="ar-SA"/>
        </w:rPr>
        <w:t>项目总体组织规范，在项目实施过程做到认真履职，监督到位。按照相关制度的要求，项目负责人对项目绩效监控执行情况进行跟踪监督，有效完成了本项目的工作目标，确保资金使用安全和最大效益的发挥，保障项目如期按要求完成。规范了项目档案资料的整理。项目的实施达到项目预期效果。</w:t>
      </w:r>
    </w:p>
    <w:p w14:paraId="3A1EF26F">
      <w:pPr>
        <w:pStyle w:val="2"/>
        <w:keepNext w:val="0"/>
        <w:keepLines w:val="0"/>
        <w:pageBreakBefore w:val="0"/>
        <w:widowControl/>
        <w:kinsoku/>
        <w:wordWrap/>
        <w:overflowPunct/>
        <w:topLinePunct w:val="0"/>
        <w:autoSpaceDE/>
        <w:autoSpaceDN/>
        <w:bidi w:val="0"/>
        <w:adjustRightInd/>
        <w:snapToGrid/>
        <w:spacing w:before="0" w:after="0" w:line="560" w:lineRule="exact"/>
        <w:ind w:firstLine="643" w:firstLineChars="200"/>
        <w:jc w:val="both"/>
        <w:textAlignment w:val="auto"/>
        <w:rPr>
          <w:rFonts w:hint="eastAsia" w:ascii="Times New Roman" w:hAnsi="Times New Roman" w:eastAsia="楷体_GB2312" w:cs="Times New Roman"/>
          <w:lang w:val="en-US" w:eastAsia="zh-CN"/>
        </w:rPr>
      </w:pPr>
      <w:r>
        <w:rPr>
          <w:rFonts w:hint="eastAsia" w:ascii="Times New Roman" w:hAnsi="Times New Roman" w:eastAsia="楷体_GB2312" w:cs="Times New Roman"/>
          <w:lang w:eastAsia="zh-CN"/>
        </w:rPr>
        <w:t>（</w:t>
      </w:r>
      <w:r>
        <w:rPr>
          <w:rFonts w:hint="eastAsia" w:ascii="Times New Roman" w:hAnsi="Times New Roman" w:eastAsia="楷体_GB2312" w:cs="Times New Roman"/>
          <w:lang w:val="en-US" w:eastAsia="zh-CN"/>
        </w:rPr>
        <w:t>二</w:t>
      </w:r>
      <w:r>
        <w:rPr>
          <w:rFonts w:hint="eastAsia" w:ascii="Times New Roman" w:hAnsi="Times New Roman" w:eastAsia="楷体_GB2312" w:cs="Times New Roman"/>
          <w:lang w:eastAsia="zh-CN"/>
        </w:rPr>
        <w:t>）</w:t>
      </w:r>
      <w:r>
        <w:rPr>
          <w:rFonts w:hint="eastAsia" w:ascii="Times New Roman" w:hAnsi="Times New Roman" w:eastAsia="楷体_GB2312" w:cs="Times New Roman"/>
          <w:lang w:val="en-US" w:eastAsia="zh-CN"/>
        </w:rPr>
        <w:t>评价结论</w:t>
      </w:r>
    </w:p>
    <w:p w14:paraId="69636A5E">
      <w:pPr>
        <w:pStyle w:val="2"/>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jc w:val="both"/>
        <w:textAlignment w:val="auto"/>
        <w:outlineLvl w:val="9"/>
        <w:rPr>
          <w:rFonts w:ascii="Times New Roman" w:hAnsi="Times New Roman" w:eastAsia="仿宋_GB2312"/>
          <w:sz w:val="30"/>
          <w:szCs w:val="30"/>
        </w:rPr>
      </w:pPr>
      <w:r>
        <w:rPr>
          <w:rFonts w:ascii="Times New Roman" w:hAnsi="Times New Roman" w:eastAsia="仿宋_GB2312"/>
          <w:b w:val="0"/>
          <w:bCs w:val="0"/>
          <w:highlight w:val="none"/>
        </w:rPr>
        <w:t>对</w:t>
      </w:r>
      <w:r>
        <w:rPr>
          <w:rFonts w:hint="eastAsia" w:ascii="Times New Roman" w:hAnsi="Times New Roman" w:eastAsia="仿宋_GB2312"/>
          <w:b w:val="0"/>
          <w:bCs w:val="0"/>
          <w:highlight w:val="none"/>
        </w:rPr>
        <w:t>自治区中小企业发展专项资金项目（自治区本级）</w:t>
      </w:r>
      <w:r>
        <w:rPr>
          <w:rFonts w:ascii="Times New Roman" w:hAnsi="Times New Roman" w:eastAsia="仿宋_GB2312"/>
          <w:b w:val="0"/>
          <w:bCs w:val="0"/>
          <w:highlight w:val="none"/>
        </w:rPr>
        <w:t>进行客观评价，最终评分结果：总得分为</w:t>
      </w:r>
      <w:r>
        <w:rPr>
          <w:rFonts w:hint="eastAsia" w:ascii="Times New Roman" w:hAnsi="Times New Roman" w:eastAsia="仿宋_GB2312"/>
          <w:b w:val="0"/>
          <w:bCs w:val="0"/>
          <w:highlight w:val="none"/>
          <w:lang w:val="en-US" w:eastAsia="zh-CN"/>
        </w:rPr>
        <w:t>97</w:t>
      </w:r>
      <w:r>
        <w:rPr>
          <w:rFonts w:ascii="Times New Roman" w:hAnsi="Times New Roman" w:eastAsia="仿宋_GB2312"/>
          <w:b w:val="0"/>
          <w:bCs w:val="0"/>
          <w:highlight w:val="none"/>
        </w:rPr>
        <w:t>分，属于“优”。其中，项目决策类指标权重为</w:t>
      </w:r>
      <w:r>
        <w:rPr>
          <w:rFonts w:hint="eastAsia" w:ascii="Times New Roman" w:hAnsi="Times New Roman" w:eastAsia="仿宋_GB2312"/>
          <w:b w:val="0"/>
          <w:bCs w:val="0"/>
          <w:highlight w:val="none"/>
        </w:rPr>
        <w:t>20</w:t>
      </w:r>
      <w:r>
        <w:rPr>
          <w:rFonts w:ascii="Times New Roman" w:hAnsi="Times New Roman" w:eastAsia="仿宋_GB2312"/>
          <w:b w:val="0"/>
          <w:bCs w:val="0"/>
          <w:highlight w:val="none"/>
        </w:rPr>
        <w:t>分，得分为</w:t>
      </w:r>
      <w:r>
        <w:rPr>
          <w:rFonts w:hint="eastAsia" w:ascii="Times New Roman" w:hAnsi="Times New Roman" w:eastAsia="仿宋_GB2312"/>
          <w:b w:val="0"/>
          <w:bCs w:val="0"/>
          <w:highlight w:val="none"/>
          <w:lang w:val="en-US" w:eastAsia="zh-CN"/>
        </w:rPr>
        <w:t>20</w:t>
      </w:r>
      <w:r>
        <w:rPr>
          <w:rFonts w:ascii="Times New Roman" w:hAnsi="Times New Roman" w:eastAsia="仿宋_GB2312"/>
          <w:b w:val="0"/>
          <w:bCs w:val="0"/>
          <w:highlight w:val="none"/>
        </w:rPr>
        <w:t>分，得分率为</w:t>
      </w:r>
      <w:r>
        <w:rPr>
          <w:rFonts w:hint="eastAsia" w:ascii="Times New Roman" w:hAnsi="Times New Roman" w:eastAsia="仿宋_GB2312"/>
          <w:b w:val="0"/>
          <w:bCs w:val="0"/>
          <w:highlight w:val="none"/>
          <w:lang w:val="en-US" w:eastAsia="zh-CN"/>
        </w:rPr>
        <w:t>100</w:t>
      </w:r>
      <w:r>
        <w:rPr>
          <w:rFonts w:ascii="Times New Roman" w:hAnsi="Times New Roman" w:eastAsia="仿宋_GB2312"/>
          <w:b w:val="0"/>
          <w:bCs w:val="0"/>
          <w:highlight w:val="none"/>
        </w:rPr>
        <w:t>%。项目过程类指标权重为</w:t>
      </w:r>
      <w:r>
        <w:rPr>
          <w:rFonts w:hint="eastAsia" w:ascii="Times New Roman" w:hAnsi="Times New Roman" w:eastAsia="仿宋_GB2312"/>
          <w:b w:val="0"/>
          <w:bCs w:val="0"/>
          <w:highlight w:val="none"/>
        </w:rPr>
        <w:t>20</w:t>
      </w:r>
      <w:r>
        <w:rPr>
          <w:rFonts w:ascii="Times New Roman" w:hAnsi="Times New Roman" w:eastAsia="仿宋_GB2312"/>
          <w:b w:val="0"/>
          <w:bCs w:val="0"/>
          <w:highlight w:val="none"/>
        </w:rPr>
        <w:t>分，得分为</w:t>
      </w:r>
      <w:r>
        <w:rPr>
          <w:rFonts w:hint="eastAsia" w:ascii="Times New Roman" w:hAnsi="Times New Roman" w:eastAsia="仿宋_GB2312"/>
          <w:b w:val="0"/>
          <w:bCs w:val="0"/>
          <w:highlight w:val="none"/>
          <w:lang w:val="en-US" w:eastAsia="zh-CN"/>
        </w:rPr>
        <w:t>19</w:t>
      </w:r>
      <w:r>
        <w:rPr>
          <w:rFonts w:ascii="Times New Roman" w:hAnsi="Times New Roman" w:eastAsia="仿宋_GB2312"/>
          <w:b w:val="0"/>
          <w:bCs w:val="0"/>
          <w:highlight w:val="none"/>
        </w:rPr>
        <w:t>分，得分率为</w:t>
      </w:r>
      <w:r>
        <w:rPr>
          <w:rFonts w:hint="eastAsia" w:ascii="Times New Roman" w:hAnsi="Times New Roman" w:eastAsia="仿宋_GB2312"/>
          <w:b w:val="0"/>
          <w:bCs w:val="0"/>
          <w:highlight w:val="none"/>
          <w:lang w:val="en-US" w:eastAsia="zh-CN"/>
        </w:rPr>
        <w:t>95</w:t>
      </w:r>
      <w:r>
        <w:rPr>
          <w:rFonts w:ascii="Times New Roman" w:hAnsi="Times New Roman" w:eastAsia="仿宋_GB2312"/>
          <w:b w:val="0"/>
          <w:bCs w:val="0"/>
          <w:highlight w:val="none"/>
        </w:rPr>
        <w:t>%。项目产出类指标权重为</w:t>
      </w:r>
      <w:r>
        <w:rPr>
          <w:rFonts w:hint="eastAsia" w:ascii="Times New Roman" w:hAnsi="Times New Roman" w:eastAsia="仿宋_GB2312"/>
          <w:b w:val="0"/>
          <w:bCs w:val="0"/>
          <w:highlight w:val="none"/>
        </w:rPr>
        <w:t>40</w:t>
      </w:r>
      <w:r>
        <w:rPr>
          <w:rFonts w:ascii="Times New Roman" w:hAnsi="Times New Roman" w:eastAsia="仿宋_GB2312"/>
          <w:b w:val="0"/>
          <w:bCs w:val="0"/>
          <w:highlight w:val="none"/>
        </w:rPr>
        <w:t>分，得分为</w:t>
      </w:r>
      <w:r>
        <w:rPr>
          <w:rFonts w:hint="eastAsia" w:ascii="Times New Roman" w:hAnsi="Times New Roman" w:eastAsia="仿宋_GB2312"/>
          <w:b w:val="0"/>
          <w:bCs w:val="0"/>
          <w:highlight w:val="none"/>
          <w:lang w:val="en-US" w:eastAsia="zh-CN"/>
        </w:rPr>
        <w:t>38</w:t>
      </w:r>
      <w:r>
        <w:rPr>
          <w:rFonts w:ascii="Times New Roman" w:hAnsi="Times New Roman" w:eastAsia="仿宋_GB2312"/>
          <w:b w:val="0"/>
          <w:bCs w:val="0"/>
          <w:highlight w:val="none"/>
        </w:rPr>
        <w:t>分，得分率为</w:t>
      </w:r>
      <w:r>
        <w:rPr>
          <w:rFonts w:hint="eastAsia" w:ascii="Times New Roman" w:hAnsi="Times New Roman" w:eastAsia="仿宋_GB2312"/>
          <w:b w:val="0"/>
          <w:bCs w:val="0"/>
          <w:highlight w:val="none"/>
          <w:lang w:val="en-US" w:eastAsia="zh-CN"/>
        </w:rPr>
        <w:t>95</w:t>
      </w:r>
      <w:r>
        <w:rPr>
          <w:rFonts w:ascii="Times New Roman" w:hAnsi="Times New Roman" w:eastAsia="仿宋_GB2312"/>
          <w:b w:val="0"/>
          <w:bCs w:val="0"/>
          <w:highlight w:val="none"/>
        </w:rPr>
        <w:t>%。项目效益类指标权重为</w:t>
      </w:r>
      <w:r>
        <w:rPr>
          <w:rFonts w:hint="eastAsia" w:ascii="Times New Roman" w:hAnsi="Times New Roman" w:eastAsia="仿宋_GB2312"/>
          <w:b w:val="0"/>
          <w:bCs w:val="0"/>
          <w:highlight w:val="none"/>
        </w:rPr>
        <w:t>20</w:t>
      </w:r>
      <w:r>
        <w:rPr>
          <w:rFonts w:ascii="Times New Roman" w:hAnsi="Times New Roman" w:eastAsia="仿宋_GB2312"/>
          <w:b w:val="0"/>
          <w:bCs w:val="0"/>
          <w:highlight w:val="none"/>
        </w:rPr>
        <w:t>分，得分为</w:t>
      </w:r>
      <w:r>
        <w:rPr>
          <w:rFonts w:hint="eastAsia" w:ascii="Times New Roman" w:hAnsi="Times New Roman" w:eastAsia="仿宋_GB2312"/>
          <w:b w:val="0"/>
          <w:bCs w:val="0"/>
          <w:highlight w:val="none"/>
          <w:lang w:val="en-US" w:eastAsia="zh-CN"/>
        </w:rPr>
        <w:t>20</w:t>
      </w:r>
      <w:r>
        <w:rPr>
          <w:rFonts w:ascii="Times New Roman" w:hAnsi="Times New Roman" w:eastAsia="仿宋_GB2312"/>
          <w:b w:val="0"/>
          <w:bCs w:val="0"/>
          <w:highlight w:val="none"/>
        </w:rPr>
        <w:t>分，得分率为</w:t>
      </w:r>
      <w:r>
        <w:rPr>
          <w:rFonts w:hint="eastAsia" w:ascii="Times New Roman" w:hAnsi="Times New Roman" w:eastAsia="仿宋_GB2312"/>
          <w:b w:val="0"/>
          <w:bCs w:val="0"/>
          <w:highlight w:val="none"/>
          <w:lang w:val="en-US" w:eastAsia="zh-CN"/>
        </w:rPr>
        <w:t>100</w:t>
      </w:r>
      <w:r>
        <w:rPr>
          <w:rFonts w:ascii="Times New Roman" w:hAnsi="Times New Roman" w:eastAsia="仿宋_GB2312"/>
          <w:b w:val="0"/>
          <w:bCs w:val="0"/>
          <w:highlight w:val="none"/>
        </w:rPr>
        <w:t>%。</w:t>
      </w:r>
    </w:p>
    <w:p w14:paraId="7F0E9B6E">
      <w:pPr>
        <w:pStyle w:val="2"/>
      </w:pPr>
      <w:r>
        <w:rPr>
          <w:rFonts w:ascii="Times New Roman" w:hAnsi="Times New Roman" w:eastAsia="仿宋_GB2312"/>
          <w:sz w:val="30"/>
          <w:szCs w:val="30"/>
        </w:rPr>
        <w:t>表1综合评分表</w:t>
      </w:r>
    </w:p>
    <w:tbl>
      <w:tblPr>
        <w:tblStyle w:val="21"/>
        <w:tblW w:w="9654"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1104"/>
        <w:gridCol w:w="759"/>
        <w:gridCol w:w="1514"/>
        <w:gridCol w:w="1707"/>
        <w:gridCol w:w="727"/>
        <w:gridCol w:w="1044"/>
        <w:gridCol w:w="924"/>
        <w:gridCol w:w="1022"/>
        <w:gridCol w:w="853"/>
      </w:tblGrid>
      <w:tr w14:paraId="475F3DC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80" w:hRule="atLeast"/>
          <w:tblHeader/>
          <w:jc w:val="center"/>
        </w:trPr>
        <w:tc>
          <w:tcPr>
            <w:tcW w:w="1104" w:type="dxa"/>
            <w:shd w:val="clear" w:color="auto" w:fill="BFBFBF"/>
            <w:vAlign w:val="center"/>
          </w:tcPr>
          <w:p w14:paraId="67DC3DBD">
            <w:pPr>
              <w:widowControl/>
              <w:spacing w:line="0" w:lineRule="atLeast"/>
              <w:rPr>
                <w:b/>
                <w:bCs/>
                <w:color w:val="000000"/>
                <w:kern w:val="0"/>
                <w:sz w:val="22"/>
                <w:szCs w:val="22"/>
              </w:rPr>
            </w:pPr>
            <w:r>
              <w:rPr>
                <w:b/>
                <w:bCs/>
                <w:color w:val="000000"/>
                <w:kern w:val="0"/>
                <w:sz w:val="22"/>
                <w:szCs w:val="22"/>
              </w:rPr>
              <w:t>一级指标</w:t>
            </w:r>
          </w:p>
        </w:tc>
        <w:tc>
          <w:tcPr>
            <w:tcW w:w="759" w:type="dxa"/>
            <w:shd w:val="clear" w:color="auto" w:fill="BFBFBF"/>
            <w:vAlign w:val="center"/>
          </w:tcPr>
          <w:p w14:paraId="21D3CACD">
            <w:pPr>
              <w:widowControl/>
              <w:spacing w:line="0" w:lineRule="atLeast"/>
              <w:jc w:val="center"/>
              <w:rPr>
                <w:b/>
                <w:bCs/>
                <w:color w:val="000000"/>
                <w:kern w:val="0"/>
                <w:sz w:val="22"/>
                <w:szCs w:val="22"/>
              </w:rPr>
            </w:pPr>
            <w:r>
              <w:rPr>
                <w:b/>
                <w:bCs/>
                <w:color w:val="000000"/>
                <w:kern w:val="0"/>
                <w:sz w:val="22"/>
                <w:szCs w:val="22"/>
              </w:rPr>
              <w:t>分值</w:t>
            </w:r>
          </w:p>
        </w:tc>
        <w:tc>
          <w:tcPr>
            <w:tcW w:w="1514" w:type="dxa"/>
            <w:shd w:val="clear" w:color="auto" w:fill="BFBFBF"/>
            <w:vAlign w:val="center"/>
          </w:tcPr>
          <w:p w14:paraId="2AEFF89E">
            <w:pPr>
              <w:widowControl/>
              <w:spacing w:line="0" w:lineRule="atLeast"/>
              <w:jc w:val="center"/>
              <w:rPr>
                <w:b/>
                <w:bCs/>
                <w:color w:val="000000"/>
                <w:kern w:val="0"/>
                <w:sz w:val="22"/>
                <w:szCs w:val="22"/>
              </w:rPr>
            </w:pPr>
            <w:r>
              <w:rPr>
                <w:b/>
                <w:bCs/>
                <w:color w:val="000000"/>
                <w:kern w:val="0"/>
                <w:sz w:val="22"/>
                <w:szCs w:val="22"/>
              </w:rPr>
              <w:t>二级指标</w:t>
            </w:r>
          </w:p>
        </w:tc>
        <w:tc>
          <w:tcPr>
            <w:tcW w:w="1707" w:type="dxa"/>
            <w:shd w:val="clear" w:color="auto" w:fill="BFBFBF"/>
            <w:vAlign w:val="center"/>
          </w:tcPr>
          <w:p w14:paraId="15352C1D">
            <w:pPr>
              <w:widowControl/>
              <w:spacing w:line="0" w:lineRule="atLeast"/>
              <w:jc w:val="center"/>
              <w:rPr>
                <w:b/>
                <w:bCs/>
                <w:color w:val="000000"/>
                <w:kern w:val="0"/>
                <w:sz w:val="22"/>
                <w:szCs w:val="22"/>
              </w:rPr>
            </w:pPr>
            <w:r>
              <w:rPr>
                <w:b/>
                <w:bCs/>
                <w:color w:val="000000"/>
                <w:kern w:val="0"/>
                <w:sz w:val="22"/>
                <w:szCs w:val="22"/>
              </w:rPr>
              <w:t>三级指标</w:t>
            </w:r>
          </w:p>
        </w:tc>
        <w:tc>
          <w:tcPr>
            <w:tcW w:w="727" w:type="dxa"/>
            <w:shd w:val="clear" w:color="auto" w:fill="BFBFBF"/>
            <w:vAlign w:val="center"/>
          </w:tcPr>
          <w:p w14:paraId="7EF2089A">
            <w:pPr>
              <w:widowControl/>
              <w:spacing w:line="0" w:lineRule="atLeast"/>
              <w:jc w:val="center"/>
              <w:rPr>
                <w:b/>
                <w:bCs/>
                <w:color w:val="000000"/>
                <w:kern w:val="0"/>
                <w:sz w:val="22"/>
                <w:szCs w:val="22"/>
              </w:rPr>
            </w:pPr>
            <w:r>
              <w:rPr>
                <w:b/>
                <w:bCs/>
                <w:color w:val="000000"/>
                <w:kern w:val="0"/>
                <w:sz w:val="22"/>
                <w:szCs w:val="22"/>
              </w:rPr>
              <w:t>权重</w:t>
            </w:r>
          </w:p>
        </w:tc>
        <w:tc>
          <w:tcPr>
            <w:tcW w:w="1044" w:type="dxa"/>
            <w:shd w:val="clear" w:color="auto" w:fill="BFBFBF"/>
            <w:vAlign w:val="center"/>
          </w:tcPr>
          <w:p w14:paraId="66E9AF1C">
            <w:pPr>
              <w:widowControl/>
              <w:tabs>
                <w:tab w:val="left" w:pos="1333"/>
                <w:tab w:val="center" w:pos="3623"/>
              </w:tabs>
              <w:spacing w:line="0" w:lineRule="atLeast"/>
              <w:jc w:val="center"/>
              <w:rPr>
                <w:b/>
                <w:bCs/>
                <w:color w:val="000000"/>
                <w:kern w:val="0"/>
                <w:sz w:val="22"/>
                <w:szCs w:val="22"/>
              </w:rPr>
            </w:pPr>
            <w:r>
              <w:rPr>
                <w:b/>
                <w:bCs/>
                <w:color w:val="000000"/>
                <w:kern w:val="0"/>
                <w:sz w:val="22"/>
                <w:szCs w:val="22"/>
              </w:rPr>
              <w:t>目标值</w:t>
            </w:r>
          </w:p>
        </w:tc>
        <w:tc>
          <w:tcPr>
            <w:tcW w:w="924" w:type="dxa"/>
            <w:shd w:val="clear" w:color="auto" w:fill="BFBFBF"/>
            <w:vAlign w:val="center"/>
          </w:tcPr>
          <w:p w14:paraId="0A0268C2">
            <w:pPr>
              <w:widowControl/>
              <w:tabs>
                <w:tab w:val="left" w:pos="1333"/>
                <w:tab w:val="center" w:pos="3623"/>
              </w:tabs>
              <w:spacing w:line="0" w:lineRule="atLeast"/>
              <w:jc w:val="center"/>
              <w:rPr>
                <w:b/>
                <w:bCs/>
                <w:color w:val="000000"/>
                <w:kern w:val="0"/>
                <w:sz w:val="22"/>
                <w:szCs w:val="22"/>
              </w:rPr>
            </w:pPr>
            <w:r>
              <w:rPr>
                <w:b/>
                <w:bCs/>
                <w:color w:val="000000"/>
                <w:kern w:val="0"/>
                <w:sz w:val="22"/>
                <w:szCs w:val="22"/>
              </w:rPr>
              <w:t>业绩值</w:t>
            </w:r>
          </w:p>
        </w:tc>
        <w:tc>
          <w:tcPr>
            <w:tcW w:w="1022" w:type="dxa"/>
            <w:shd w:val="clear" w:color="auto" w:fill="BFBFBF"/>
            <w:vAlign w:val="center"/>
          </w:tcPr>
          <w:p w14:paraId="7B14E221">
            <w:pPr>
              <w:widowControl/>
              <w:tabs>
                <w:tab w:val="left" w:pos="1333"/>
                <w:tab w:val="center" w:pos="3623"/>
              </w:tabs>
              <w:spacing w:line="0" w:lineRule="atLeast"/>
              <w:jc w:val="center"/>
              <w:rPr>
                <w:b/>
                <w:bCs/>
                <w:color w:val="000000"/>
                <w:kern w:val="0"/>
                <w:sz w:val="22"/>
                <w:szCs w:val="22"/>
              </w:rPr>
            </w:pPr>
            <w:r>
              <w:rPr>
                <w:b/>
                <w:bCs/>
                <w:color w:val="000000"/>
                <w:kern w:val="0"/>
                <w:sz w:val="22"/>
                <w:szCs w:val="22"/>
              </w:rPr>
              <w:t>得分率</w:t>
            </w:r>
          </w:p>
        </w:tc>
        <w:tc>
          <w:tcPr>
            <w:tcW w:w="853" w:type="dxa"/>
            <w:shd w:val="clear" w:color="auto" w:fill="BFBFBF"/>
            <w:vAlign w:val="center"/>
          </w:tcPr>
          <w:p w14:paraId="756E10A2">
            <w:pPr>
              <w:widowControl/>
              <w:tabs>
                <w:tab w:val="left" w:pos="1333"/>
                <w:tab w:val="center" w:pos="3623"/>
              </w:tabs>
              <w:spacing w:line="0" w:lineRule="atLeast"/>
              <w:jc w:val="center"/>
              <w:rPr>
                <w:b/>
                <w:bCs/>
                <w:color w:val="000000"/>
                <w:kern w:val="0"/>
                <w:sz w:val="22"/>
                <w:szCs w:val="22"/>
              </w:rPr>
            </w:pPr>
            <w:r>
              <w:rPr>
                <w:b/>
                <w:bCs/>
                <w:color w:val="000000"/>
                <w:kern w:val="0"/>
                <w:sz w:val="22"/>
                <w:szCs w:val="22"/>
              </w:rPr>
              <w:t>得分</w:t>
            </w:r>
          </w:p>
        </w:tc>
      </w:tr>
      <w:tr w14:paraId="3F4F808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jc w:val="center"/>
        </w:trPr>
        <w:tc>
          <w:tcPr>
            <w:tcW w:w="1104" w:type="dxa"/>
            <w:vMerge w:val="restart"/>
            <w:shd w:val="clear" w:color="auto" w:fill="FFFFFF"/>
            <w:vAlign w:val="center"/>
          </w:tcPr>
          <w:p w14:paraId="2CDDFD92">
            <w:pPr>
              <w:widowControl/>
              <w:spacing w:line="0" w:lineRule="atLeast"/>
              <w:jc w:val="center"/>
              <w:rPr>
                <w:color w:val="000000"/>
                <w:kern w:val="0"/>
                <w:sz w:val="22"/>
                <w:szCs w:val="22"/>
              </w:rPr>
            </w:pPr>
            <w:r>
              <w:rPr>
                <w:color w:val="000000"/>
                <w:kern w:val="0"/>
                <w:sz w:val="22"/>
                <w:szCs w:val="22"/>
              </w:rPr>
              <w:t>决策　</w:t>
            </w:r>
          </w:p>
          <w:p w14:paraId="6B1D96C7">
            <w:pPr>
              <w:widowControl/>
              <w:spacing w:line="0" w:lineRule="atLeast"/>
              <w:jc w:val="center"/>
              <w:rPr>
                <w:color w:val="000000"/>
                <w:kern w:val="0"/>
                <w:sz w:val="22"/>
                <w:szCs w:val="22"/>
              </w:rPr>
            </w:pPr>
            <w:r>
              <w:rPr>
                <w:color w:val="000000"/>
                <w:kern w:val="0"/>
                <w:sz w:val="22"/>
                <w:szCs w:val="22"/>
              </w:rPr>
              <w:t>　</w:t>
            </w:r>
          </w:p>
          <w:p w14:paraId="35165BF2">
            <w:pPr>
              <w:spacing w:line="0" w:lineRule="atLeast"/>
              <w:jc w:val="center"/>
              <w:rPr>
                <w:color w:val="000000"/>
                <w:kern w:val="0"/>
                <w:sz w:val="22"/>
                <w:szCs w:val="22"/>
              </w:rPr>
            </w:pPr>
            <w:r>
              <w:rPr>
                <w:color w:val="000000"/>
                <w:kern w:val="0"/>
                <w:sz w:val="22"/>
                <w:szCs w:val="22"/>
              </w:rPr>
              <w:t>　</w:t>
            </w:r>
          </w:p>
          <w:p w14:paraId="236BA06A">
            <w:pPr>
              <w:widowControl/>
              <w:spacing w:line="0" w:lineRule="atLeast"/>
              <w:jc w:val="center"/>
              <w:rPr>
                <w:color w:val="000000"/>
                <w:kern w:val="0"/>
                <w:sz w:val="22"/>
                <w:szCs w:val="22"/>
              </w:rPr>
            </w:pPr>
            <w:r>
              <w:rPr>
                <w:color w:val="000000"/>
                <w:kern w:val="0"/>
                <w:sz w:val="22"/>
                <w:szCs w:val="22"/>
              </w:rPr>
              <w:t>　</w:t>
            </w:r>
          </w:p>
        </w:tc>
        <w:tc>
          <w:tcPr>
            <w:tcW w:w="759" w:type="dxa"/>
            <w:vMerge w:val="restart"/>
            <w:shd w:val="clear" w:color="auto" w:fill="FFFFFF"/>
            <w:vAlign w:val="center"/>
          </w:tcPr>
          <w:p w14:paraId="25C8F2C6">
            <w:pPr>
              <w:widowControl/>
              <w:spacing w:line="0" w:lineRule="atLeast"/>
              <w:jc w:val="center"/>
              <w:rPr>
                <w:color w:val="000000"/>
                <w:kern w:val="0"/>
                <w:sz w:val="22"/>
                <w:szCs w:val="22"/>
              </w:rPr>
            </w:pPr>
            <w:r>
              <w:rPr>
                <w:rFonts w:hint="eastAsia"/>
                <w:kern w:val="0"/>
                <w:sz w:val="22"/>
                <w:szCs w:val="22"/>
              </w:rPr>
              <w:t>20</w:t>
            </w:r>
            <w:r>
              <w:rPr>
                <w:kern w:val="0"/>
                <w:sz w:val="22"/>
                <w:szCs w:val="22"/>
              </w:rPr>
              <w:t>分</w:t>
            </w:r>
          </w:p>
        </w:tc>
        <w:tc>
          <w:tcPr>
            <w:tcW w:w="1514" w:type="dxa"/>
            <w:vMerge w:val="restart"/>
            <w:shd w:val="clear" w:color="auto" w:fill="FFFFFF"/>
            <w:vAlign w:val="center"/>
          </w:tcPr>
          <w:p w14:paraId="33275FBE">
            <w:pPr>
              <w:widowControl/>
              <w:spacing w:line="0" w:lineRule="atLeast"/>
              <w:jc w:val="center"/>
              <w:rPr>
                <w:color w:val="000000"/>
                <w:kern w:val="0"/>
                <w:sz w:val="22"/>
                <w:szCs w:val="22"/>
              </w:rPr>
            </w:pPr>
            <w:r>
              <w:rPr>
                <w:color w:val="000000"/>
                <w:kern w:val="0"/>
                <w:sz w:val="22"/>
                <w:szCs w:val="22"/>
              </w:rPr>
              <w:t>项目立项　</w:t>
            </w:r>
          </w:p>
        </w:tc>
        <w:tc>
          <w:tcPr>
            <w:tcW w:w="1707" w:type="dxa"/>
            <w:shd w:val="clear" w:color="auto" w:fill="FFFFFF"/>
            <w:vAlign w:val="center"/>
          </w:tcPr>
          <w:p w14:paraId="0BF4539C">
            <w:pPr>
              <w:widowControl/>
              <w:spacing w:line="0" w:lineRule="atLeast"/>
              <w:jc w:val="center"/>
              <w:rPr>
                <w:color w:val="000000"/>
                <w:kern w:val="0"/>
                <w:sz w:val="22"/>
                <w:szCs w:val="22"/>
              </w:rPr>
            </w:pPr>
            <w:r>
              <w:rPr>
                <w:color w:val="000000"/>
                <w:kern w:val="0"/>
                <w:sz w:val="22"/>
                <w:szCs w:val="22"/>
              </w:rPr>
              <w:t>立项依据</w:t>
            </w:r>
          </w:p>
          <w:p w14:paraId="4FB0CC6E">
            <w:pPr>
              <w:widowControl/>
              <w:spacing w:line="0" w:lineRule="atLeast"/>
              <w:jc w:val="center"/>
              <w:rPr>
                <w:color w:val="000000"/>
                <w:kern w:val="0"/>
                <w:sz w:val="22"/>
                <w:szCs w:val="22"/>
              </w:rPr>
            </w:pPr>
            <w:r>
              <w:rPr>
                <w:color w:val="000000"/>
                <w:kern w:val="0"/>
                <w:sz w:val="22"/>
                <w:szCs w:val="22"/>
              </w:rPr>
              <w:t>充分性</w:t>
            </w:r>
          </w:p>
        </w:tc>
        <w:tc>
          <w:tcPr>
            <w:tcW w:w="727" w:type="dxa"/>
            <w:shd w:val="clear" w:color="auto" w:fill="FFFFFF"/>
            <w:vAlign w:val="center"/>
          </w:tcPr>
          <w:p w14:paraId="71C00BF9">
            <w:pPr>
              <w:widowControl/>
              <w:spacing w:line="0" w:lineRule="atLeast"/>
              <w:jc w:val="center"/>
              <w:rPr>
                <w:color w:val="000000"/>
                <w:kern w:val="0"/>
                <w:sz w:val="22"/>
                <w:szCs w:val="22"/>
                <w:highlight w:val="none"/>
              </w:rPr>
            </w:pPr>
            <w:r>
              <w:rPr>
                <w:rFonts w:hint="eastAsia"/>
                <w:color w:val="000000"/>
                <w:kern w:val="0"/>
                <w:sz w:val="22"/>
                <w:szCs w:val="22"/>
                <w:highlight w:val="none"/>
              </w:rPr>
              <w:t>3</w:t>
            </w:r>
          </w:p>
        </w:tc>
        <w:tc>
          <w:tcPr>
            <w:tcW w:w="1044" w:type="dxa"/>
            <w:shd w:val="clear" w:color="auto" w:fill="FFFFFF"/>
            <w:vAlign w:val="center"/>
          </w:tcPr>
          <w:p w14:paraId="5F41B6E6">
            <w:pPr>
              <w:widowControl/>
              <w:spacing w:line="0" w:lineRule="atLeast"/>
              <w:jc w:val="center"/>
              <w:rPr>
                <w:color w:val="000000"/>
                <w:kern w:val="0"/>
                <w:sz w:val="22"/>
                <w:szCs w:val="22"/>
                <w:highlight w:val="none"/>
              </w:rPr>
            </w:pPr>
            <w:r>
              <w:rPr>
                <w:color w:val="000000"/>
                <w:kern w:val="0"/>
                <w:sz w:val="22"/>
                <w:szCs w:val="22"/>
                <w:highlight w:val="none"/>
              </w:rPr>
              <w:t>充分</w:t>
            </w:r>
          </w:p>
        </w:tc>
        <w:tc>
          <w:tcPr>
            <w:tcW w:w="924" w:type="dxa"/>
            <w:shd w:val="clear" w:color="auto" w:fill="FFFFFF"/>
            <w:vAlign w:val="center"/>
          </w:tcPr>
          <w:p w14:paraId="242A746A">
            <w:pPr>
              <w:widowControl/>
              <w:spacing w:line="0" w:lineRule="atLeast"/>
              <w:jc w:val="center"/>
              <w:rPr>
                <w:color w:val="000000"/>
                <w:kern w:val="0"/>
                <w:sz w:val="22"/>
                <w:szCs w:val="22"/>
                <w:highlight w:val="none"/>
              </w:rPr>
            </w:pPr>
            <w:r>
              <w:rPr>
                <w:color w:val="000000"/>
                <w:kern w:val="0"/>
                <w:sz w:val="22"/>
                <w:szCs w:val="22"/>
                <w:highlight w:val="none"/>
              </w:rPr>
              <w:t>充分</w:t>
            </w:r>
          </w:p>
        </w:tc>
        <w:tc>
          <w:tcPr>
            <w:tcW w:w="1022" w:type="dxa"/>
            <w:shd w:val="clear" w:color="auto" w:fill="FFFFFF"/>
            <w:vAlign w:val="center"/>
          </w:tcPr>
          <w:p w14:paraId="5B8C4F4D">
            <w:pPr>
              <w:widowControl/>
              <w:spacing w:line="0" w:lineRule="atLeast"/>
              <w:jc w:val="center"/>
              <w:rPr>
                <w:rFonts w:hint="default" w:eastAsia="宋体"/>
                <w:color w:val="000000"/>
                <w:kern w:val="0"/>
                <w:sz w:val="22"/>
                <w:szCs w:val="22"/>
                <w:highlight w:val="none"/>
                <w:lang w:val="en-US" w:eastAsia="zh-CN"/>
              </w:rPr>
            </w:pPr>
            <w:r>
              <w:rPr>
                <w:rFonts w:hint="eastAsia"/>
                <w:color w:val="000000"/>
                <w:kern w:val="0"/>
                <w:sz w:val="22"/>
                <w:szCs w:val="22"/>
                <w:highlight w:val="none"/>
                <w:lang w:val="en-US" w:eastAsia="zh-CN"/>
              </w:rPr>
              <w:t>100%</w:t>
            </w:r>
          </w:p>
        </w:tc>
        <w:tc>
          <w:tcPr>
            <w:tcW w:w="853" w:type="dxa"/>
            <w:shd w:val="clear" w:color="auto" w:fill="FFFFFF"/>
            <w:vAlign w:val="center"/>
          </w:tcPr>
          <w:p w14:paraId="03EA4829">
            <w:pPr>
              <w:widowControl/>
              <w:spacing w:line="0" w:lineRule="atLeast"/>
              <w:jc w:val="center"/>
              <w:rPr>
                <w:color w:val="000000"/>
                <w:kern w:val="0"/>
                <w:sz w:val="22"/>
                <w:szCs w:val="22"/>
                <w:highlight w:val="none"/>
              </w:rPr>
            </w:pPr>
            <w:r>
              <w:rPr>
                <w:rFonts w:hint="eastAsia"/>
                <w:color w:val="000000"/>
                <w:kern w:val="0"/>
                <w:sz w:val="22"/>
                <w:szCs w:val="22"/>
                <w:highlight w:val="none"/>
              </w:rPr>
              <w:t>3</w:t>
            </w:r>
          </w:p>
        </w:tc>
      </w:tr>
      <w:tr w14:paraId="51349AF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jc w:val="center"/>
        </w:trPr>
        <w:tc>
          <w:tcPr>
            <w:tcW w:w="1104" w:type="dxa"/>
            <w:vMerge w:val="continue"/>
            <w:shd w:val="clear" w:color="auto" w:fill="FFFFFF"/>
            <w:vAlign w:val="center"/>
          </w:tcPr>
          <w:p w14:paraId="42E64602">
            <w:pPr>
              <w:spacing w:line="0" w:lineRule="atLeast"/>
              <w:jc w:val="center"/>
              <w:rPr>
                <w:color w:val="000000"/>
                <w:kern w:val="0"/>
                <w:sz w:val="22"/>
                <w:szCs w:val="22"/>
              </w:rPr>
            </w:pPr>
          </w:p>
        </w:tc>
        <w:tc>
          <w:tcPr>
            <w:tcW w:w="759" w:type="dxa"/>
            <w:vMerge w:val="continue"/>
            <w:shd w:val="clear" w:color="auto" w:fill="FFFFFF"/>
            <w:vAlign w:val="center"/>
          </w:tcPr>
          <w:p w14:paraId="3B0BDB5F">
            <w:pPr>
              <w:widowControl/>
              <w:spacing w:line="0" w:lineRule="atLeast"/>
              <w:jc w:val="center"/>
              <w:rPr>
                <w:color w:val="000000"/>
                <w:kern w:val="0"/>
                <w:sz w:val="22"/>
                <w:szCs w:val="22"/>
              </w:rPr>
            </w:pPr>
          </w:p>
        </w:tc>
        <w:tc>
          <w:tcPr>
            <w:tcW w:w="1514" w:type="dxa"/>
            <w:vMerge w:val="continue"/>
            <w:shd w:val="clear" w:color="auto" w:fill="FFFFFF"/>
            <w:vAlign w:val="center"/>
          </w:tcPr>
          <w:p w14:paraId="6CD00749">
            <w:pPr>
              <w:widowControl/>
              <w:spacing w:line="0" w:lineRule="atLeast"/>
              <w:jc w:val="center"/>
              <w:rPr>
                <w:color w:val="000000"/>
                <w:kern w:val="0"/>
                <w:sz w:val="22"/>
                <w:szCs w:val="22"/>
              </w:rPr>
            </w:pPr>
          </w:p>
        </w:tc>
        <w:tc>
          <w:tcPr>
            <w:tcW w:w="1707" w:type="dxa"/>
            <w:shd w:val="clear" w:color="auto" w:fill="FFFFFF"/>
            <w:vAlign w:val="center"/>
          </w:tcPr>
          <w:p w14:paraId="07956AD0">
            <w:pPr>
              <w:widowControl/>
              <w:spacing w:line="0" w:lineRule="atLeast"/>
              <w:jc w:val="center"/>
              <w:rPr>
                <w:color w:val="000000"/>
                <w:kern w:val="0"/>
                <w:sz w:val="22"/>
                <w:szCs w:val="22"/>
              </w:rPr>
            </w:pPr>
            <w:r>
              <w:rPr>
                <w:color w:val="000000"/>
                <w:kern w:val="0"/>
                <w:sz w:val="22"/>
                <w:szCs w:val="22"/>
              </w:rPr>
              <w:t>立项程序</w:t>
            </w:r>
          </w:p>
          <w:p w14:paraId="69FEF9ED">
            <w:pPr>
              <w:widowControl/>
              <w:spacing w:line="0" w:lineRule="atLeast"/>
              <w:jc w:val="center"/>
              <w:rPr>
                <w:color w:val="000000"/>
                <w:kern w:val="0"/>
                <w:sz w:val="22"/>
                <w:szCs w:val="22"/>
              </w:rPr>
            </w:pPr>
            <w:r>
              <w:rPr>
                <w:color w:val="000000"/>
                <w:kern w:val="0"/>
                <w:sz w:val="22"/>
                <w:szCs w:val="22"/>
              </w:rPr>
              <w:t>规范性</w:t>
            </w:r>
          </w:p>
        </w:tc>
        <w:tc>
          <w:tcPr>
            <w:tcW w:w="727" w:type="dxa"/>
            <w:shd w:val="clear" w:color="auto" w:fill="FFFFFF"/>
            <w:vAlign w:val="center"/>
          </w:tcPr>
          <w:p w14:paraId="23CE5820">
            <w:pPr>
              <w:widowControl/>
              <w:spacing w:line="0" w:lineRule="atLeast"/>
              <w:jc w:val="center"/>
              <w:rPr>
                <w:color w:val="000000"/>
                <w:kern w:val="0"/>
                <w:sz w:val="22"/>
                <w:szCs w:val="22"/>
                <w:highlight w:val="none"/>
              </w:rPr>
            </w:pPr>
            <w:r>
              <w:rPr>
                <w:rFonts w:hint="eastAsia"/>
                <w:color w:val="000000"/>
                <w:kern w:val="0"/>
                <w:sz w:val="22"/>
                <w:szCs w:val="22"/>
                <w:highlight w:val="none"/>
              </w:rPr>
              <w:t>3</w:t>
            </w:r>
          </w:p>
        </w:tc>
        <w:tc>
          <w:tcPr>
            <w:tcW w:w="1044" w:type="dxa"/>
            <w:shd w:val="clear" w:color="auto" w:fill="FFFFFF"/>
            <w:vAlign w:val="center"/>
          </w:tcPr>
          <w:p w14:paraId="5CAED7E4">
            <w:pPr>
              <w:widowControl/>
              <w:spacing w:line="0" w:lineRule="atLeast"/>
              <w:jc w:val="center"/>
              <w:rPr>
                <w:color w:val="000000"/>
                <w:kern w:val="0"/>
                <w:sz w:val="22"/>
                <w:szCs w:val="22"/>
                <w:highlight w:val="none"/>
              </w:rPr>
            </w:pPr>
            <w:r>
              <w:rPr>
                <w:color w:val="000000"/>
                <w:kern w:val="0"/>
                <w:sz w:val="22"/>
                <w:szCs w:val="22"/>
                <w:highlight w:val="none"/>
              </w:rPr>
              <w:t>规范</w:t>
            </w:r>
          </w:p>
        </w:tc>
        <w:tc>
          <w:tcPr>
            <w:tcW w:w="924" w:type="dxa"/>
            <w:shd w:val="clear" w:color="auto" w:fill="FFFFFF"/>
            <w:vAlign w:val="center"/>
          </w:tcPr>
          <w:p w14:paraId="743D51A7">
            <w:pPr>
              <w:widowControl/>
              <w:spacing w:line="0" w:lineRule="atLeast"/>
              <w:jc w:val="center"/>
              <w:rPr>
                <w:color w:val="000000"/>
                <w:kern w:val="0"/>
                <w:sz w:val="22"/>
                <w:szCs w:val="22"/>
                <w:highlight w:val="none"/>
              </w:rPr>
            </w:pPr>
            <w:r>
              <w:rPr>
                <w:color w:val="000000"/>
                <w:kern w:val="0"/>
                <w:sz w:val="22"/>
                <w:szCs w:val="22"/>
                <w:highlight w:val="none"/>
              </w:rPr>
              <w:t>规范</w:t>
            </w:r>
          </w:p>
        </w:tc>
        <w:tc>
          <w:tcPr>
            <w:tcW w:w="1022" w:type="dxa"/>
            <w:shd w:val="clear" w:color="auto" w:fill="FFFFFF"/>
            <w:vAlign w:val="center"/>
          </w:tcPr>
          <w:p w14:paraId="4EC76DFB">
            <w:pPr>
              <w:widowControl/>
              <w:spacing w:line="0" w:lineRule="atLeast"/>
              <w:jc w:val="center"/>
              <w:rPr>
                <w:color w:val="000000"/>
                <w:kern w:val="0"/>
                <w:sz w:val="22"/>
                <w:szCs w:val="22"/>
                <w:highlight w:val="none"/>
              </w:rPr>
            </w:pPr>
            <w:r>
              <w:rPr>
                <w:rFonts w:hint="eastAsia"/>
                <w:color w:val="000000"/>
                <w:kern w:val="0"/>
                <w:sz w:val="22"/>
                <w:szCs w:val="22"/>
                <w:highlight w:val="none"/>
                <w:lang w:val="en-US" w:eastAsia="zh-CN"/>
              </w:rPr>
              <w:t>100%</w:t>
            </w:r>
          </w:p>
        </w:tc>
        <w:tc>
          <w:tcPr>
            <w:tcW w:w="853" w:type="dxa"/>
            <w:shd w:val="clear" w:color="auto" w:fill="FFFFFF"/>
            <w:vAlign w:val="center"/>
          </w:tcPr>
          <w:p w14:paraId="251EE284">
            <w:pPr>
              <w:widowControl/>
              <w:spacing w:line="0" w:lineRule="atLeast"/>
              <w:jc w:val="center"/>
              <w:rPr>
                <w:color w:val="000000"/>
                <w:kern w:val="0"/>
                <w:sz w:val="22"/>
                <w:szCs w:val="22"/>
                <w:highlight w:val="none"/>
              </w:rPr>
            </w:pPr>
            <w:r>
              <w:rPr>
                <w:rFonts w:hint="eastAsia"/>
                <w:color w:val="000000"/>
                <w:kern w:val="0"/>
                <w:sz w:val="22"/>
                <w:szCs w:val="22"/>
                <w:highlight w:val="none"/>
              </w:rPr>
              <w:t>3</w:t>
            </w:r>
          </w:p>
        </w:tc>
      </w:tr>
      <w:tr w14:paraId="7631370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jc w:val="center"/>
        </w:trPr>
        <w:tc>
          <w:tcPr>
            <w:tcW w:w="1104" w:type="dxa"/>
            <w:vMerge w:val="continue"/>
            <w:shd w:val="clear" w:color="auto" w:fill="FFFFFF"/>
            <w:vAlign w:val="center"/>
          </w:tcPr>
          <w:p w14:paraId="66E3721B">
            <w:pPr>
              <w:spacing w:line="0" w:lineRule="atLeast"/>
              <w:jc w:val="center"/>
              <w:rPr>
                <w:color w:val="000000"/>
                <w:kern w:val="0"/>
                <w:sz w:val="22"/>
                <w:szCs w:val="22"/>
              </w:rPr>
            </w:pPr>
          </w:p>
        </w:tc>
        <w:tc>
          <w:tcPr>
            <w:tcW w:w="759" w:type="dxa"/>
            <w:vMerge w:val="continue"/>
            <w:shd w:val="clear" w:color="auto" w:fill="FFFFFF"/>
            <w:vAlign w:val="center"/>
          </w:tcPr>
          <w:p w14:paraId="17AC6F44">
            <w:pPr>
              <w:widowControl/>
              <w:spacing w:line="0" w:lineRule="atLeast"/>
              <w:jc w:val="center"/>
              <w:rPr>
                <w:color w:val="000000"/>
                <w:kern w:val="0"/>
                <w:sz w:val="22"/>
                <w:szCs w:val="22"/>
              </w:rPr>
            </w:pPr>
          </w:p>
        </w:tc>
        <w:tc>
          <w:tcPr>
            <w:tcW w:w="1514" w:type="dxa"/>
            <w:vMerge w:val="restart"/>
            <w:shd w:val="clear" w:color="auto" w:fill="FFFFFF"/>
            <w:vAlign w:val="center"/>
          </w:tcPr>
          <w:p w14:paraId="479F9F5C">
            <w:pPr>
              <w:widowControl/>
              <w:spacing w:line="0" w:lineRule="atLeast"/>
              <w:jc w:val="center"/>
              <w:rPr>
                <w:color w:val="000000"/>
                <w:kern w:val="0"/>
                <w:sz w:val="22"/>
                <w:szCs w:val="22"/>
              </w:rPr>
            </w:pPr>
            <w:r>
              <w:rPr>
                <w:color w:val="000000"/>
                <w:kern w:val="0"/>
                <w:sz w:val="22"/>
                <w:szCs w:val="22"/>
              </w:rPr>
              <w:t>绩效目标　</w:t>
            </w:r>
          </w:p>
        </w:tc>
        <w:tc>
          <w:tcPr>
            <w:tcW w:w="1707" w:type="dxa"/>
            <w:shd w:val="clear" w:color="auto" w:fill="FFFFFF"/>
            <w:vAlign w:val="center"/>
          </w:tcPr>
          <w:p w14:paraId="1DA5985E">
            <w:pPr>
              <w:widowControl/>
              <w:spacing w:line="0" w:lineRule="atLeast"/>
              <w:jc w:val="center"/>
              <w:rPr>
                <w:color w:val="000000"/>
                <w:kern w:val="0"/>
                <w:sz w:val="22"/>
                <w:szCs w:val="22"/>
              </w:rPr>
            </w:pPr>
            <w:r>
              <w:rPr>
                <w:color w:val="000000"/>
                <w:kern w:val="0"/>
                <w:sz w:val="22"/>
                <w:szCs w:val="22"/>
              </w:rPr>
              <w:t>绩效目标</w:t>
            </w:r>
          </w:p>
          <w:p w14:paraId="635F3CAE">
            <w:pPr>
              <w:widowControl/>
              <w:spacing w:line="0" w:lineRule="atLeast"/>
              <w:jc w:val="center"/>
              <w:rPr>
                <w:color w:val="000000"/>
                <w:kern w:val="0"/>
                <w:sz w:val="22"/>
                <w:szCs w:val="22"/>
              </w:rPr>
            </w:pPr>
            <w:r>
              <w:rPr>
                <w:color w:val="000000"/>
                <w:kern w:val="0"/>
                <w:sz w:val="22"/>
                <w:szCs w:val="22"/>
              </w:rPr>
              <w:t>合理性</w:t>
            </w:r>
          </w:p>
        </w:tc>
        <w:tc>
          <w:tcPr>
            <w:tcW w:w="727" w:type="dxa"/>
            <w:shd w:val="clear" w:color="000000" w:fill="FFFFFF"/>
            <w:vAlign w:val="center"/>
          </w:tcPr>
          <w:p w14:paraId="1A7BD977">
            <w:pPr>
              <w:widowControl/>
              <w:spacing w:line="0" w:lineRule="atLeast"/>
              <w:jc w:val="center"/>
              <w:rPr>
                <w:color w:val="000000"/>
                <w:kern w:val="0"/>
                <w:sz w:val="22"/>
                <w:szCs w:val="22"/>
                <w:highlight w:val="none"/>
              </w:rPr>
            </w:pPr>
            <w:r>
              <w:rPr>
                <w:rFonts w:hint="eastAsia"/>
                <w:color w:val="000000"/>
                <w:kern w:val="0"/>
                <w:sz w:val="22"/>
                <w:szCs w:val="22"/>
                <w:highlight w:val="none"/>
              </w:rPr>
              <w:t>4</w:t>
            </w:r>
          </w:p>
        </w:tc>
        <w:tc>
          <w:tcPr>
            <w:tcW w:w="1044" w:type="dxa"/>
            <w:shd w:val="clear" w:color="000000" w:fill="FFFFFF"/>
            <w:vAlign w:val="center"/>
          </w:tcPr>
          <w:p w14:paraId="66AEFFBA">
            <w:pPr>
              <w:widowControl/>
              <w:spacing w:line="0" w:lineRule="atLeast"/>
              <w:jc w:val="center"/>
              <w:rPr>
                <w:color w:val="000000"/>
                <w:kern w:val="0"/>
                <w:sz w:val="22"/>
                <w:szCs w:val="22"/>
                <w:highlight w:val="none"/>
              </w:rPr>
            </w:pPr>
            <w:r>
              <w:rPr>
                <w:color w:val="000000"/>
                <w:kern w:val="0"/>
                <w:sz w:val="22"/>
                <w:szCs w:val="22"/>
                <w:highlight w:val="none"/>
              </w:rPr>
              <w:t>合理</w:t>
            </w:r>
          </w:p>
        </w:tc>
        <w:tc>
          <w:tcPr>
            <w:tcW w:w="924" w:type="dxa"/>
            <w:shd w:val="clear" w:color="000000" w:fill="FFFFFF"/>
            <w:vAlign w:val="center"/>
          </w:tcPr>
          <w:p w14:paraId="774E9829">
            <w:pPr>
              <w:widowControl/>
              <w:spacing w:line="0" w:lineRule="atLeast"/>
              <w:jc w:val="center"/>
              <w:rPr>
                <w:color w:val="000000"/>
                <w:kern w:val="0"/>
                <w:sz w:val="22"/>
                <w:szCs w:val="22"/>
                <w:highlight w:val="none"/>
              </w:rPr>
            </w:pPr>
            <w:r>
              <w:rPr>
                <w:color w:val="000000"/>
                <w:kern w:val="0"/>
                <w:sz w:val="22"/>
                <w:szCs w:val="22"/>
                <w:highlight w:val="none"/>
              </w:rPr>
              <w:t>合理</w:t>
            </w:r>
          </w:p>
        </w:tc>
        <w:tc>
          <w:tcPr>
            <w:tcW w:w="1022" w:type="dxa"/>
            <w:shd w:val="clear" w:color="000000" w:fill="FFFFFF"/>
            <w:vAlign w:val="center"/>
          </w:tcPr>
          <w:p w14:paraId="0CA3A32D">
            <w:pPr>
              <w:widowControl/>
              <w:spacing w:line="0" w:lineRule="atLeast"/>
              <w:jc w:val="center"/>
              <w:rPr>
                <w:color w:val="000000"/>
                <w:kern w:val="0"/>
                <w:sz w:val="22"/>
                <w:szCs w:val="22"/>
                <w:highlight w:val="none"/>
              </w:rPr>
            </w:pPr>
            <w:r>
              <w:rPr>
                <w:rFonts w:hint="eastAsia"/>
                <w:color w:val="000000"/>
                <w:kern w:val="0"/>
                <w:sz w:val="22"/>
                <w:szCs w:val="22"/>
                <w:highlight w:val="none"/>
                <w:lang w:val="en-US" w:eastAsia="zh-CN"/>
              </w:rPr>
              <w:t>100%</w:t>
            </w:r>
          </w:p>
        </w:tc>
        <w:tc>
          <w:tcPr>
            <w:tcW w:w="853" w:type="dxa"/>
            <w:shd w:val="clear" w:color="000000" w:fill="FFFFFF"/>
            <w:vAlign w:val="center"/>
          </w:tcPr>
          <w:p w14:paraId="52B73090">
            <w:pPr>
              <w:widowControl/>
              <w:spacing w:line="0" w:lineRule="atLeast"/>
              <w:jc w:val="center"/>
              <w:rPr>
                <w:color w:val="000000"/>
                <w:kern w:val="0"/>
                <w:sz w:val="22"/>
                <w:szCs w:val="22"/>
                <w:highlight w:val="none"/>
              </w:rPr>
            </w:pPr>
            <w:r>
              <w:rPr>
                <w:rFonts w:hint="eastAsia"/>
                <w:color w:val="000000"/>
                <w:kern w:val="0"/>
                <w:sz w:val="22"/>
                <w:szCs w:val="22"/>
                <w:highlight w:val="none"/>
              </w:rPr>
              <w:t>4</w:t>
            </w:r>
          </w:p>
        </w:tc>
      </w:tr>
      <w:tr w14:paraId="65A1E9F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jc w:val="center"/>
        </w:trPr>
        <w:tc>
          <w:tcPr>
            <w:tcW w:w="1104" w:type="dxa"/>
            <w:vMerge w:val="continue"/>
            <w:shd w:val="clear" w:color="auto" w:fill="FFFFFF"/>
            <w:vAlign w:val="center"/>
          </w:tcPr>
          <w:p w14:paraId="6A21C08A">
            <w:pPr>
              <w:widowControl/>
              <w:spacing w:line="0" w:lineRule="atLeast"/>
              <w:jc w:val="center"/>
              <w:rPr>
                <w:color w:val="000000"/>
                <w:kern w:val="0"/>
                <w:sz w:val="22"/>
                <w:szCs w:val="22"/>
              </w:rPr>
            </w:pPr>
          </w:p>
        </w:tc>
        <w:tc>
          <w:tcPr>
            <w:tcW w:w="759" w:type="dxa"/>
            <w:vMerge w:val="continue"/>
            <w:shd w:val="clear" w:color="auto" w:fill="FFFFFF"/>
            <w:vAlign w:val="center"/>
          </w:tcPr>
          <w:p w14:paraId="767DDC27">
            <w:pPr>
              <w:widowControl/>
              <w:spacing w:line="0" w:lineRule="atLeast"/>
              <w:jc w:val="center"/>
              <w:rPr>
                <w:color w:val="000000"/>
                <w:kern w:val="0"/>
                <w:sz w:val="22"/>
                <w:szCs w:val="22"/>
              </w:rPr>
            </w:pPr>
          </w:p>
        </w:tc>
        <w:tc>
          <w:tcPr>
            <w:tcW w:w="1514" w:type="dxa"/>
            <w:vMerge w:val="continue"/>
            <w:shd w:val="clear" w:color="auto" w:fill="FFFFFF"/>
            <w:vAlign w:val="center"/>
          </w:tcPr>
          <w:p w14:paraId="5E7DE87A">
            <w:pPr>
              <w:widowControl/>
              <w:spacing w:line="0" w:lineRule="atLeast"/>
              <w:jc w:val="center"/>
              <w:rPr>
                <w:color w:val="000000"/>
                <w:kern w:val="0"/>
                <w:sz w:val="22"/>
                <w:szCs w:val="22"/>
              </w:rPr>
            </w:pPr>
          </w:p>
        </w:tc>
        <w:tc>
          <w:tcPr>
            <w:tcW w:w="1707" w:type="dxa"/>
            <w:shd w:val="clear" w:color="auto" w:fill="FFFFFF"/>
            <w:vAlign w:val="center"/>
          </w:tcPr>
          <w:p w14:paraId="340FF4D6">
            <w:pPr>
              <w:widowControl/>
              <w:spacing w:line="0" w:lineRule="atLeast"/>
              <w:jc w:val="center"/>
              <w:rPr>
                <w:color w:val="000000"/>
                <w:kern w:val="0"/>
                <w:sz w:val="22"/>
                <w:szCs w:val="22"/>
              </w:rPr>
            </w:pPr>
            <w:r>
              <w:rPr>
                <w:color w:val="000000"/>
                <w:kern w:val="0"/>
                <w:sz w:val="22"/>
                <w:szCs w:val="22"/>
              </w:rPr>
              <w:t>绩效指标</w:t>
            </w:r>
          </w:p>
          <w:p w14:paraId="447D6F7F">
            <w:pPr>
              <w:widowControl/>
              <w:spacing w:line="0" w:lineRule="atLeast"/>
              <w:jc w:val="center"/>
              <w:rPr>
                <w:color w:val="000000"/>
                <w:kern w:val="0"/>
                <w:sz w:val="22"/>
                <w:szCs w:val="22"/>
              </w:rPr>
            </w:pPr>
            <w:r>
              <w:rPr>
                <w:color w:val="000000"/>
                <w:kern w:val="0"/>
                <w:sz w:val="22"/>
                <w:szCs w:val="22"/>
              </w:rPr>
              <w:t>明确性</w:t>
            </w:r>
          </w:p>
        </w:tc>
        <w:tc>
          <w:tcPr>
            <w:tcW w:w="727" w:type="dxa"/>
            <w:shd w:val="clear" w:color="000000" w:fill="FFFFFF"/>
            <w:vAlign w:val="center"/>
          </w:tcPr>
          <w:p w14:paraId="434806A0">
            <w:pPr>
              <w:widowControl/>
              <w:spacing w:line="0" w:lineRule="atLeast"/>
              <w:jc w:val="center"/>
              <w:rPr>
                <w:color w:val="000000"/>
                <w:kern w:val="0"/>
                <w:sz w:val="22"/>
                <w:szCs w:val="22"/>
                <w:highlight w:val="none"/>
              </w:rPr>
            </w:pPr>
            <w:r>
              <w:rPr>
                <w:rFonts w:hint="eastAsia"/>
                <w:color w:val="000000"/>
                <w:kern w:val="0"/>
                <w:sz w:val="22"/>
                <w:szCs w:val="22"/>
                <w:highlight w:val="none"/>
              </w:rPr>
              <w:t>3</w:t>
            </w:r>
          </w:p>
        </w:tc>
        <w:tc>
          <w:tcPr>
            <w:tcW w:w="1044" w:type="dxa"/>
            <w:shd w:val="clear" w:color="000000" w:fill="FFFFFF"/>
            <w:vAlign w:val="center"/>
          </w:tcPr>
          <w:p w14:paraId="10D3FC32">
            <w:pPr>
              <w:widowControl/>
              <w:spacing w:line="0" w:lineRule="atLeast"/>
              <w:jc w:val="center"/>
              <w:rPr>
                <w:color w:val="000000"/>
                <w:kern w:val="0"/>
                <w:sz w:val="22"/>
                <w:szCs w:val="22"/>
                <w:highlight w:val="none"/>
              </w:rPr>
            </w:pPr>
            <w:r>
              <w:rPr>
                <w:color w:val="000000"/>
                <w:kern w:val="0"/>
                <w:sz w:val="22"/>
                <w:szCs w:val="22"/>
                <w:highlight w:val="none"/>
              </w:rPr>
              <w:t>明确</w:t>
            </w:r>
          </w:p>
        </w:tc>
        <w:tc>
          <w:tcPr>
            <w:tcW w:w="924" w:type="dxa"/>
            <w:shd w:val="clear" w:color="000000" w:fill="FFFFFF"/>
            <w:vAlign w:val="center"/>
          </w:tcPr>
          <w:p w14:paraId="167FDB33">
            <w:pPr>
              <w:widowControl/>
              <w:spacing w:line="0" w:lineRule="atLeast"/>
              <w:jc w:val="center"/>
              <w:rPr>
                <w:color w:val="000000"/>
                <w:kern w:val="0"/>
                <w:sz w:val="22"/>
                <w:szCs w:val="22"/>
                <w:highlight w:val="none"/>
              </w:rPr>
            </w:pPr>
            <w:r>
              <w:rPr>
                <w:color w:val="000000"/>
                <w:kern w:val="0"/>
                <w:sz w:val="22"/>
                <w:szCs w:val="22"/>
                <w:highlight w:val="none"/>
              </w:rPr>
              <w:t>明确</w:t>
            </w:r>
          </w:p>
        </w:tc>
        <w:tc>
          <w:tcPr>
            <w:tcW w:w="1022" w:type="dxa"/>
            <w:shd w:val="clear" w:color="000000" w:fill="FFFFFF"/>
            <w:vAlign w:val="center"/>
          </w:tcPr>
          <w:p w14:paraId="5D00DE9F">
            <w:pPr>
              <w:widowControl/>
              <w:spacing w:line="0" w:lineRule="atLeast"/>
              <w:jc w:val="center"/>
              <w:rPr>
                <w:color w:val="000000"/>
                <w:kern w:val="0"/>
                <w:sz w:val="22"/>
                <w:szCs w:val="22"/>
                <w:highlight w:val="none"/>
              </w:rPr>
            </w:pPr>
            <w:r>
              <w:rPr>
                <w:rFonts w:hint="eastAsia"/>
                <w:color w:val="000000"/>
                <w:kern w:val="0"/>
                <w:sz w:val="22"/>
                <w:szCs w:val="22"/>
                <w:highlight w:val="none"/>
                <w:lang w:val="en-US" w:eastAsia="zh-CN"/>
              </w:rPr>
              <w:t>100%</w:t>
            </w:r>
          </w:p>
        </w:tc>
        <w:tc>
          <w:tcPr>
            <w:tcW w:w="853" w:type="dxa"/>
            <w:shd w:val="clear" w:color="000000" w:fill="FFFFFF"/>
            <w:vAlign w:val="center"/>
          </w:tcPr>
          <w:p w14:paraId="3245F996">
            <w:pPr>
              <w:widowControl/>
              <w:spacing w:line="0" w:lineRule="atLeast"/>
              <w:jc w:val="center"/>
              <w:rPr>
                <w:color w:val="000000"/>
                <w:kern w:val="0"/>
                <w:sz w:val="22"/>
                <w:szCs w:val="22"/>
                <w:highlight w:val="none"/>
              </w:rPr>
            </w:pPr>
            <w:r>
              <w:rPr>
                <w:rFonts w:hint="eastAsia"/>
                <w:color w:val="000000"/>
                <w:kern w:val="0"/>
                <w:sz w:val="22"/>
                <w:szCs w:val="22"/>
                <w:highlight w:val="none"/>
              </w:rPr>
              <w:t>3</w:t>
            </w:r>
          </w:p>
        </w:tc>
      </w:tr>
      <w:tr w14:paraId="0008CDE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jc w:val="center"/>
        </w:trPr>
        <w:tc>
          <w:tcPr>
            <w:tcW w:w="1104" w:type="dxa"/>
            <w:vMerge w:val="continue"/>
            <w:shd w:val="clear" w:color="auto" w:fill="FFFFFF"/>
            <w:vAlign w:val="center"/>
          </w:tcPr>
          <w:p w14:paraId="7DE016A6">
            <w:pPr>
              <w:spacing w:line="0" w:lineRule="atLeast"/>
              <w:jc w:val="center"/>
              <w:rPr>
                <w:color w:val="000000"/>
                <w:kern w:val="0"/>
                <w:sz w:val="22"/>
                <w:szCs w:val="22"/>
              </w:rPr>
            </w:pPr>
          </w:p>
        </w:tc>
        <w:tc>
          <w:tcPr>
            <w:tcW w:w="759" w:type="dxa"/>
            <w:vMerge w:val="continue"/>
            <w:shd w:val="clear" w:color="auto" w:fill="FFFFFF"/>
            <w:vAlign w:val="center"/>
          </w:tcPr>
          <w:p w14:paraId="5648A34A">
            <w:pPr>
              <w:spacing w:line="0" w:lineRule="atLeast"/>
              <w:jc w:val="center"/>
              <w:rPr>
                <w:color w:val="000000"/>
                <w:kern w:val="0"/>
                <w:sz w:val="22"/>
                <w:szCs w:val="22"/>
              </w:rPr>
            </w:pPr>
          </w:p>
        </w:tc>
        <w:tc>
          <w:tcPr>
            <w:tcW w:w="1514" w:type="dxa"/>
            <w:vMerge w:val="restart"/>
            <w:shd w:val="clear" w:color="auto" w:fill="FFFFFF"/>
            <w:vAlign w:val="center"/>
          </w:tcPr>
          <w:p w14:paraId="3679B358">
            <w:pPr>
              <w:widowControl/>
              <w:spacing w:line="0" w:lineRule="atLeast"/>
              <w:jc w:val="center"/>
              <w:rPr>
                <w:color w:val="000000"/>
                <w:kern w:val="0"/>
                <w:sz w:val="22"/>
                <w:szCs w:val="22"/>
              </w:rPr>
            </w:pPr>
            <w:r>
              <w:rPr>
                <w:color w:val="000000"/>
                <w:kern w:val="0"/>
                <w:sz w:val="22"/>
                <w:szCs w:val="22"/>
              </w:rPr>
              <w:t>资金投入</w:t>
            </w:r>
          </w:p>
        </w:tc>
        <w:tc>
          <w:tcPr>
            <w:tcW w:w="1707" w:type="dxa"/>
            <w:shd w:val="clear" w:color="auto" w:fill="FFFFFF"/>
            <w:vAlign w:val="center"/>
          </w:tcPr>
          <w:p w14:paraId="4B4D61B3">
            <w:pPr>
              <w:widowControl/>
              <w:spacing w:line="0" w:lineRule="atLeast"/>
              <w:jc w:val="center"/>
              <w:rPr>
                <w:color w:val="000000"/>
                <w:kern w:val="0"/>
                <w:sz w:val="22"/>
                <w:szCs w:val="22"/>
              </w:rPr>
            </w:pPr>
            <w:r>
              <w:rPr>
                <w:color w:val="000000"/>
                <w:kern w:val="0"/>
                <w:sz w:val="22"/>
                <w:szCs w:val="22"/>
              </w:rPr>
              <w:t>预算编制</w:t>
            </w:r>
          </w:p>
          <w:p w14:paraId="2CBE65A2">
            <w:pPr>
              <w:widowControl/>
              <w:spacing w:line="0" w:lineRule="atLeast"/>
              <w:jc w:val="center"/>
              <w:rPr>
                <w:color w:val="000000"/>
                <w:kern w:val="0"/>
                <w:sz w:val="22"/>
                <w:szCs w:val="22"/>
              </w:rPr>
            </w:pPr>
            <w:r>
              <w:rPr>
                <w:color w:val="000000"/>
                <w:kern w:val="0"/>
                <w:sz w:val="22"/>
                <w:szCs w:val="22"/>
              </w:rPr>
              <w:t>科学性</w:t>
            </w:r>
          </w:p>
        </w:tc>
        <w:tc>
          <w:tcPr>
            <w:tcW w:w="727" w:type="dxa"/>
            <w:shd w:val="clear" w:color="auto" w:fill="FFFFFF"/>
            <w:vAlign w:val="center"/>
          </w:tcPr>
          <w:p w14:paraId="4105FDE1">
            <w:pPr>
              <w:widowControl/>
              <w:spacing w:line="0" w:lineRule="atLeast"/>
              <w:jc w:val="center"/>
              <w:rPr>
                <w:color w:val="000000"/>
                <w:kern w:val="0"/>
                <w:sz w:val="22"/>
                <w:szCs w:val="22"/>
                <w:highlight w:val="none"/>
              </w:rPr>
            </w:pPr>
            <w:r>
              <w:rPr>
                <w:rFonts w:hint="eastAsia"/>
                <w:color w:val="000000"/>
                <w:kern w:val="0"/>
                <w:sz w:val="22"/>
                <w:szCs w:val="22"/>
                <w:highlight w:val="none"/>
              </w:rPr>
              <w:t>4</w:t>
            </w:r>
          </w:p>
        </w:tc>
        <w:tc>
          <w:tcPr>
            <w:tcW w:w="1044" w:type="dxa"/>
            <w:shd w:val="clear" w:color="auto" w:fill="FFFFFF"/>
            <w:vAlign w:val="center"/>
          </w:tcPr>
          <w:p w14:paraId="21FBD8B8">
            <w:pPr>
              <w:widowControl/>
              <w:spacing w:line="0" w:lineRule="atLeast"/>
              <w:jc w:val="center"/>
              <w:rPr>
                <w:color w:val="000000"/>
                <w:kern w:val="0"/>
                <w:sz w:val="22"/>
                <w:szCs w:val="22"/>
                <w:highlight w:val="none"/>
              </w:rPr>
            </w:pPr>
            <w:r>
              <w:rPr>
                <w:color w:val="000000"/>
                <w:kern w:val="0"/>
                <w:sz w:val="22"/>
                <w:szCs w:val="22"/>
                <w:highlight w:val="none"/>
              </w:rPr>
              <w:t>科学</w:t>
            </w:r>
          </w:p>
        </w:tc>
        <w:tc>
          <w:tcPr>
            <w:tcW w:w="924" w:type="dxa"/>
            <w:shd w:val="clear" w:color="auto" w:fill="FFFFFF"/>
            <w:vAlign w:val="center"/>
          </w:tcPr>
          <w:p w14:paraId="7F53AE37">
            <w:pPr>
              <w:widowControl/>
              <w:spacing w:line="0" w:lineRule="atLeast"/>
              <w:jc w:val="center"/>
              <w:rPr>
                <w:color w:val="000000"/>
                <w:kern w:val="0"/>
                <w:sz w:val="22"/>
                <w:szCs w:val="22"/>
                <w:highlight w:val="none"/>
              </w:rPr>
            </w:pPr>
            <w:r>
              <w:rPr>
                <w:color w:val="000000"/>
                <w:kern w:val="0"/>
                <w:sz w:val="22"/>
                <w:szCs w:val="22"/>
                <w:highlight w:val="none"/>
              </w:rPr>
              <w:t>科学</w:t>
            </w:r>
          </w:p>
        </w:tc>
        <w:tc>
          <w:tcPr>
            <w:tcW w:w="1022" w:type="dxa"/>
            <w:shd w:val="clear" w:color="auto" w:fill="FFFFFF"/>
            <w:vAlign w:val="center"/>
          </w:tcPr>
          <w:p w14:paraId="03DD14CC">
            <w:pPr>
              <w:widowControl/>
              <w:spacing w:line="0" w:lineRule="atLeast"/>
              <w:jc w:val="center"/>
              <w:rPr>
                <w:color w:val="000000"/>
                <w:kern w:val="0"/>
                <w:sz w:val="22"/>
                <w:szCs w:val="22"/>
                <w:highlight w:val="none"/>
              </w:rPr>
            </w:pPr>
            <w:r>
              <w:rPr>
                <w:rFonts w:hint="eastAsia"/>
                <w:color w:val="000000"/>
                <w:kern w:val="0"/>
                <w:sz w:val="22"/>
                <w:szCs w:val="22"/>
                <w:highlight w:val="none"/>
                <w:lang w:val="en-US" w:eastAsia="zh-CN"/>
              </w:rPr>
              <w:t>100%</w:t>
            </w:r>
          </w:p>
        </w:tc>
        <w:tc>
          <w:tcPr>
            <w:tcW w:w="853" w:type="dxa"/>
            <w:shd w:val="clear" w:color="auto" w:fill="FFFFFF"/>
            <w:vAlign w:val="center"/>
          </w:tcPr>
          <w:p w14:paraId="6A8526E6">
            <w:pPr>
              <w:widowControl/>
              <w:spacing w:line="0" w:lineRule="atLeast"/>
              <w:jc w:val="center"/>
              <w:rPr>
                <w:color w:val="000000"/>
                <w:kern w:val="0"/>
                <w:sz w:val="22"/>
                <w:szCs w:val="22"/>
                <w:highlight w:val="none"/>
              </w:rPr>
            </w:pPr>
            <w:r>
              <w:rPr>
                <w:rFonts w:hint="eastAsia"/>
                <w:color w:val="000000"/>
                <w:kern w:val="0"/>
                <w:sz w:val="22"/>
                <w:szCs w:val="22"/>
                <w:highlight w:val="none"/>
              </w:rPr>
              <w:t>4</w:t>
            </w:r>
          </w:p>
        </w:tc>
      </w:tr>
      <w:tr w14:paraId="44EB927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jc w:val="center"/>
        </w:trPr>
        <w:tc>
          <w:tcPr>
            <w:tcW w:w="1104" w:type="dxa"/>
            <w:vMerge w:val="continue"/>
            <w:shd w:val="clear" w:color="auto" w:fill="FFFFFF"/>
            <w:vAlign w:val="center"/>
          </w:tcPr>
          <w:p w14:paraId="21032397">
            <w:pPr>
              <w:widowControl/>
              <w:spacing w:line="0" w:lineRule="atLeast"/>
              <w:jc w:val="center"/>
              <w:rPr>
                <w:color w:val="000000"/>
                <w:kern w:val="0"/>
                <w:sz w:val="22"/>
                <w:szCs w:val="22"/>
              </w:rPr>
            </w:pPr>
          </w:p>
        </w:tc>
        <w:tc>
          <w:tcPr>
            <w:tcW w:w="759" w:type="dxa"/>
            <w:vMerge w:val="continue"/>
            <w:shd w:val="clear" w:color="auto" w:fill="FFFFFF"/>
            <w:vAlign w:val="center"/>
          </w:tcPr>
          <w:p w14:paraId="4749AEEF">
            <w:pPr>
              <w:widowControl/>
              <w:spacing w:line="0" w:lineRule="atLeast"/>
              <w:jc w:val="center"/>
              <w:rPr>
                <w:color w:val="000000"/>
                <w:kern w:val="0"/>
                <w:sz w:val="22"/>
                <w:szCs w:val="22"/>
              </w:rPr>
            </w:pPr>
          </w:p>
        </w:tc>
        <w:tc>
          <w:tcPr>
            <w:tcW w:w="1514" w:type="dxa"/>
            <w:vMerge w:val="continue"/>
            <w:shd w:val="clear" w:color="auto" w:fill="FFFFFF"/>
            <w:vAlign w:val="center"/>
          </w:tcPr>
          <w:p w14:paraId="71B3808F">
            <w:pPr>
              <w:widowControl/>
              <w:spacing w:line="0" w:lineRule="atLeast"/>
              <w:jc w:val="center"/>
              <w:rPr>
                <w:color w:val="000000"/>
                <w:kern w:val="0"/>
                <w:sz w:val="22"/>
                <w:szCs w:val="22"/>
              </w:rPr>
            </w:pPr>
          </w:p>
        </w:tc>
        <w:tc>
          <w:tcPr>
            <w:tcW w:w="1707" w:type="dxa"/>
            <w:shd w:val="clear" w:color="auto" w:fill="FFFFFF"/>
            <w:vAlign w:val="center"/>
          </w:tcPr>
          <w:p w14:paraId="1081DF08">
            <w:pPr>
              <w:widowControl/>
              <w:spacing w:line="0" w:lineRule="atLeast"/>
              <w:jc w:val="center"/>
              <w:rPr>
                <w:color w:val="000000"/>
                <w:kern w:val="0"/>
                <w:sz w:val="22"/>
                <w:szCs w:val="22"/>
              </w:rPr>
            </w:pPr>
            <w:r>
              <w:rPr>
                <w:color w:val="000000"/>
                <w:kern w:val="0"/>
                <w:sz w:val="22"/>
                <w:szCs w:val="22"/>
              </w:rPr>
              <w:t>资金分配</w:t>
            </w:r>
          </w:p>
          <w:p w14:paraId="5239875E">
            <w:pPr>
              <w:widowControl/>
              <w:spacing w:line="0" w:lineRule="atLeast"/>
              <w:jc w:val="center"/>
              <w:rPr>
                <w:color w:val="000000"/>
                <w:kern w:val="0"/>
                <w:sz w:val="22"/>
                <w:szCs w:val="22"/>
              </w:rPr>
            </w:pPr>
            <w:r>
              <w:rPr>
                <w:color w:val="000000"/>
                <w:kern w:val="0"/>
                <w:sz w:val="22"/>
                <w:szCs w:val="22"/>
              </w:rPr>
              <w:t>合理性</w:t>
            </w:r>
          </w:p>
        </w:tc>
        <w:tc>
          <w:tcPr>
            <w:tcW w:w="727" w:type="dxa"/>
            <w:shd w:val="clear" w:color="auto" w:fill="FFFFFF"/>
            <w:vAlign w:val="center"/>
          </w:tcPr>
          <w:p w14:paraId="3114445E">
            <w:pPr>
              <w:widowControl/>
              <w:spacing w:line="0" w:lineRule="atLeast"/>
              <w:jc w:val="center"/>
              <w:rPr>
                <w:color w:val="000000"/>
                <w:kern w:val="0"/>
                <w:sz w:val="22"/>
                <w:szCs w:val="22"/>
                <w:highlight w:val="none"/>
              </w:rPr>
            </w:pPr>
            <w:r>
              <w:rPr>
                <w:rFonts w:hint="eastAsia"/>
                <w:color w:val="000000"/>
                <w:kern w:val="0"/>
                <w:sz w:val="22"/>
                <w:szCs w:val="22"/>
                <w:highlight w:val="none"/>
              </w:rPr>
              <w:t>3</w:t>
            </w:r>
          </w:p>
        </w:tc>
        <w:tc>
          <w:tcPr>
            <w:tcW w:w="1044" w:type="dxa"/>
            <w:shd w:val="clear" w:color="auto" w:fill="FFFFFF"/>
            <w:vAlign w:val="center"/>
          </w:tcPr>
          <w:p w14:paraId="7469C5D5">
            <w:pPr>
              <w:widowControl/>
              <w:spacing w:line="0" w:lineRule="atLeast"/>
              <w:jc w:val="center"/>
              <w:rPr>
                <w:color w:val="000000"/>
                <w:kern w:val="0"/>
                <w:sz w:val="22"/>
                <w:szCs w:val="22"/>
                <w:highlight w:val="none"/>
              </w:rPr>
            </w:pPr>
            <w:r>
              <w:rPr>
                <w:color w:val="000000"/>
                <w:kern w:val="0"/>
                <w:sz w:val="22"/>
                <w:szCs w:val="22"/>
                <w:highlight w:val="none"/>
              </w:rPr>
              <w:t>合理</w:t>
            </w:r>
          </w:p>
        </w:tc>
        <w:tc>
          <w:tcPr>
            <w:tcW w:w="924" w:type="dxa"/>
            <w:shd w:val="clear" w:color="auto" w:fill="FFFFFF"/>
            <w:vAlign w:val="center"/>
          </w:tcPr>
          <w:p w14:paraId="31F97432">
            <w:pPr>
              <w:widowControl/>
              <w:spacing w:line="0" w:lineRule="atLeast"/>
              <w:jc w:val="center"/>
              <w:rPr>
                <w:color w:val="000000"/>
                <w:kern w:val="0"/>
                <w:sz w:val="22"/>
                <w:szCs w:val="22"/>
                <w:highlight w:val="none"/>
              </w:rPr>
            </w:pPr>
            <w:r>
              <w:rPr>
                <w:color w:val="000000"/>
                <w:kern w:val="0"/>
                <w:sz w:val="22"/>
                <w:szCs w:val="22"/>
                <w:highlight w:val="none"/>
              </w:rPr>
              <w:t>合理</w:t>
            </w:r>
          </w:p>
        </w:tc>
        <w:tc>
          <w:tcPr>
            <w:tcW w:w="1022" w:type="dxa"/>
            <w:shd w:val="clear" w:color="auto" w:fill="FFFFFF"/>
            <w:vAlign w:val="center"/>
          </w:tcPr>
          <w:p w14:paraId="38AB0C60">
            <w:pPr>
              <w:widowControl/>
              <w:spacing w:line="0" w:lineRule="atLeast"/>
              <w:jc w:val="center"/>
              <w:rPr>
                <w:color w:val="000000"/>
                <w:kern w:val="0"/>
                <w:sz w:val="22"/>
                <w:szCs w:val="22"/>
                <w:highlight w:val="none"/>
              </w:rPr>
            </w:pPr>
            <w:r>
              <w:rPr>
                <w:rFonts w:hint="eastAsia"/>
                <w:color w:val="000000"/>
                <w:kern w:val="0"/>
                <w:sz w:val="22"/>
                <w:szCs w:val="22"/>
                <w:highlight w:val="none"/>
                <w:lang w:val="en-US" w:eastAsia="zh-CN"/>
              </w:rPr>
              <w:t>100%</w:t>
            </w:r>
          </w:p>
        </w:tc>
        <w:tc>
          <w:tcPr>
            <w:tcW w:w="853" w:type="dxa"/>
            <w:shd w:val="clear" w:color="auto" w:fill="FFFFFF"/>
            <w:vAlign w:val="center"/>
          </w:tcPr>
          <w:p w14:paraId="42196B4A">
            <w:pPr>
              <w:widowControl/>
              <w:spacing w:line="0" w:lineRule="atLeast"/>
              <w:jc w:val="center"/>
              <w:rPr>
                <w:color w:val="000000"/>
                <w:kern w:val="0"/>
                <w:sz w:val="22"/>
                <w:szCs w:val="22"/>
                <w:highlight w:val="none"/>
              </w:rPr>
            </w:pPr>
            <w:r>
              <w:rPr>
                <w:rFonts w:hint="eastAsia"/>
                <w:color w:val="000000"/>
                <w:kern w:val="0"/>
                <w:sz w:val="22"/>
                <w:szCs w:val="22"/>
                <w:highlight w:val="none"/>
              </w:rPr>
              <w:t>3</w:t>
            </w:r>
          </w:p>
        </w:tc>
      </w:tr>
      <w:tr w14:paraId="2044705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jc w:val="center"/>
        </w:trPr>
        <w:tc>
          <w:tcPr>
            <w:tcW w:w="1104" w:type="dxa"/>
            <w:vMerge w:val="restart"/>
            <w:shd w:val="clear" w:color="auto" w:fill="FFFFFF"/>
            <w:vAlign w:val="center"/>
          </w:tcPr>
          <w:p w14:paraId="22BEFD22">
            <w:pPr>
              <w:spacing w:line="0" w:lineRule="atLeast"/>
              <w:jc w:val="center"/>
              <w:rPr>
                <w:color w:val="000000"/>
                <w:kern w:val="0"/>
                <w:sz w:val="22"/>
                <w:szCs w:val="22"/>
              </w:rPr>
            </w:pPr>
            <w:r>
              <w:rPr>
                <w:color w:val="000000"/>
                <w:kern w:val="0"/>
                <w:sz w:val="22"/>
                <w:szCs w:val="22"/>
              </w:rPr>
              <w:t>过程</w:t>
            </w:r>
          </w:p>
          <w:p w14:paraId="27F8877A">
            <w:pPr>
              <w:spacing w:line="0" w:lineRule="atLeast"/>
              <w:jc w:val="center"/>
              <w:rPr>
                <w:color w:val="000000"/>
                <w:kern w:val="0"/>
                <w:sz w:val="22"/>
                <w:szCs w:val="22"/>
              </w:rPr>
            </w:pPr>
            <w:r>
              <w:rPr>
                <w:color w:val="000000"/>
                <w:kern w:val="0"/>
                <w:sz w:val="22"/>
                <w:szCs w:val="22"/>
              </w:rPr>
              <w:t>　</w:t>
            </w:r>
          </w:p>
        </w:tc>
        <w:tc>
          <w:tcPr>
            <w:tcW w:w="759" w:type="dxa"/>
            <w:vMerge w:val="restart"/>
            <w:shd w:val="clear" w:color="auto" w:fill="FFFFFF"/>
            <w:vAlign w:val="center"/>
          </w:tcPr>
          <w:p w14:paraId="1C2B02ED">
            <w:pPr>
              <w:widowControl/>
              <w:spacing w:line="0" w:lineRule="atLeast"/>
              <w:jc w:val="center"/>
              <w:rPr>
                <w:color w:val="000000"/>
                <w:kern w:val="0"/>
                <w:sz w:val="22"/>
                <w:szCs w:val="22"/>
              </w:rPr>
            </w:pPr>
            <w:r>
              <w:rPr>
                <w:rFonts w:hint="eastAsia"/>
                <w:kern w:val="0"/>
                <w:sz w:val="22"/>
                <w:szCs w:val="22"/>
              </w:rPr>
              <w:t>20</w:t>
            </w:r>
            <w:r>
              <w:rPr>
                <w:kern w:val="0"/>
                <w:sz w:val="22"/>
                <w:szCs w:val="22"/>
              </w:rPr>
              <w:t>分</w:t>
            </w:r>
          </w:p>
        </w:tc>
        <w:tc>
          <w:tcPr>
            <w:tcW w:w="1514" w:type="dxa"/>
            <w:vMerge w:val="restart"/>
            <w:shd w:val="clear" w:color="auto" w:fill="FFFFFF"/>
            <w:vAlign w:val="center"/>
          </w:tcPr>
          <w:p w14:paraId="221F6AAC">
            <w:pPr>
              <w:widowControl/>
              <w:spacing w:line="0" w:lineRule="atLeast"/>
              <w:jc w:val="center"/>
              <w:rPr>
                <w:color w:val="000000"/>
                <w:kern w:val="0"/>
                <w:sz w:val="22"/>
                <w:szCs w:val="22"/>
              </w:rPr>
            </w:pPr>
            <w:r>
              <w:rPr>
                <w:color w:val="000000"/>
                <w:kern w:val="0"/>
                <w:sz w:val="22"/>
                <w:szCs w:val="22"/>
              </w:rPr>
              <w:t>资金管理</w:t>
            </w:r>
          </w:p>
        </w:tc>
        <w:tc>
          <w:tcPr>
            <w:tcW w:w="1707" w:type="dxa"/>
            <w:shd w:val="clear" w:color="auto" w:fill="FFFFFF"/>
            <w:vAlign w:val="center"/>
          </w:tcPr>
          <w:p w14:paraId="66041A91">
            <w:pPr>
              <w:widowControl/>
              <w:spacing w:line="0" w:lineRule="atLeast"/>
              <w:jc w:val="center"/>
              <w:rPr>
                <w:color w:val="000000"/>
                <w:kern w:val="0"/>
                <w:sz w:val="22"/>
                <w:szCs w:val="22"/>
              </w:rPr>
            </w:pPr>
            <w:r>
              <w:rPr>
                <w:color w:val="000000"/>
                <w:kern w:val="0"/>
                <w:sz w:val="22"/>
                <w:szCs w:val="22"/>
              </w:rPr>
              <w:t>资金到位率</w:t>
            </w:r>
          </w:p>
        </w:tc>
        <w:tc>
          <w:tcPr>
            <w:tcW w:w="727" w:type="dxa"/>
            <w:shd w:val="clear" w:color="000000" w:fill="FFFFFF"/>
            <w:vAlign w:val="center"/>
          </w:tcPr>
          <w:p w14:paraId="223845C0">
            <w:pPr>
              <w:widowControl/>
              <w:spacing w:line="0" w:lineRule="atLeast"/>
              <w:jc w:val="center"/>
              <w:rPr>
                <w:color w:val="000000"/>
                <w:kern w:val="0"/>
                <w:sz w:val="22"/>
                <w:szCs w:val="22"/>
                <w:highlight w:val="none"/>
              </w:rPr>
            </w:pPr>
            <w:r>
              <w:rPr>
                <w:rFonts w:hint="eastAsia"/>
                <w:color w:val="000000"/>
                <w:kern w:val="0"/>
                <w:sz w:val="22"/>
                <w:szCs w:val="22"/>
                <w:highlight w:val="none"/>
              </w:rPr>
              <w:t>4</w:t>
            </w:r>
          </w:p>
        </w:tc>
        <w:tc>
          <w:tcPr>
            <w:tcW w:w="1044" w:type="dxa"/>
            <w:shd w:val="clear" w:color="000000" w:fill="FFFFFF"/>
            <w:vAlign w:val="center"/>
          </w:tcPr>
          <w:p w14:paraId="443CBFBF">
            <w:pPr>
              <w:widowControl/>
              <w:spacing w:line="0" w:lineRule="atLeast"/>
              <w:jc w:val="center"/>
              <w:rPr>
                <w:color w:val="000000"/>
                <w:kern w:val="0"/>
                <w:sz w:val="22"/>
                <w:szCs w:val="22"/>
                <w:highlight w:val="none"/>
              </w:rPr>
            </w:pPr>
            <w:r>
              <w:rPr>
                <w:color w:val="000000"/>
                <w:kern w:val="0"/>
                <w:sz w:val="22"/>
                <w:szCs w:val="22"/>
                <w:highlight w:val="none"/>
              </w:rPr>
              <w:t>100%</w:t>
            </w:r>
          </w:p>
        </w:tc>
        <w:tc>
          <w:tcPr>
            <w:tcW w:w="924" w:type="dxa"/>
            <w:shd w:val="clear" w:color="000000" w:fill="FFFFFF"/>
            <w:vAlign w:val="center"/>
          </w:tcPr>
          <w:p w14:paraId="5C5B6DA6">
            <w:pPr>
              <w:widowControl/>
              <w:spacing w:line="0" w:lineRule="atLeast"/>
              <w:jc w:val="center"/>
              <w:rPr>
                <w:color w:val="000000"/>
                <w:kern w:val="0"/>
                <w:sz w:val="22"/>
                <w:szCs w:val="22"/>
                <w:highlight w:val="none"/>
              </w:rPr>
            </w:pPr>
            <w:r>
              <w:rPr>
                <w:rFonts w:hint="eastAsia"/>
                <w:color w:val="000000"/>
                <w:kern w:val="0"/>
                <w:sz w:val="22"/>
                <w:szCs w:val="22"/>
                <w:highlight w:val="none"/>
                <w:lang w:val="en-US" w:eastAsia="zh-CN"/>
              </w:rPr>
              <w:t>100</w:t>
            </w:r>
            <w:r>
              <w:rPr>
                <w:color w:val="000000"/>
                <w:kern w:val="0"/>
                <w:sz w:val="22"/>
                <w:szCs w:val="22"/>
                <w:highlight w:val="none"/>
              </w:rPr>
              <w:t>%</w:t>
            </w:r>
          </w:p>
        </w:tc>
        <w:tc>
          <w:tcPr>
            <w:tcW w:w="1022" w:type="dxa"/>
            <w:shd w:val="clear" w:color="000000" w:fill="FFFFFF"/>
            <w:vAlign w:val="center"/>
          </w:tcPr>
          <w:p w14:paraId="4F88FC7E">
            <w:pPr>
              <w:widowControl/>
              <w:spacing w:line="0" w:lineRule="atLeast"/>
              <w:jc w:val="center"/>
              <w:rPr>
                <w:color w:val="000000"/>
                <w:kern w:val="0"/>
                <w:sz w:val="22"/>
                <w:szCs w:val="22"/>
                <w:highlight w:val="none"/>
              </w:rPr>
            </w:pPr>
            <w:r>
              <w:rPr>
                <w:rFonts w:hint="eastAsia"/>
                <w:color w:val="000000"/>
                <w:kern w:val="0"/>
                <w:sz w:val="22"/>
                <w:szCs w:val="22"/>
                <w:highlight w:val="none"/>
                <w:lang w:val="en-US" w:eastAsia="zh-CN"/>
              </w:rPr>
              <w:t>100%</w:t>
            </w:r>
          </w:p>
        </w:tc>
        <w:tc>
          <w:tcPr>
            <w:tcW w:w="853" w:type="dxa"/>
            <w:shd w:val="clear" w:color="000000" w:fill="FFFFFF"/>
            <w:vAlign w:val="center"/>
          </w:tcPr>
          <w:p w14:paraId="6822C786">
            <w:pPr>
              <w:widowControl/>
              <w:spacing w:line="0" w:lineRule="atLeast"/>
              <w:jc w:val="center"/>
              <w:rPr>
                <w:color w:val="000000"/>
                <w:kern w:val="0"/>
                <w:sz w:val="22"/>
                <w:szCs w:val="22"/>
                <w:highlight w:val="none"/>
              </w:rPr>
            </w:pPr>
            <w:r>
              <w:rPr>
                <w:rFonts w:hint="eastAsia"/>
                <w:color w:val="000000"/>
                <w:kern w:val="0"/>
                <w:sz w:val="22"/>
                <w:szCs w:val="22"/>
                <w:highlight w:val="none"/>
              </w:rPr>
              <w:t>4</w:t>
            </w:r>
          </w:p>
        </w:tc>
      </w:tr>
      <w:tr w14:paraId="7DA8D43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jc w:val="center"/>
        </w:trPr>
        <w:tc>
          <w:tcPr>
            <w:tcW w:w="1104" w:type="dxa"/>
            <w:vMerge w:val="continue"/>
            <w:shd w:val="clear" w:color="auto" w:fill="FFFFFF"/>
            <w:vAlign w:val="center"/>
          </w:tcPr>
          <w:p w14:paraId="3F0D68C4">
            <w:pPr>
              <w:spacing w:line="0" w:lineRule="atLeast"/>
              <w:jc w:val="center"/>
              <w:rPr>
                <w:color w:val="000000"/>
                <w:kern w:val="0"/>
                <w:sz w:val="22"/>
                <w:szCs w:val="22"/>
              </w:rPr>
            </w:pPr>
          </w:p>
        </w:tc>
        <w:tc>
          <w:tcPr>
            <w:tcW w:w="759" w:type="dxa"/>
            <w:vMerge w:val="continue"/>
            <w:shd w:val="clear" w:color="auto" w:fill="FFFFFF"/>
            <w:vAlign w:val="center"/>
          </w:tcPr>
          <w:p w14:paraId="3522F304">
            <w:pPr>
              <w:spacing w:line="0" w:lineRule="atLeast"/>
              <w:jc w:val="center"/>
              <w:rPr>
                <w:color w:val="000000"/>
                <w:kern w:val="0"/>
                <w:sz w:val="22"/>
                <w:szCs w:val="22"/>
              </w:rPr>
            </w:pPr>
          </w:p>
        </w:tc>
        <w:tc>
          <w:tcPr>
            <w:tcW w:w="1514" w:type="dxa"/>
            <w:vMerge w:val="continue"/>
            <w:shd w:val="clear" w:color="auto" w:fill="FFFFFF"/>
            <w:vAlign w:val="center"/>
          </w:tcPr>
          <w:p w14:paraId="5801E21B">
            <w:pPr>
              <w:spacing w:line="0" w:lineRule="atLeast"/>
              <w:jc w:val="center"/>
              <w:rPr>
                <w:color w:val="000000"/>
                <w:kern w:val="0"/>
                <w:sz w:val="22"/>
                <w:szCs w:val="22"/>
              </w:rPr>
            </w:pPr>
          </w:p>
        </w:tc>
        <w:tc>
          <w:tcPr>
            <w:tcW w:w="1707" w:type="dxa"/>
            <w:shd w:val="clear" w:color="auto" w:fill="FFFFFF"/>
            <w:vAlign w:val="center"/>
          </w:tcPr>
          <w:p w14:paraId="4AEB23C1">
            <w:pPr>
              <w:widowControl/>
              <w:spacing w:line="0" w:lineRule="atLeast"/>
              <w:jc w:val="center"/>
              <w:rPr>
                <w:color w:val="000000"/>
                <w:kern w:val="0"/>
                <w:sz w:val="22"/>
                <w:szCs w:val="22"/>
                <w:highlight w:val="none"/>
              </w:rPr>
            </w:pPr>
            <w:r>
              <w:rPr>
                <w:color w:val="000000"/>
                <w:kern w:val="0"/>
                <w:sz w:val="22"/>
                <w:szCs w:val="22"/>
                <w:highlight w:val="none"/>
              </w:rPr>
              <w:t>预算执行率</w:t>
            </w:r>
          </w:p>
        </w:tc>
        <w:tc>
          <w:tcPr>
            <w:tcW w:w="727" w:type="dxa"/>
            <w:shd w:val="clear" w:color="auto" w:fill="FFFFFF"/>
            <w:vAlign w:val="center"/>
          </w:tcPr>
          <w:p w14:paraId="3F7F3DAA">
            <w:pPr>
              <w:widowControl/>
              <w:spacing w:line="0" w:lineRule="atLeast"/>
              <w:jc w:val="center"/>
              <w:rPr>
                <w:color w:val="000000"/>
                <w:kern w:val="0"/>
                <w:sz w:val="22"/>
                <w:szCs w:val="22"/>
                <w:highlight w:val="none"/>
              </w:rPr>
            </w:pPr>
            <w:r>
              <w:rPr>
                <w:rFonts w:hint="eastAsia"/>
                <w:color w:val="000000"/>
                <w:kern w:val="0"/>
                <w:sz w:val="22"/>
                <w:szCs w:val="22"/>
                <w:highlight w:val="none"/>
              </w:rPr>
              <w:t>4</w:t>
            </w:r>
          </w:p>
        </w:tc>
        <w:tc>
          <w:tcPr>
            <w:tcW w:w="1044" w:type="dxa"/>
            <w:shd w:val="clear" w:color="auto" w:fill="FFFFFF"/>
            <w:vAlign w:val="center"/>
          </w:tcPr>
          <w:p w14:paraId="446998A4">
            <w:pPr>
              <w:widowControl/>
              <w:spacing w:line="0" w:lineRule="atLeast"/>
              <w:jc w:val="center"/>
              <w:rPr>
                <w:color w:val="000000"/>
                <w:kern w:val="0"/>
                <w:sz w:val="22"/>
                <w:szCs w:val="22"/>
                <w:highlight w:val="none"/>
              </w:rPr>
            </w:pPr>
            <w:r>
              <w:rPr>
                <w:color w:val="000000"/>
                <w:kern w:val="0"/>
                <w:sz w:val="22"/>
                <w:szCs w:val="22"/>
                <w:highlight w:val="none"/>
              </w:rPr>
              <w:t>100%</w:t>
            </w:r>
          </w:p>
        </w:tc>
        <w:tc>
          <w:tcPr>
            <w:tcW w:w="924" w:type="dxa"/>
            <w:shd w:val="clear" w:color="auto" w:fill="FFFFFF"/>
            <w:vAlign w:val="center"/>
          </w:tcPr>
          <w:p w14:paraId="2E44DF3F">
            <w:pPr>
              <w:widowControl/>
              <w:spacing w:line="0" w:lineRule="atLeast"/>
              <w:jc w:val="center"/>
              <w:rPr>
                <w:color w:val="000000"/>
                <w:kern w:val="0"/>
                <w:sz w:val="22"/>
                <w:szCs w:val="22"/>
                <w:highlight w:val="none"/>
              </w:rPr>
            </w:pPr>
            <w:r>
              <w:rPr>
                <w:rFonts w:hint="eastAsia"/>
                <w:color w:val="000000"/>
                <w:kern w:val="0"/>
                <w:sz w:val="22"/>
                <w:szCs w:val="22"/>
                <w:highlight w:val="none"/>
                <w:lang w:val="en-US" w:eastAsia="zh-CN"/>
              </w:rPr>
              <w:t>99.99</w:t>
            </w:r>
            <w:r>
              <w:rPr>
                <w:color w:val="000000"/>
                <w:kern w:val="0"/>
                <w:sz w:val="22"/>
                <w:szCs w:val="22"/>
                <w:highlight w:val="none"/>
              </w:rPr>
              <w:t>%</w:t>
            </w:r>
          </w:p>
        </w:tc>
        <w:tc>
          <w:tcPr>
            <w:tcW w:w="1022" w:type="dxa"/>
            <w:shd w:val="clear" w:color="auto" w:fill="FFFFFF"/>
            <w:vAlign w:val="center"/>
          </w:tcPr>
          <w:p w14:paraId="527D813D">
            <w:pPr>
              <w:widowControl/>
              <w:spacing w:line="0" w:lineRule="atLeast"/>
              <w:jc w:val="center"/>
              <w:rPr>
                <w:color w:val="000000"/>
                <w:kern w:val="0"/>
                <w:sz w:val="22"/>
                <w:szCs w:val="22"/>
                <w:highlight w:val="none"/>
              </w:rPr>
            </w:pPr>
            <w:r>
              <w:rPr>
                <w:rFonts w:hint="eastAsia"/>
                <w:color w:val="000000"/>
                <w:kern w:val="0"/>
                <w:sz w:val="22"/>
                <w:szCs w:val="22"/>
                <w:highlight w:val="none"/>
                <w:lang w:val="en-US" w:eastAsia="zh-CN"/>
              </w:rPr>
              <w:t>75%</w:t>
            </w:r>
          </w:p>
        </w:tc>
        <w:tc>
          <w:tcPr>
            <w:tcW w:w="853" w:type="dxa"/>
            <w:shd w:val="clear" w:color="auto" w:fill="FFFFFF"/>
            <w:vAlign w:val="center"/>
          </w:tcPr>
          <w:p w14:paraId="71E3DA48">
            <w:pPr>
              <w:widowControl/>
              <w:spacing w:line="0" w:lineRule="atLeast"/>
              <w:jc w:val="center"/>
              <w:rPr>
                <w:rFonts w:hint="eastAsia" w:eastAsia="宋体"/>
                <w:color w:val="000000"/>
                <w:kern w:val="0"/>
                <w:sz w:val="22"/>
                <w:szCs w:val="22"/>
                <w:highlight w:val="none"/>
                <w:lang w:eastAsia="zh-CN"/>
              </w:rPr>
            </w:pPr>
            <w:r>
              <w:rPr>
                <w:rFonts w:hint="eastAsia"/>
                <w:color w:val="000000"/>
                <w:kern w:val="0"/>
                <w:sz w:val="22"/>
                <w:szCs w:val="22"/>
                <w:highlight w:val="none"/>
                <w:lang w:val="en-US" w:eastAsia="zh-CN"/>
              </w:rPr>
              <w:t>3</w:t>
            </w:r>
          </w:p>
        </w:tc>
      </w:tr>
      <w:tr w14:paraId="4ABD6C9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jc w:val="center"/>
        </w:trPr>
        <w:tc>
          <w:tcPr>
            <w:tcW w:w="1104" w:type="dxa"/>
            <w:vMerge w:val="continue"/>
            <w:shd w:val="clear" w:color="auto" w:fill="FFFFFF"/>
            <w:vAlign w:val="center"/>
          </w:tcPr>
          <w:p w14:paraId="147630B9">
            <w:pPr>
              <w:spacing w:line="0" w:lineRule="atLeast"/>
              <w:jc w:val="center"/>
              <w:rPr>
                <w:color w:val="000000"/>
                <w:kern w:val="0"/>
                <w:sz w:val="22"/>
                <w:szCs w:val="22"/>
              </w:rPr>
            </w:pPr>
          </w:p>
        </w:tc>
        <w:tc>
          <w:tcPr>
            <w:tcW w:w="759" w:type="dxa"/>
            <w:vMerge w:val="continue"/>
            <w:shd w:val="clear" w:color="auto" w:fill="FFFFFF"/>
            <w:vAlign w:val="center"/>
          </w:tcPr>
          <w:p w14:paraId="06DF0335">
            <w:pPr>
              <w:widowControl/>
              <w:spacing w:line="0" w:lineRule="atLeast"/>
              <w:jc w:val="center"/>
              <w:rPr>
                <w:color w:val="000000"/>
                <w:kern w:val="0"/>
                <w:sz w:val="22"/>
                <w:szCs w:val="22"/>
              </w:rPr>
            </w:pPr>
          </w:p>
        </w:tc>
        <w:tc>
          <w:tcPr>
            <w:tcW w:w="1514" w:type="dxa"/>
            <w:shd w:val="clear" w:color="auto" w:fill="FFFFFF"/>
            <w:vAlign w:val="center"/>
          </w:tcPr>
          <w:p w14:paraId="204D0527">
            <w:pPr>
              <w:widowControl/>
              <w:spacing w:line="0" w:lineRule="atLeast"/>
              <w:jc w:val="center"/>
              <w:rPr>
                <w:color w:val="000000"/>
                <w:kern w:val="0"/>
                <w:sz w:val="22"/>
                <w:szCs w:val="22"/>
              </w:rPr>
            </w:pPr>
            <w:r>
              <w:rPr>
                <w:color w:val="000000"/>
                <w:kern w:val="0"/>
                <w:sz w:val="22"/>
                <w:szCs w:val="22"/>
              </w:rPr>
              <w:t>资金管理</w:t>
            </w:r>
          </w:p>
        </w:tc>
        <w:tc>
          <w:tcPr>
            <w:tcW w:w="1707" w:type="dxa"/>
            <w:shd w:val="clear" w:color="auto" w:fill="FFFFFF"/>
            <w:vAlign w:val="center"/>
          </w:tcPr>
          <w:p w14:paraId="01C0B457">
            <w:pPr>
              <w:widowControl/>
              <w:spacing w:line="0" w:lineRule="atLeast"/>
              <w:jc w:val="center"/>
              <w:rPr>
                <w:color w:val="000000"/>
                <w:kern w:val="0"/>
                <w:sz w:val="22"/>
                <w:szCs w:val="22"/>
              </w:rPr>
            </w:pPr>
            <w:r>
              <w:rPr>
                <w:color w:val="000000"/>
                <w:kern w:val="0"/>
                <w:sz w:val="22"/>
                <w:szCs w:val="22"/>
              </w:rPr>
              <w:t>资金使用</w:t>
            </w:r>
          </w:p>
          <w:p w14:paraId="3E829DA1">
            <w:pPr>
              <w:widowControl/>
              <w:spacing w:line="0" w:lineRule="atLeast"/>
              <w:jc w:val="center"/>
              <w:rPr>
                <w:color w:val="000000"/>
                <w:kern w:val="0"/>
                <w:sz w:val="22"/>
                <w:szCs w:val="22"/>
              </w:rPr>
            </w:pPr>
            <w:r>
              <w:rPr>
                <w:color w:val="000000"/>
                <w:kern w:val="0"/>
                <w:sz w:val="22"/>
                <w:szCs w:val="22"/>
              </w:rPr>
              <w:t>合规性</w:t>
            </w:r>
          </w:p>
        </w:tc>
        <w:tc>
          <w:tcPr>
            <w:tcW w:w="727" w:type="dxa"/>
            <w:shd w:val="clear" w:color="000000" w:fill="FFFFFF"/>
            <w:vAlign w:val="center"/>
          </w:tcPr>
          <w:p w14:paraId="52CE383F">
            <w:pPr>
              <w:widowControl/>
              <w:spacing w:line="0" w:lineRule="atLeast"/>
              <w:jc w:val="center"/>
              <w:rPr>
                <w:color w:val="000000"/>
                <w:kern w:val="0"/>
                <w:sz w:val="22"/>
                <w:szCs w:val="22"/>
                <w:highlight w:val="none"/>
              </w:rPr>
            </w:pPr>
            <w:r>
              <w:rPr>
                <w:rFonts w:hint="eastAsia"/>
                <w:color w:val="000000"/>
                <w:kern w:val="0"/>
                <w:sz w:val="22"/>
                <w:szCs w:val="22"/>
                <w:highlight w:val="none"/>
              </w:rPr>
              <w:t>4</w:t>
            </w:r>
          </w:p>
        </w:tc>
        <w:tc>
          <w:tcPr>
            <w:tcW w:w="1044" w:type="dxa"/>
            <w:shd w:val="clear" w:color="000000" w:fill="FFFFFF"/>
            <w:vAlign w:val="center"/>
          </w:tcPr>
          <w:p w14:paraId="39FD016C">
            <w:pPr>
              <w:widowControl/>
              <w:spacing w:line="0" w:lineRule="atLeast"/>
              <w:jc w:val="center"/>
              <w:rPr>
                <w:color w:val="000000"/>
                <w:kern w:val="0"/>
                <w:sz w:val="22"/>
                <w:szCs w:val="22"/>
                <w:highlight w:val="none"/>
              </w:rPr>
            </w:pPr>
            <w:r>
              <w:rPr>
                <w:color w:val="000000"/>
                <w:kern w:val="0"/>
                <w:sz w:val="22"/>
                <w:szCs w:val="22"/>
                <w:highlight w:val="none"/>
              </w:rPr>
              <w:t>合格</w:t>
            </w:r>
          </w:p>
        </w:tc>
        <w:tc>
          <w:tcPr>
            <w:tcW w:w="924" w:type="dxa"/>
            <w:shd w:val="clear" w:color="000000" w:fill="FFFFFF"/>
            <w:vAlign w:val="center"/>
          </w:tcPr>
          <w:p w14:paraId="524C4577">
            <w:pPr>
              <w:widowControl/>
              <w:spacing w:line="0" w:lineRule="atLeast"/>
              <w:jc w:val="center"/>
              <w:rPr>
                <w:color w:val="000000"/>
                <w:kern w:val="0"/>
                <w:sz w:val="22"/>
                <w:szCs w:val="22"/>
                <w:highlight w:val="none"/>
              </w:rPr>
            </w:pPr>
            <w:r>
              <w:rPr>
                <w:color w:val="000000"/>
                <w:kern w:val="0"/>
                <w:sz w:val="22"/>
                <w:szCs w:val="22"/>
                <w:highlight w:val="none"/>
              </w:rPr>
              <w:t>合格</w:t>
            </w:r>
          </w:p>
        </w:tc>
        <w:tc>
          <w:tcPr>
            <w:tcW w:w="1022" w:type="dxa"/>
            <w:shd w:val="clear" w:color="000000" w:fill="FFFFFF"/>
            <w:vAlign w:val="center"/>
          </w:tcPr>
          <w:p w14:paraId="71E1FFAE">
            <w:pPr>
              <w:widowControl/>
              <w:spacing w:line="0" w:lineRule="atLeast"/>
              <w:jc w:val="center"/>
              <w:rPr>
                <w:color w:val="000000"/>
                <w:kern w:val="0"/>
                <w:sz w:val="22"/>
                <w:szCs w:val="22"/>
                <w:highlight w:val="none"/>
              </w:rPr>
            </w:pPr>
            <w:r>
              <w:rPr>
                <w:rFonts w:hint="eastAsia"/>
                <w:color w:val="000000"/>
                <w:kern w:val="0"/>
                <w:sz w:val="22"/>
                <w:szCs w:val="22"/>
                <w:highlight w:val="none"/>
                <w:lang w:val="en-US" w:eastAsia="zh-CN"/>
              </w:rPr>
              <w:t>100%</w:t>
            </w:r>
          </w:p>
        </w:tc>
        <w:tc>
          <w:tcPr>
            <w:tcW w:w="853" w:type="dxa"/>
            <w:shd w:val="clear" w:color="000000" w:fill="FFFFFF"/>
            <w:vAlign w:val="center"/>
          </w:tcPr>
          <w:p w14:paraId="5D212002">
            <w:pPr>
              <w:widowControl/>
              <w:spacing w:line="0" w:lineRule="atLeast"/>
              <w:jc w:val="center"/>
              <w:rPr>
                <w:color w:val="000000"/>
                <w:kern w:val="0"/>
                <w:sz w:val="22"/>
                <w:szCs w:val="22"/>
                <w:highlight w:val="none"/>
              </w:rPr>
            </w:pPr>
            <w:r>
              <w:rPr>
                <w:rFonts w:hint="eastAsia"/>
                <w:color w:val="000000"/>
                <w:kern w:val="0"/>
                <w:sz w:val="22"/>
                <w:szCs w:val="22"/>
                <w:highlight w:val="none"/>
              </w:rPr>
              <w:t>4</w:t>
            </w:r>
          </w:p>
        </w:tc>
      </w:tr>
      <w:tr w14:paraId="76D5A17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jc w:val="center"/>
        </w:trPr>
        <w:tc>
          <w:tcPr>
            <w:tcW w:w="1104" w:type="dxa"/>
            <w:vMerge w:val="continue"/>
            <w:shd w:val="clear" w:color="auto" w:fill="FFFFFF"/>
            <w:vAlign w:val="center"/>
          </w:tcPr>
          <w:p w14:paraId="6ECADF92">
            <w:pPr>
              <w:spacing w:line="0" w:lineRule="atLeast"/>
              <w:jc w:val="center"/>
              <w:rPr>
                <w:color w:val="000000"/>
                <w:kern w:val="0"/>
                <w:sz w:val="22"/>
                <w:szCs w:val="22"/>
              </w:rPr>
            </w:pPr>
          </w:p>
        </w:tc>
        <w:tc>
          <w:tcPr>
            <w:tcW w:w="759" w:type="dxa"/>
            <w:vMerge w:val="continue"/>
            <w:shd w:val="clear" w:color="auto" w:fill="FFFFFF"/>
            <w:vAlign w:val="center"/>
          </w:tcPr>
          <w:p w14:paraId="7A2DA5B8">
            <w:pPr>
              <w:spacing w:line="0" w:lineRule="atLeast"/>
              <w:jc w:val="center"/>
              <w:rPr>
                <w:color w:val="000000"/>
                <w:kern w:val="0"/>
                <w:sz w:val="22"/>
                <w:szCs w:val="22"/>
              </w:rPr>
            </w:pPr>
          </w:p>
        </w:tc>
        <w:tc>
          <w:tcPr>
            <w:tcW w:w="1514" w:type="dxa"/>
            <w:vMerge w:val="restart"/>
            <w:shd w:val="clear" w:color="auto" w:fill="FFFFFF"/>
            <w:vAlign w:val="center"/>
          </w:tcPr>
          <w:p w14:paraId="61144330">
            <w:pPr>
              <w:widowControl/>
              <w:spacing w:line="0" w:lineRule="atLeast"/>
              <w:jc w:val="center"/>
              <w:rPr>
                <w:color w:val="000000"/>
                <w:kern w:val="0"/>
                <w:sz w:val="22"/>
                <w:szCs w:val="22"/>
              </w:rPr>
            </w:pPr>
            <w:r>
              <w:rPr>
                <w:color w:val="000000"/>
                <w:kern w:val="0"/>
                <w:sz w:val="22"/>
                <w:szCs w:val="22"/>
              </w:rPr>
              <w:t>组织实施</w:t>
            </w:r>
          </w:p>
        </w:tc>
        <w:tc>
          <w:tcPr>
            <w:tcW w:w="1707" w:type="dxa"/>
            <w:shd w:val="clear" w:color="auto" w:fill="FFFFFF"/>
            <w:vAlign w:val="center"/>
          </w:tcPr>
          <w:p w14:paraId="6910EFF3">
            <w:pPr>
              <w:widowControl/>
              <w:spacing w:line="0" w:lineRule="atLeast"/>
              <w:jc w:val="center"/>
              <w:rPr>
                <w:color w:val="000000"/>
                <w:kern w:val="0"/>
                <w:sz w:val="22"/>
                <w:szCs w:val="22"/>
              </w:rPr>
            </w:pPr>
            <w:r>
              <w:rPr>
                <w:color w:val="000000"/>
                <w:kern w:val="0"/>
                <w:sz w:val="22"/>
                <w:szCs w:val="22"/>
              </w:rPr>
              <w:t>管理制度</w:t>
            </w:r>
          </w:p>
          <w:p w14:paraId="56B8E89A">
            <w:pPr>
              <w:widowControl/>
              <w:spacing w:line="0" w:lineRule="atLeast"/>
              <w:jc w:val="center"/>
              <w:rPr>
                <w:color w:val="000000"/>
                <w:kern w:val="0"/>
                <w:sz w:val="22"/>
                <w:szCs w:val="22"/>
              </w:rPr>
            </w:pPr>
            <w:r>
              <w:rPr>
                <w:color w:val="000000"/>
                <w:kern w:val="0"/>
                <w:sz w:val="22"/>
                <w:szCs w:val="22"/>
              </w:rPr>
              <w:t>健全性</w:t>
            </w:r>
          </w:p>
        </w:tc>
        <w:tc>
          <w:tcPr>
            <w:tcW w:w="727" w:type="dxa"/>
            <w:shd w:val="clear" w:color="000000" w:fill="FFFFFF"/>
            <w:vAlign w:val="center"/>
          </w:tcPr>
          <w:p w14:paraId="1ECE1A0E">
            <w:pPr>
              <w:widowControl/>
              <w:spacing w:line="0" w:lineRule="atLeast"/>
              <w:jc w:val="center"/>
              <w:rPr>
                <w:color w:val="000000"/>
                <w:kern w:val="0"/>
                <w:sz w:val="22"/>
                <w:szCs w:val="22"/>
                <w:highlight w:val="none"/>
              </w:rPr>
            </w:pPr>
            <w:r>
              <w:rPr>
                <w:rFonts w:hint="eastAsia"/>
                <w:color w:val="000000"/>
                <w:kern w:val="0"/>
                <w:sz w:val="22"/>
                <w:szCs w:val="22"/>
                <w:highlight w:val="none"/>
              </w:rPr>
              <w:t>4</w:t>
            </w:r>
          </w:p>
        </w:tc>
        <w:tc>
          <w:tcPr>
            <w:tcW w:w="1044" w:type="dxa"/>
            <w:shd w:val="clear" w:color="000000" w:fill="FFFFFF"/>
            <w:vAlign w:val="center"/>
          </w:tcPr>
          <w:p w14:paraId="4D1690D4">
            <w:pPr>
              <w:widowControl/>
              <w:spacing w:line="0" w:lineRule="atLeast"/>
              <w:jc w:val="center"/>
              <w:rPr>
                <w:color w:val="000000"/>
                <w:kern w:val="0"/>
                <w:sz w:val="22"/>
                <w:szCs w:val="22"/>
                <w:highlight w:val="none"/>
              </w:rPr>
            </w:pPr>
            <w:r>
              <w:rPr>
                <w:color w:val="000000"/>
                <w:kern w:val="0"/>
                <w:sz w:val="22"/>
                <w:szCs w:val="22"/>
                <w:highlight w:val="none"/>
              </w:rPr>
              <w:t>健全</w:t>
            </w:r>
          </w:p>
        </w:tc>
        <w:tc>
          <w:tcPr>
            <w:tcW w:w="924" w:type="dxa"/>
            <w:shd w:val="clear" w:color="000000" w:fill="FFFFFF"/>
            <w:vAlign w:val="center"/>
          </w:tcPr>
          <w:p w14:paraId="4AB26B21">
            <w:pPr>
              <w:widowControl/>
              <w:spacing w:line="0" w:lineRule="atLeast"/>
              <w:jc w:val="center"/>
              <w:rPr>
                <w:color w:val="000000"/>
                <w:kern w:val="0"/>
                <w:sz w:val="22"/>
                <w:szCs w:val="22"/>
                <w:highlight w:val="none"/>
              </w:rPr>
            </w:pPr>
            <w:r>
              <w:rPr>
                <w:color w:val="000000"/>
                <w:kern w:val="0"/>
                <w:sz w:val="22"/>
                <w:szCs w:val="22"/>
                <w:highlight w:val="none"/>
              </w:rPr>
              <w:t>健全</w:t>
            </w:r>
          </w:p>
        </w:tc>
        <w:tc>
          <w:tcPr>
            <w:tcW w:w="1022" w:type="dxa"/>
            <w:shd w:val="clear" w:color="000000" w:fill="FFFFFF"/>
            <w:vAlign w:val="center"/>
          </w:tcPr>
          <w:p w14:paraId="150B5D44">
            <w:pPr>
              <w:widowControl/>
              <w:spacing w:line="0" w:lineRule="atLeast"/>
              <w:jc w:val="center"/>
              <w:rPr>
                <w:color w:val="000000"/>
                <w:kern w:val="0"/>
                <w:sz w:val="22"/>
                <w:szCs w:val="22"/>
                <w:highlight w:val="none"/>
              </w:rPr>
            </w:pPr>
            <w:r>
              <w:rPr>
                <w:rFonts w:hint="eastAsia"/>
                <w:color w:val="000000"/>
                <w:kern w:val="0"/>
                <w:sz w:val="22"/>
                <w:szCs w:val="22"/>
                <w:highlight w:val="none"/>
                <w:lang w:val="en-US" w:eastAsia="zh-CN"/>
              </w:rPr>
              <w:t>100%</w:t>
            </w:r>
          </w:p>
        </w:tc>
        <w:tc>
          <w:tcPr>
            <w:tcW w:w="853" w:type="dxa"/>
            <w:shd w:val="clear" w:color="000000" w:fill="FFFFFF"/>
            <w:vAlign w:val="center"/>
          </w:tcPr>
          <w:p w14:paraId="73B7F1D7">
            <w:pPr>
              <w:widowControl/>
              <w:spacing w:line="0" w:lineRule="atLeast"/>
              <w:jc w:val="center"/>
              <w:rPr>
                <w:color w:val="000000"/>
                <w:kern w:val="0"/>
                <w:sz w:val="22"/>
                <w:szCs w:val="22"/>
                <w:highlight w:val="none"/>
              </w:rPr>
            </w:pPr>
            <w:r>
              <w:rPr>
                <w:rFonts w:hint="eastAsia"/>
                <w:color w:val="000000"/>
                <w:kern w:val="0"/>
                <w:sz w:val="22"/>
                <w:szCs w:val="22"/>
                <w:highlight w:val="none"/>
              </w:rPr>
              <w:t>4</w:t>
            </w:r>
          </w:p>
        </w:tc>
      </w:tr>
      <w:tr w14:paraId="4EF12EB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jc w:val="center"/>
        </w:trPr>
        <w:tc>
          <w:tcPr>
            <w:tcW w:w="1104" w:type="dxa"/>
            <w:vMerge w:val="continue"/>
            <w:shd w:val="clear" w:color="auto" w:fill="FFFFFF"/>
            <w:vAlign w:val="center"/>
          </w:tcPr>
          <w:p w14:paraId="609F56EC">
            <w:pPr>
              <w:widowControl/>
              <w:spacing w:line="0" w:lineRule="atLeast"/>
              <w:jc w:val="center"/>
              <w:rPr>
                <w:color w:val="000000"/>
                <w:kern w:val="0"/>
                <w:sz w:val="22"/>
                <w:szCs w:val="22"/>
              </w:rPr>
            </w:pPr>
          </w:p>
        </w:tc>
        <w:tc>
          <w:tcPr>
            <w:tcW w:w="759" w:type="dxa"/>
            <w:vMerge w:val="continue"/>
            <w:shd w:val="clear" w:color="auto" w:fill="FFFFFF"/>
            <w:vAlign w:val="center"/>
          </w:tcPr>
          <w:p w14:paraId="4FC3BFC4">
            <w:pPr>
              <w:widowControl/>
              <w:spacing w:line="0" w:lineRule="atLeast"/>
              <w:jc w:val="center"/>
              <w:rPr>
                <w:color w:val="000000"/>
                <w:kern w:val="0"/>
                <w:sz w:val="22"/>
                <w:szCs w:val="22"/>
              </w:rPr>
            </w:pPr>
          </w:p>
        </w:tc>
        <w:tc>
          <w:tcPr>
            <w:tcW w:w="1514" w:type="dxa"/>
            <w:vMerge w:val="continue"/>
            <w:shd w:val="clear" w:color="auto" w:fill="FFFFFF"/>
            <w:vAlign w:val="center"/>
          </w:tcPr>
          <w:p w14:paraId="21ADBDDC">
            <w:pPr>
              <w:widowControl/>
              <w:spacing w:line="0" w:lineRule="atLeast"/>
              <w:jc w:val="center"/>
              <w:rPr>
                <w:color w:val="000000"/>
                <w:kern w:val="0"/>
                <w:sz w:val="22"/>
                <w:szCs w:val="22"/>
              </w:rPr>
            </w:pPr>
          </w:p>
        </w:tc>
        <w:tc>
          <w:tcPr>
            <w:tcW w:w="1707" w:type="dxa"/>
            <w:shd w:val="clear" w:color="auto" w:fill="FFFFFF"/>
            <w:vAlign w:val="center"/>
          </w:tcPr>
          <w:p w14:paraId="393E1CA8">
            <w:pPr>
              <w:widowControl/>
              <w:spacing w:line="0" w:lineRule="atLeast"/>
              <w:jc w:val="center"/>
              <w:rPr>
                <w:color w:val="000000"/>
                <w:kern w:val="0"/>
                <w:sz w:val="22"/>
                <w:szCs w:val="22"/>
              </w:rPr>
            </w:pPr>
            <w:r>
              <w:rPr>
                <w:color w:val="000000"/>
                <w:kern w:val="0"/>
                <w:sz w:val="22"/>
                <w:szCs w:val="22"/>
              </w:rPr>
              <w:t>制度执行</w:t>
            </w:r>
          </w:p>
          <w:p w14:paraId="1149E09B">
            <w:pPr>
              <w:widowControl/>
              <w:spacing w:line="0" w:lineRule="atLeast"/>
              <w:jc w:val="center"/>
              <w:rPr>
                <w:color w:val="000000"/>
                <w:kern w:val="0"/>
                <w:sz w:val="22"/>
                <w:szCs w:val="22"/>
              </w:rPr>
            </w:pPr>
            <w:r>
              <w:rPr>
                <w:color w:val="000000"/>
                <w:kern w:val="0"/>
                <w:sz w:val="22"/>
                <w:szCs w:val="22"/>
              </w:rPr>
              <w:t>有效性</w:t>
            </w:r>
          </w:p>
        </w:tc>
        <w:tc>
          <w:tcPr>
            <w:tcW w:w="727" w:type="dxa"/>
            <w:shd w:val="clear" w:color="000000" w:fill="FFFFFF"/>
            <w:vAlign w:val="center"/>
          </w:tcPr>
          <w:p w14:paraId="0CE4D490">
            <w:pPr>
              <w:widowControl/>
              <w:spacing w:line="0" w:lineRule="atLeast"/>
              <w:jc w:val="center"/>
              <w:rPr>
                <w:color w:val="000000"/>
                <w:kern w:val="0"/>
                <w:sz w:val="22"/>
                <w:szCs w:val="22"/>
                <w:highlight w:val="none"/>
              </w:rPr>
            </w:pPr>
            <w:r>
              <w:rPr>
                <w:rFonts w:hint="eastAsia"/>
                <w:color w:val="000000"/>
                <w:kern w:val="0"/>
                <w:sz w:val="22"/>
                <w:szCs w:val="22"/>
                <w:highlight w:val="none"/>
              </w:rPr>
              <w:t>4</w:t>
            </w:r>
          </w:p>
        </w:tc>
        <w:tc>
          <w:tcPr>
            <w:tcW w:w="1044" w:type="dxa"/>
            <w:shd w:val="clear" w:color="000000" w:fill="FFFFFF"/>
            <w:vAlign w:val="center"/>
          </w:tcPr>
          <w:p w14:paraId="5094B7CD">
            <w:pPr>
              <w:widowControl/>
              <w:spacing w:line="0" w:lineRule="atLeast"/>
              <w:jc w:val="center"/>
              <w:rPr>
                <w:color w:val="000000"/>
                <w:kern w:val="0"/>
                <w:sz w:val="22"/>
                <w:szCs w:val="22"/>
                <w:highlight w:val="none"/>
              </w:rPr>
            </w:pPr>
            <w:r>
              <w:rPr>
                <w:color w:val="000000"/>
                <w:kern w:val="0"/>
                <w:sz w:val="22"/>
                <w:szCs w:val="22"/>
                <w:highlight w:val="none"/>
              </w:rPr>
              <w:t>有效</w:t>
            </w:r>
          </w:p>
        </w:tc>
        <w:tc>
          <w:tcPr>
            <w:tcW w:w="924" w:type="dxa"/>
            <w:shd w:val="clear" w:color="000000" w:fill="FFFFFF"/>
            <w:vAlign w:val="center"/>
          </w:tcPr>
          <w:p w14:paraId="4823BF90">
            <w:pPr>
              <w:widowControl/>
              <w:spacing w:line="0" w:lineRule="atLeast"/>
              <w:jc w:val="center"/>
              <w:rPr>
                <w:color w:val="000000"/>
                <w:kern w:val="0"/>
                <w:sz w:val="22"/>
                <w:szCs w:val="22"/>
                <w:highlight w:val="none"/>
              </w:rPr>
            </w:pPr>
            <w:r>
              <w:rPr>
                <w:color w:val="000000"/>
                <w:kern w:val="0"/>
                <w:sz w:val="22"/>
                <w:szCs w:val="22"/>
                <w:highlight w:val="none"/>
              </w:rPr>
              <w:t>有效</w:t>
            </w:r>
          </w:p>
        </w:tc>
        <w:tc>
          <w:tcPr>
            <w:tcW w:w="1022" w:type="dxa"/>
            <w:shd w:val="clear" w:color="000000" w:fill="FFFFFF"/>
            <w:vAlign w:val="center"/>
          </w:tcPr>
          <w:p w14:paraId="5B1F88E5">
            <w:pPr>
              <w:widowControl/>
              <w:spacing w:line="0" w:lineRule="atLeast"/>
              <w:jc w:val="center"/>
              <w:rPr>
                <w:color w:val="000000"/>
                <w:kern w:val="0"/>
                <w:sz w:val="22"/>
                <w:szCs w:val="22"/>
                <w:highlight w:val="none"/>
              </w:rPr>
            </w:pPr>
            <w:r>
              <w:rPr>
                <w:rFonts w:hint="eastAsia"/>
                <w:color w:val="000000"/>
                <w:kern w:val="0"/>
                <w:sz w:val="22"/>
                <w:szCs w:val="22"/>
                <w:highlight w:val="none"/>
                <w:lang w:val="en-US" w:eastAsia="zh-CN"/>
              </w:rPr>
              <w:t>100%</w:t>
            </w:r>
          </w:p>
        </w:tc>
        <w:tc>
          <w:tcPr>
            <w:tcW w:w="853" w:type="dxa"/>
            <w:shd w:val="clear" w:color="000000" w:fill="FFFFFF"/>
            <w:vAlign w:val="center"/>
          </w:tcPr>
          <w:p w14:paraId="50F5565E">
            <w:pPr>
              <w:widowControl/>
              <w:spacing w:line="0" w:lineRule="atLeast"/>
              <w:jc w:val="center"/>
              <w:rPr>
                <w:color w:val="000000"/>
                <w:kern w:val="0"/>
                <w:sz w:val="22"/>
                <w:szCs w:val="22"/>
                <w:highlight w:val="none"/>
              </w:rPr>
            </w:pPr>
            <w:r>
              <w:rPr>
                <w:rFonts w:hint="eastAsia"/>
                <w:color w:val="000000"/>
                <w:kern w:val="0"/>
                <w:sz w:val="22"/>
                <w:szCs w:val="22"/>
                <w:highlight w:val="none"/>
              </w:rPr>
              <w:t>4</w:t>
            </w:r>
          </w:p>
        </w:tc>
      </w:tr>
      <w:tr w14:paraId="673AA07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jc w:val="center"/>
        </w:trPr>
        <w:tc>
          <w:tcPr>
            <w:tcW w:w="1104" w:type="dxa"/>
            <w:vMerge w:val="restart"/>
            <w:shd w:val="clear" w:color="auto" w:fill="FFFFFF"/>
            <w:vAlign w:val="center"/>
          </w:tcPr>
          <w:p w14:paraId="482D4485">
            <w:pPr>
              <w:widowControl/>
              <w:spacing w:line="0" w:lineRule="atLeast"/>
              <w:jc w:val="center"/>
              <w:rPr>
                <w:color w:val="000000"/>
                <w:kern w:val="0"/>
                <w:sz w:val="22"/>
                <w:szCs w:val="22"/>
              </w:rPr>
            </w:pPr>
            <w:r>
              <w:rPr>
                <w:color w:val="000000"/>
                <w:kern w:val="0"/>
                <w:sz w:val="22"/>
                <w:szCs w:val="22"/>
              </w:rPr>
              <w:t>产出</w:t>
            </w:r>
          </w:p>
        </w:tc>
        <w:tc>
          <w:tcPr>
            <w:tcW w:w="759" w:type="dxa"/>
            <w:vMerge w:val="restart"/>
            <w:shd w:val="clear" w:color="auto" w:fill="FFFFFF"/>
            <w:vAlign w:val="center"/>
          </w:tcPr>
          <w:p w14:paraId="2100F458">
            <w:pPr>
              <w:widowControl/>
              <w:spacing w:line="0" w:lineRule="atLeast"/>
              <w:jc w:val="center"/>
              <w:rPr>
                <w:color w:val="000000"/>
                <w:kern w:val="0"/>
                <w:sz w:val="22"/>
                <w:szCs w:val="22"/>
              </w:rPr>
            </w:pPr>
            <w:r>
              <w:rPr>
                <w:rFonts w:hint="eastAsia"/>
                <w:kern w:val="0"/>
                <w:sz w:val="22"/>
                <w:szCs w:val="22"/>
              </w:rPr>
              <w:t>40</w:t>
            </w:r>
            <w:r>
              <w:rPr>
                <w:kern w:val="0"/>
                <w:sz w:val="22"/>
                <w:szCs w:val="22"/>
              </w:rPr>
              <w:t>分</w:t>
            </w:r>
          </w:p>
        </w:tc>
        <w:tc>
          <w:tcPr>
            <w:tcW w:w="1514" w:type="dxa"/>
            <w:shd w:val="clear" w:color="auto" w:fill="FFFFFF"/>
            <w:vAlign w:val="center"/>
          </w:tcPr>
          <w:p w14:paraId="2DBAAD09">
            <w:pPr>
              <w:widowControl/>
              <w:spacing w:line="0" w:lineRule="atLeast"/>
              <w:jc w:val="center"/>
              <w:rPr>
                <w:color w:val="000000"/>
                <w:kern w:val="0"/>
                <w:sz w:val="22"/>
                <w:szCs w:val="22"/>
              </w:rPr>
            </w:pPr>
            <w:r>
              <w:rPr>
                <w:color w:val="000000"/>
                <w:kern w:val="0"/>
                <w:sz w:val="22"/>
                <w:szCs w:val="22"/>
              </w:rPr>
              <w:t>产出数量</w:t>
            </w:r>
          </w:p>
        </w:tc>
        <w:tc>
          <w:tcPr>
            <w:tcW w:w="1707" w:type="dxa"/>
            <w:shd w:val="clear" w:color="auto" w:fill="FFFFFF"/>
            <w:vAlign w:val="center"/>
          </w:tcPr>
          <w:p w14:paraId="2CAE28A9">
            <w:pPr>
              <w:widowControl/>
              <w:spacing w:line="0" w:lineRule="atLeast"/>
              <w:jc w:val="center"/>
              <w:rPr>
                <w:color w:val="000000"/>
                <w:kern w:val="0"/>
                <w:sz w:val="22"/>
                <w:szCs w:val="22"/>
              </w:rPr>
            </w:pPr>
            <w:r>
              <w:rPr>
                <w:color w:val="000000"/>
                <w:kern w:val="0"/>
                <w:sz w:val="22"/>
                <w:szCs w:val="22"/>
              </w:rPr>
              <w:t>实际完成率</w:t>
            </w:r>
          </w:p>
        </w:tc>
        <w:tc>
          <w:tcPr>
            <w:tcW w:w="727" w:type="dxa"/>
            <w:shd w:val="clear" w:color="000000" w:fill="FFFFFF"/>
            <w:vAlign w:val="center"/>
          </w:tcPr>
          <w:p w14:paraId="4FCFABC0">
            <w:pPr>
              <w:widowControl/>
              <w:spacing w:line="0" w:lineRule="atLeast"/>
              <w:jc w:val="center"/>
              <w:rPr>
                <w:color w:val="000000"/>
                <w:kern w:val="0"/>
                <w:sz w:val="22"/>
                <w:szCs w:val="22"/>
                <w:highlight w:val="none"/>
              </w:rPr>
            </w:pPr>
            <w:r>
              <w:rPr>
                <w:color w:val="000000"/>
                <w:kern w:val="0"/>
                <w:sz w:val="22"/>
                <w:szCs w:val="22"/>
                <w:highlight w:val="none"/>
              </w:rPr>
              <w:t>1</w:t>
            </w:r>
            <w:r>
              <w:rPr>
                <w:rFonts w:hint="eastAsia"/>
                <w:color w:val="000000"/>
                <w:kern w:val="0"/>
                <w:sz w:val="22"/>
                <w:szCs w:val="22"/>
                <w:highlight w:val="none"/>
              </w:rPr>
              <w:t>0</w:t>
            </w:r>
          </w:p>
        </w:tc>
        <w:tc>
          <w:tcPr>
            <w:tcW w:w="1044" w:type="dxa"/>
            <w:shd w:val="clear" w:color="000000" w:fill="FFFFFF"/>
            <w:vAlign w:val="center"/>
          </w:tcPr>
          <w:p w14:paraId="69234BA2">
            <w:pPr>
              <w:widowControl/>
              <w:spacing w:line="0" w:lineRule="atLeast"/>
              <w:jc w:val="center"/>
              <w:rPr>
                <w:color w:val="000000"/>
                <w:kern w:val="0"/>
                <w:sz w:val="22"/>
                <w:szCs w:val="22"/>
                <w:highlight w:val="none"/>
              </w:rPr>
            </w:pPr>
            <w:r>
              <w:rPr>
                <w:color w:val="000000"/>
                <w:kern w:val="0"/>
                <w:sz w:val="22"/>
                <w:szCs w:val="22"/>
                <w:highlight w:val="none"/>
              </w:rPr>
              <w:t>100%</w:t>
            </w:r>
          </w:p>
        </w:tc>
        <w:tc>
          <w:tcPr>
            <w:tcW w:w="924" w:type="dxa"/>
            <w:shd w:val="clear" w:color="000000" w:fill="FFFFFF"/>
            <w:vAlign w:val="center"/>
          </w:tcPr>
          <w:p w14:paraId="28A341B8">
            <w:pPr>
              <w:widowControl/>
              <w:spacing w:line="0" w:lineRule="atLeast"/>
              <w:jc w:val="center"/>
              <w:rPr>
                <w:color w:val="000000"/>
                <w:kern w:val="0"/>
                <w:sz w:val="22"/>
                <w:szCs w:val="22"/>
                <w:highlight w:val="none"/>
              </w:rPr>
            </w:pPr>
            <w:r>
              <w:rPr>
                <w:rFonts w:hint="eastAsia"/>
                <w:color w:val="000000"/>
                <w:kern w:val="0"/>
                <w:sz w:val="22"/>
                <w:szCs w:val="22"/>
                <w:highlight w:val="none"/>
                <w:lang w:val="en-US" w:eastAsia="zh-CN"/>
              </w:rPr>
              <w:t>80</w:t>
            </w:r>
            <w:r>
              <w:rPr>
                <w:color w:val="000000"/>
                <w:kern w:val="0"/>
                <w:sz w:val="22"/>
                <w:szCs w:val="22"/>
                <w:highlight w:val="none"/>
              </w:rPr>
              <w:t>%</w:t>
            </w:r>
          </w:p>
        </w:tc>
        <w:tc>
          <w:tcPr>
            <w:tcW w:w="1022" w:type="dxa"/>
            <w:shd w:val="clear" w:color="000000" w:fill="FFFFFF"/>
            <w:vAlign w:val="center"/>
          </w:tcPr>
          <w:p w14:paraId="4C535737">
            <w:pPr>
              <w:widowControl/>
              <w:spacing w:line="0" w:lineRule="atLeast"/>
              <w:jc w:val="center"/>
              <w:rPr>
                <w:color w:val="000000"/>
                <w:kern w:val="0"/>
                <w:sz w:val="22"/>
                <w:szCs w:val="22"/>
                <w:highlight w:val="none"/>
              </w:rPr>
            </w:pPr>
            <w:r>
              <w:rPr>
                <w:rFonts w:hint="eastAsia"/>
                <w:color w:val="000000"/>
                <w:kern w:val="0"/>
                <w:sz w:val="22"/>
                <w:szCs w:val="22"/>
                <w:highlight w:val="none"/>
                <w:lang w:val="en-US" w:eastAsia="zh-CN"/>
              </w:rPr>
              <w:t>80%</w:t>
            </w:r>
          </w:p>
        </w:tc>
        <w:tc>
          <w:tcPr>
            <w:tcW w:w="853" w:type="dxa"/>
            <w:shd w:val="clear" w:color="000000" w:fill="FFFFFF"/>
            <w:vAlign w:val="center"/>
          </w:tcPr>
          <w:p w14:paraId="126CD5E0">
            <w:pPr>
              <w:widowControl/>
              <w:spacing w:line="0" w:lineRule="atLeast"/>
              <w:jc w:val="center"/>
              <w:rPr>
                <w:rFonts w:hint="eastAsia" w:eastAsia="宋体"/>
                <w:color w:val="000000"/>
                <w:kern w:val="0"/>
                <w:sz w:val="22"/>
                <w:szCs w:val="22"/>
                <w:highlight w:val="none"/>
                <w:lang w:eastAsia="zh-CN"/>
              </w:rPr>
            </w:pPr>
            <w:r>
              <w:rPr>
                <w:rFonts w:hint="eastAsia"/>
                <w:color w:val="000000"/>
                <w:kern w:val="0"/>
                <w:sz w:val="22"/>
                <w:szCs w:val="22"/>
                <w:highlight w:val="none"/>
                <w:lang w:val="en-US" w:eastAsia="zh-CN"/>
              </w:rPr>
              <w:t>8</w:t>
            </w:r>
          </w:p>
        </w:tc>
      </w:tr>
      <w:tr w14:paraId="00E8051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jc w:val="center"/>
        </w:trPr>
        <w:tc>
          <w:tcPr>
            <w:tcW w:w="1104" w:type="dxa"/>
            <w:vMerge w:val="continue"/>
            <w:shd w:val="clear" w:color="auto" w:fill="FFFFFF"/>
            <w:vAlign w:val="center"/>
          </w:tcPr>
          <w:p w14:paraId="0972C3F8">
            <w:pPr>
              <w:widowControl/>
              <w:spacing w:line="0" w:lineRule="atLeast"/>
              <w:jc w:val="center"/>
              <w:rPr>
                <w:color w:val="000000"/>
                <w:kern w:val="0"/>
                <w:sz w:val="22"/>
                <w:szCs w:val="22"/>
              </w:rPr>
            </w:pPr>
          </w:p>
        </w:tc>
        <w:tc>
          <w:tcPr>
            <w:tcW w:w="759" w:type="dxa"/>
            <w:vMerge w:val="continue"/>
            <w:shd w:val="clear" w:color="auto" w:fill="FFFFFF"/>
            <w:vAlign w:val="center"/>
          </w:tcPr>
          <w:p w14:paraId="1DE7613E">
            <w:pPr>
              <w:widowControl/>
              <w:spacing w:line="0" w:lineRule="atLeast"/>
              <w:jc w:val="center"/>
              <w:rPr>
                <w:color w:val="000000"/>
                <w:kern w:val="0"/>
                <w:sz w:val="22"/>
                <w:szCs w:val="22"/>
              </w:rPr>
            </w:pPr>
          </w:p>
        </w:tc>
        <w:tc>
          <w:tcPr>
            <w:tcW w:w="1514" w:type="dxa"/>
            <w:shd w:val="clear" w:color="auto" w:fill="FFFFFF"/>
            <w:vAlign w:val="center"/>
          </w:tcPr>
          <w:p w14:paraId="43DFD657">
            <w:pPr>
              <w:widowControl/>
              <w:spacing w:line="0" w:lineRule="atLeast"/>
              <w:jc w:val="center"/>
              <w:rPr>
                <w:color w:val="000000"/>
                <w:kern w:val="0"/>
                <w:sz w:val="22"/>
                <w:szCs w:val="22"/>
              </w:rPr>
            </w:pPr>
            <w:r>
              <w:rPr>
                <w:color w:val="000000"/>
                <w:kern w:val="0"/>
                <w:sz w:val="22"/>
                <w:szCs w:val="22"/>
              </w:rPr>
              <w:t>产出质量</w:t>
            </w:r>
          </w:p>
        </w:tc>
        <w:tc>
          <w:tcPr>
            <w:tcW w:w="1707" w:type="dxa"/>
            <w:shd w:val="clear" w:color="auto" w:fill="FFFFFF"/>
            <w:vAlign w:val="center"/>
          </w:tcPr>
          <w:p w14:paraId="4E0A24EC">
            <w:pPr>
              <w:widowControl/>
              <w:spacing w:line="0" w:lineRule="atLeast"/>
              <w:jc w:val="center"/>
              <w:rPr>
                <w:color w:val="000000"/>
                <w:kern w:val="0"/>
                <w:sz w:val="22"/>
                <w:szCs w:val="22"/>
              </w:rPr>
            </w:pPr>
            <w:r>
              <w:rPr>
                <w:color w:val="000000"/>
                <w:kern w:val="0"/>
                <w:sz w:val="22"/>
                <w:szCs w:val="22"/>
              </w:rPr>
              <w:t>质量达标率</w:t>
            </w:r>
          </w:p>
        </w:tc>
        <w:tc>
          <w:tcPr>
            <w:tcW w:w="727" w:type="dxa"/>
            <w:shd w:val="clear" w:color="000000" w:fill="FFFFFF"/>
            <w:vAlign w:val="center"/>
          </w:tcPr>
          <w:p w14:paraId="22420335">
            <w:pPr>
              <w:widowControl/>
              <w:spacing w:line="0" w:lineRule="atLeast"/>
              <w:jc w:val="center"/>
              <w:rPr>
                <w:color w:val="000000"/>
                <w:kern w:val="0"/>
                <w:sz w:val="22"/>
                <w:szCs w:val="22"/>
                <w:highlight w:val="none"/>
              </w:rPr>
            </w:pPr>
            <w:r>
              <w:rPr>
                <w:color w:val="000000"/>
                <w:kern w:val="0"/>
                <w:sz w:val="22"/>
                <w:szCs w:val="22"/>
                <w:highlight w:val="none"/>
              </w:rPr>
              <w:t>10</w:t>
            </w:r>
          </w:p>
        </w:tc>
        <w:tc>
          <w:tcPr>
            <w:tcW w:w="1044" w:type="dxa"/>
            <w:shd w:val="clear" w:color="000000" w:fill="FFFFFF"/>
            <w:vAlign w:val="center"/>
          </w:tcPr>
          <w:p w14:paraId="69D258B5">
            <w:pPr>
              <w:widowControl/>
              <w:spacing w:line="0" w:lineRule="atLeast"/>
              <w:jc w:val="center"/>
              <w:rPr>
                <w:color w:val="000000"/>
                <w:kern w:val="0"/>
                <w:sz w:val="22"/>
                <w:szCs w:val="22"/>
                <w:highlight w:val="none"/>
              </w:rPr>
            </w:pPr>
            <w:r>
              <w:rPr>
                <w:color w:val="000000"/>
                <w:kern w:val="0"/>
                <w:sz w:val="22"/>
                <w:szCs w:val="22"/>
                <w:highlight w:val="none"/>
              </w:rPr>
              <w:t>100%</w:t>
            </w:r>
          </w:p>
        </w:tc>
        <w:tc>
          <w:tcPr>
            <w:tcW w:w="924" w:type="dxa"/>
            <w:shd w:val="clear" w:color="000000" w:fill="FFFFFF"/>
            <w:vAlign w:val="center"/>
          </w:tcPr>
          <w:p w14:paraId="6968D697">
            <w:pPr>
              <w:widowControl/>
              <w:spacing w:line="0" w:lineRule="atLeast"/>
              <w:jc w:val="center"/>
              <w:rPr>
                <w:color w:val="000000"/>
                <w:kern w:val="0"/>
                <w:sz w:val="22"/>
                <w:szCs w:val="22"/>
                <w:highlight w:val="none"/>
              </w:rPr>
            </w:pPr>
            <w:r>
              <w:rPr>
                <w:rFonts w:hint="eastAsia"/>
                <w:color w:val="000000"/>
                <w:kern w:val="0"/>
                <w:sz w:val="22"/>
                <w:szCs w:val="22"/>
                <w:highlight w:val="none"/>
                <w:lang w:val="en-US" w:eastAsia="zh-CN"/>
              </w:rPr>
              <w:t>100</w:t>
            </w:r>
            <w:r>
              <w:rPr>
                <w:color w:val="000000"/>
                <w:kern w:val="0"/>
                <w:sz w:val="22"/>
                <w:szCs w:val="22"/>
                <w:highlight w:val="none"/>
              </w:rPr>
              <w:t>%</w:t>
            </w:r>
          </w:p>
        </w:tc>
        <w:tc>
          <w:tcPr>
            <w:tcW w:w="1022" w:type="dxa"/>
            <w:shd w:val="clear" w:color="000000" w:fill="FFFFFF"/>
            <w:vAlign w:val="center"/>
          </w:tcPr>
          <w:p w14:paraId="19E2626D">
            <w:pPr>
              <w:widowControl/>
              <w:spacing w:line="0" w:lineRule="atLeast"/>
              <w:jc w:val="center"/>
              <w:rPr>
                <w:color w:val="000000"/>
                <w:kern w:val="0"/>
                <w:sz w:val="22"/>
                <w:szCs w:val="22"/>
                <w:highlight w:val="none"/>
              </w:rPr>
            </w:pPr>
            <w:r>
              <w:rPr>
                <w:rFonts w:hint="eastAsia"/>
                <w:color w:val="000000"/>
                <w:kern w:val="0"/>
                <w:sz w:val="22"/>
                <w:szCs w:val="22"/>
                <w:highlight w:val="none"/>
                <w:lang w:val="en-US" w:eastAsia="zh-CN"/>
              </w:rPr>
              <w:t>100%</w:t>
            </w:r>
          </w:p>
        </w:tc>
        <w:tc>
          <w:tcPr>
            <w:tcW w:w="853" w:type="dxa"/>
            <w:shd w:val="clear" w:color="000000" w:fill="FFFFFF"/>
            <w:vAlign w:val="center"/>
          </w:tcPr>
          <w:p w14:paraId="1C3009B0">
            <w:pPr>
              <w:widowControl/>
              <w:spacing w:line="0" w:lineRule="atLeast"/>
              <w:jc w:val="center"/>
              <w:rPr>
                <w:color w:val="000000"/>
                <w:kern w:val="0"/>
                <w:sz w:val="22"/>
                <w:szCs w:val="22"/>
                <w:highlight w:val="none"/>
              </w:rPr>
            </w:pPr>
            <w:r>
              <w:rPr>
                <w:color w:val="000000"/>
                <w:kern w:val="0"/>
                <w:sz w:val="22"/>
                <w:szCs w:val="22"/>
                <w:highlight w:val="none"/>
              </w:rPr>
              <w:t>10</w:t>
            </w:r>
          </w:p>
        </w:tc>
      </w:tr>
      <w:tr w14:paraId="28170BA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jc w:val="center"/>
        </w:trPr>
        <w:tc>
          <w:tcPr>
            <w:tcW w:w="1104" w:type="dxa"/>
            <w:vMerge w:val="continue"/>
            <w:shd w:val="clear" w:color="auto" w:fill="FFFFFF"/>
            <w:vAlign w:val="center"/>
          </w:tcPr>
          <w:p w14:paraId="43103FFB">
            <w:pPr>
              <w:spacing w:line="0" w:lineRule="atLeast"/>
              <w:jc w:val="center"/>
              <w:rPr>
                <w:color w:val="000000"/>
                <w:kern w:val="0"/>
                <w:sz w:val="22"/>
                <w:szCs w:val="22"/>
              </w:rPr>
            </w:pPr>
          </w:p>
        </w:tc>
        <w:tc>
          <w:tcPr>
            <w:tcW w:w="759" w:type="dxa"/>
            <w:vMerge w:val="continue"/>
            <w:shd w:val="clear" w:color="auto" w:fill="FFFFFF"/>
            <w:vAlign w:val="center"/>
          </w:tcPr>
          <w:p w14:paraId="0F24B19B">
            <w:pPr>
              <w:spacing w:line="0" w:lineRule="atLeast"/>
              <w:jc w:val="center"/>
              <w:rPr>
                <w:color w:val="000000"/>
                <w:kern w:val="0"/>
                <w:sz w:val="22"/>
                <w:szCs w:val="22"/>
              </w:rPr>
            </w:pPr>
          </w:p>
        </w:tc>
        <w:tc>
          <w:tcPr>
            <w:tcW w:w="1514" w:type="dxa"/>
            <w:shd w:val="clear" w:color="auto" w:fill="FFFFFF"/>
            <w:vAlign w:val="center"/>
          </w:tcPr>
          <w:p w14:paraId="3ADE3E23">
            <w:pPr>
              <w:spacing w:line="0" w:lineRule="atLeast"/>
              <w:jc w:val="center"/>
              <w:rPr>
                <w:color w:val="000000"/>
                <w:kern w:val="0"/>
                <w:sz w:val="22"/>
                <w:szCs w:val="22"/>
              </w:rPr>
            </w:pPr>
            <w:r>
              <w:rPr>
                <w:color w:val="000000"/>
                <w:kern w:val="0"/>
                <w:sz w:val="22"/>
                <w:szCs w:val="22"/>
              </w:rPr>
              <w:t>产出时效</w:t>
            </w:r>
          </w:p>
        </w:tc>
        <w:tc>
          <w:tcPr>
            <w:tcW w:w="1707" w:type="dxa"/>
            <w:shd w:val="clear" w:color="auto" w:fill="FFFFFF"/>
            <w:vAlign w:val="center"/>
          </w:tcPr>
          <w:p w14:paraId="681A8D8A">
            <w:pPr>
              <w:widowControl/>
              <w:spacing w:line="0" w:lineRule="atLeast"/>
              <w:jc w:val="center"/>
              <w:rPr>
                <w:color w:val="000000"/>
                <w:kern w:val="0"/>
                <w:sz w:val="22"/>
                <w:szCs w:val="22"/>
              </w:rPr>
            </w:pPr>
            <w:r>
              <w:rPr>
                <w:color w:val="000000"/>
                <w:kern w:val="0"/>
                <w:sz w:val="22"/>
                <w:szCs w:val="22"/>
              </w:rPr>
              <w:t>完成及时性</w:t>
            </w:r>
          </w:p>
        </w:tc>
        <w:tc>
          <w:tcPr>
            <w:tcW w:w="727" w:type="dxa"/>
            <w:shd w:val="clear" w:color="000000" w:fill="FFFFFF"/>
            <w:vAlign w:val="center"/>
          </w:tcPr>
          <w:p w14:paraId="20F01883">
            <w:pPr>
              <w:widowControl/>
              <w:spacing w:line="0" w:lineRule="atLeast"/>
              <w:jc w:val="center"/>
              <w:rPr>
                <w:color w:val="000000"/>
                <w:kern w:val="0"/>
                <w:sz w:val="22"/>
                <w:szCs w:val="22"/>
                <w:highlight w:val="none"/>
              </w:rPr>
            </w:pPr>
            <w:r>
              <w:rPr>
                <w:color w:val="000000"/>
                <w:kern w:val="0"/>
                <w:sz w:val="22"/>
                <w:szCs w:val="22"/>
                <w:highlight w:val="none"/>
              </w:rPr>
              <w:t>1</w:t>
            </w:r>
            <w:r>
              <w:rPr>
                <w:rFonts w:hint="eastAsia"/>
                <w:color w:val="000000"/>
                <w:kern w:val="0"/>
                <w:sz w:val="22"/>
                <w:szCs w:val="22"/>
                <w:highlight w:val="none"/>
              </w:rPr>
              <w:t>0</w:t>
            </w:r>
          </w:p>
        </w:tc>
        <w:tc>
          <w:tcPr>
            <w:tcW w:w="1044" w:type="dxa"/>
            <w:shd w:val="clear" w:color="000000" w:fill="FFFFFF"/>
            <w:vAlign w:val="center"/>
          </w:tcPr>
          <w:p w14:paraId="5BF0E78B">
            <w:pPr>
              <w:widowControl/>
              <w:spacing w:line="0" w:lineRule="atLeast"/>
              <w:jc w:val="center"/>
              <w:rPr>
                <w:color w:val="000000"/>
                <w:kern w:val="0"/>
                <w:sz w:val="22"/>
                <w:szCs w:val="22"/>
                <w:highlight w:val="none"/>
              </w:rPr>
            </w:pPr>
            <w:r>
              <w:rPr>
                <w:color w:val="000000"/>
                <w:kern w:val="0"/>
                <w:sz w:val="22"/>
                <w:szCs w:val="22"/>
                <w:highlight w:val="none"/>
              </w:rPr>
              <w:t>及时</w:t>
            </w:r>
          </w:p>
        </w:tc>
        <w:tc>
          <w:tcPr>
            <w:tcW w:w="924" w:type="dxa"/>
            <w:shd w:val="clear" w:color="000000" w:fill="FFFFFF"/>
            <w:vAlign w:val="center"/>
          </w:tcPr>
          <w:p w14:paraId="5D118711">
            <w:pPr>
              <w:widowControl/>
              <w:spacing w:line="0" w:lineRule="atLeast"/>
              <w:jc w:val="center"/>
              <w:rPr>
                <w:color w:val="000000"/>
                <w:kern w:val="0"/>
                <w:sz w:val="22"/>
                <w:szCs w:val="22"/>
                <w:highlight w:val="none"/>
              </w:rPr>
            </w:pPr>
            <w:r>
              <w:rPr>
                <w:color w:val="000000"/>
                <w:kern w:val="0"/>
                <w:sz w:val="22"/>
                <w:szCs w:val="22"/>
                <w:highlight w:val="none"/>
              </w:rPr>
              <w:t>及时</w:t>
            </w:r>
          </w:p>
        </w:tc>
        <w:tc>
          <w:tcPr>
            <w:tcW w:w="1022" w:type="dxa"/>
            <w:shd w:val="clear" w:color="000000" w:fill="FFFFFF"/>
            <w:vAlign w:val="center"/>
          </w:tcPr>
          <w:p w14:paraId="0E4AAF42">
            <w:pPr>
              <w:widowControl/>
              <w:spacing w:line="0" w:lineRule="atLeast"/>
              <w:jc w:val="center"/>
              <w:rPr>
                <w:color w:val="000000"/>
                <w:kern w:val="0"/>
                <w:sz w:val="22"/>
                <w:szCs w:val="22"/>
                <w:highlight w:val="none"/>
              </w:rPr>
            </w:pPr>
            <w:r>
              <w:rPr>
                <w:rFonts w:hint="eastAsia"/>
                <w:color w:val="000000"/>
                <w:kern w:val="0"/>
                <w:sz w:val="22"/>
                <w:szCs w:val="22"/>
                <w:highlight w:val="none"/>
                <w:lang w:val="en-US" w:eastAsia="zh-CN"/>
              </w:rPr>
              <w:t>100%</w:t>
            </w:r>
          </w:p>
        </w:tc>
        <w:tc>
          <w:tcPr>
            <w:tcW w:w="853" w:type="dxa"/>
            <w:shd w:val="clear" w:color="000000" w:fill="FFFFFF"/>
            <w:vAlign w:val="center"/>
          </w:tcPr>
          <w:p w14:paraId="70250D82">
            <w:pPr>
              <w:widowControl/>
              <w:spacing w:line="0" w:lineRule="atLeast"/>
              <w:jc w:val="center"/>
              <w:rPr>
                <w:color w:val="000000"/>
                <w:kern w:val="0"/>
                <w:sz w:val="22"/>
                <w:szCs w:val="22"/>
                <w:highlight w:val="none"/>
              </w:rPr>
            </w:pPr>
            <w:r>
              <w:rPr>
                <w:color w:val="000000"/>
                <w:kern w:val="0"/>
                <w:sz w:val="22"/>
                <w:szCs w:val="22"/>
                <w:highlight w:val="none"/>
              </w:rPr>
              <w:t>1</w:t>
            </w:r>
            <w:r>
              <w:rPr>
                <w:rFonts w:hint="eastAsia"/>
                <w:color w:val="000000"/>
                <w:kern w:val="0"/>
                <w:sz w:val="22"/>
                <w:szCs w:val="22"/>
                <w:highlight w:val="none"/>
              </w:rPr>
              <w:t>0</w:t>
            </w:r>
          </w:p>
        </w:tc>
      </w:tr>
      <w:tr w14:paraId="429D730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jc w:val="center"/>
        </w:trPr>
        <w:tc>
          <w:tcPr>
            <w:tcW w:w="1104" w:type="dxa"/>
            <w:vMerge w:val="continue"/>
            <w:shd w:val="clear" w:color="auto" w:fill="FFFFFF"/>
            <w:vAlign w:val="center"/>
          </w:tcPr>
          <w:p w14:paraId="4555CCF4">
            <w:pPr>
              <w:widowControl/>
              <w:spacing w:line="0" w:lineRule="atLeast"/>
              <w:jc w:val="center"/>
              <w:rPr>
                <w:color w:val="000000"/>
                <w:kern w:val="0"/>
                <w:sz w:val="22"/>
                <w:szCs w:val="22"/>
              </w:rPr>
            </w:pPr>
          </w:p>
        </w:tc>
        <w:tc>
          <w:tcPr>
            <w:tcW w:w="759" w:type="dxa"/>
            <w:vMerge w:val="continue"/>
            <w:shd w:val="clear" w:color="auto" w:fill="FFFFFF"/>
            <w:vAlign w:val="center"/>
          </w:tcPr>
          <w:p w14:paraId="12EBC196">
            <w:pPr>
              <w:widowControl/>
              <w:spacing w:line="0" w:lineRule="atLeast"/>
              <w:jc w:val="center"/>
              <w:rPr>
                <w:color w:val="000000"/>
                <w:kern w:val="0"/>
                <w:sz w:val="22"/>
                <w:szCs w:val="22"/>
              </w:rPr>
            </w:pPr>
          </w:p>
        </w:tc>
        <w:tc>
          <w:tcPr>
            <w:tcW w:w="1514" w:type="dxa"/>
            <w:shd w:val="clear" w:color="auto" w:fill="FFFFFF"/>
            <w:vAlign w:val="center"/>
          </w:tcPr>
          <w:p w14:paraId="182EECFC">
            <w:pPr>
              <w:widowControl/>
              <w:spacing w:line="0" w:lineRule="atLeast"/>
              <w:jc w:val="center"/>
              <w:rPr>
                <w:color w:val="000000"/>
                <w:kern w:val="0"/>
                <w:sz w:val="22"/>
                <w:szCs w:val="22"/>
              </w:rPr>
            </w:pPr>
            <w:r>
              <w:rPr>
                <w:color w:val="000000"/>
                <w:kern w:val="0"/>
                <w:sz w:val="22"/>
                <w:szCs w:val="22"/>
              </w:rPr>
              <w:t>产出成本</w:t>
            </w:r>
          </w:p>
        </w:tc>
        <w:tc>
          <w:tcPr>
            <w:tcW w:w="1707" w:type="dxa"/>
            <w:shd w:val="clear" w:color="auto" w:fill="FFFFFF"/>
            <w:vAlign w:val="center"/>
          </w:tcPr>
          <w:p w14:paraId="609D0229">
            <w:pPr>
              <w:widowControl/>
              <w:spacing w:line="0" w:lineRule="atLeast"/>
              <w:jc w:val="center"/>
              <w:rPr>
                <w:color w:val="000000"/>
                <w:kern w:val="0"/>
                <w:sz w:val="22"/>
                <w:szCs w:val="22"/>
              </w:rPr>
            </w:pPr>
            <w:r>
              <w:rPr>
                <w:color w:val="000000"/>
                <w:kern w:val="0"/>
                <w:sz w:val="22"/>
                <w:szCs w:val="22"/>
              </w:rPr>
              <w:t>成本节约率</w:t>
            </w:r>
          </w:p>
        </w:tc>
        <w:tc>
          <w:tcPr>
            <w:tcW w:w="727" w:type="dxa"/>
            <w:shd w:val="clear" w:color="000000" w:fill="FFFFFF"/>
            <w:vAlign w:val="center"/>
          </w:tcPr>
          <w:p w14:paraId="735F2C2C">
            <w:pPr>
              <w:widowControl/>
              <w:spacing w:line="0" w:lineRule="atLeast"/>
              <w:jc w:val="center"/>
              <w:rPr>
                <w:color w:val="000000"/>
                <w:kern w:val="0"/>
                <w:sz w:val="22"/>
                <w:szCs w:val="22"/>
                <w:highlight w:val="none"/>
              </w:rPr>
            </w:pPr>
            <w:r>
              <w:rPr>
                <w:color w:val="000000"/>
                <w:kern w:val="0"/>
                <w:sz w:val="22"/>
                <w:szCs w:val="22"/>
                <w:highlight w:val="none"/>
              </w:rPr>
              <w:t>10</w:t>
            </w:r>
          </w:p>
        </w:tc>
        <w:tc>
          <w:tcPr>
            <w:tcW w:w="1044" w:type="dxa"/>
            <w:shd w:val="clear" w:color="000000" w:fill="FFFFFF"/>
            <w:vAlign w:val="center"/>
          </w:tcPr>
          <w:p w14:paraId="4DE17B1E">
            <w:pPr>
              <w:widowControl/>
              <w:spacing w:line="0" w:lineRule="atLeast"/>
              <w:jc w:val="center"/>
              <w:rPr>
                <w:color w:val="000000"/>
                <w:kern w:val="0"/>
                <w:sz w:val="22"/>
                <w:szCs w:val="22"/>
                <w:highlight w:val="none"/>
              </w:rPr>
            </w:pPr>
            <w:r>
              <w:rPr>
                <w:color w:val="000000"/>
                <w:kern w:val="0"/>
                <w:sz w:val="22"/>
                <w:szCs w:val="22"/>
                <w:highlight w:val="none"/>
              </w:rPr>
              <w:t>100%</w:t>
            </w:r>
          </w:p>
        </w:tc>
        <w:tc>
          <w:tcPr>
            <w:tcW w:w="924" w:type="dxa"/>
            <w:shd w:val="clear" w:color="000000" w:fill="FFFFFF"/>
            <w:vAlign w:val="center"/>
          </w:tcPr>
          <w:p w14:paraId="1A328E8E">
            <w:pPr>
              <w:widowControl/>
              <w:spacing w:line="0" w:lineRule="atLeast"/>
              <w:jc w:val="center"/>
              <w:rPr>
                <w:color w:val="000000"/>
                <w:kern w:val="0"/>
                <w:sz w:val="22"/>
                <w:szCs w:val="22"/>
                <w:highlight w:val="none"/>
              </w:rPr>
            </w:pPr>
            <w:r>
              <w:rPr>
                <w:rFonts w:hint="eastAsia"/>
                <w:color w:val="000000"/>
                <w:kern w:val="0"/>
                <w:sz w:val="22"/>
                <w:szCs w:val="22"/>
                <w:highlight w:val="none"/>
                <w:lang w:val="en-US" w:eastAsia="zh-CN"/>
              </w:rPr>
              <w:t>100</w:t>
            </w:r>
            <w:r>
              <w:rPr>
                <w:color w:val="000000"/>
                <w:kern w:val="0"/>
                <w:sz w:val="22"/>
                <w:szCs w:val="22"/>
                <w:highlight w:val="none"/>
              </w:rPr>
              <w:t>%</w:t>
            </w:r>
          </w:p>
        </w:tc>
        <w:tc>
          <w:tcPr>
            <w:tcW w:w="1022" w:type="dxa"/>
            <w:shd w:val="clear" w:color="000000" w:fill="FFFFFF"/>
            <w:vAlign w:val="center"/>
          </w:tcPr>
          <w:p w14:paraId="0AAA7820">
            <w:pPr>
              <w:widowControl/>
              <w:spacing w:line="0" w:lineRule="atLeast"/>
              <w:jc w:val="center"/>
              <w:rPr>
                <w:color w:val="000000"/>
                <w:kern w:val="0"/>
                <w:sz w:val="22"/>
                <w:szCs w:val="22"/>
                <w:highlight w:val="none"/>
              </w:rPr>
            </w:pPr>
            <w:r>
              <w:rPr>
                <w:rFonts w:hint="eastAsia"/>
                <w:color w:val="000000"/>
                <w:kern w:val="0"/>
                <w:sz w:val="22"/>
                <w:szCs w:val="22"/>
                <w:highlight w:val="none"/>
                <w:lang w:val="en-US" w:eastAsia="zh-CN"/>
              </w:rPr>
              <w:t>100%</w:t>
            </w:r>
          </w:p>
        </w:tc>
        <w:tc>
          <w:tcPr>
            <w:tcW w:w="853" w:type="dxa"/>
            <w:shd w:val="clear" w:color="000000" w:fill="FFFFFF"/>
            <w:vAlign w:val="center"/>
          </w:tcPr>
          <w:p w14:paraId="00A0FA87">
            <w:pPr>
              <w:widowControl/>
              <w:spacing w:line="0" w:lineRule="atLeast"/>
              <w:jc w:val="center"/>
              <w:rPr>
                <w:color w:val="000000"/>
                <w:kern w:val="0"/>
                <w:sz w:val="22"/>
                <w:szCs w:val="22"/>
                <w:highlight w:val="none"/>
              </w:rPr>
            </w:pPr>
            <w:r>
              <w:rPr>
                <w:color w:val="000000"/>
                <w:kern w:val="0"/>
                <w:sz w:val="22"/>
                <w:szCs w:val="22"/>
                <w:highlight w:val="none"/>
              </w:rPr>
              <w:t>10</w:t>
            </w:r>
          </w:p>
        </w:tc>
      </w:tr>
      <w:tr w14:paraId="7848909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jc w:val="center"/>
        </w:trPr>
        <w:tc>
          <w:tcPr>
            <w:tcW w:w="1104" w:type="dxa"/>
            <w:vMerge w:val="restart"/>
            <w:shd w:val="clear" w:color="auto" w:fill="FFFFFF"/>
            <w:vAlign w:val="center"/>
          </w:tcPr>
          <w:p w14:paraId="11D2922C">
            <w:pPr>
              <w:widowControl/>
              <w:spacing w:line="0" w:lineRule="atLeast"/>
              <w:jc w:val="center"/>
              <w:rPr>
                <w:color w:val="000000"/>
                <w:kern w:val="0"/>
                <w:sz w:val="22"/>
                <w:szCs w:val="22"/>
              </w:rPr>
            </w:pPr>
            <w:r>
              <w:rPr>
                <w:color w:val="000000"/>
                <w:kern w:val="0"/>
                <w:sz w:val="22"/>
                <w:szCs w:val="22"/>
              </w:rPr>
              <w:t>效益　</w:t>
            </w:r>
          </w:p>
        </w:tc>
        <w:tc>
          <w:tcPr>
            <w:tcW w:w="759" w:type="dxa"/>
            <w:vMerge w:val="restart"/>
            <w:shd w:val="clear" w:color="auto" w:fill="FFFFFF"/>
            <w:vAlign w:val="center"/>
          </w:tcPr>
          <w:p w14:paraId="314F1ABA">
            <w:pPr>
              <w:widowControl/>
              <w:spacing w:line="0" w:lineRule="atLeast"/>
              <w:jc w:val="center"/>
              <w:rPr>
                <w:color w:val="000000"/>
                <w:kern w:val="0"/>
                <w:sz w:val="22"/>
                <w:szCs w:val="22"/>
              </w:rPr>
            </w:pPr>
            <w:r>
              <w:rPr>
                <w:rFonts w:hint="eastAsia"/>
                <w:color w:val="000000"/>
                <w:kern w:val="0"/>
                <w:sz w:val="22"/>
                <w:szCs w:val="22"/>
              </w:rPr>
              <w:t>20</w:t>
            </w:r>
            <w:r>
              <w:rPr>
                <w:color w:val="000000"/>
                <w:kern w:val="0"/>
                <w:sz w:val="22"/>
                <w:szCs w:val="22"/>
              </w:rPr>
              <w:t>分</w:t>
            </w:r>
          </w:p>
        </w:tc>
        <w:tc>
          <w:tcPr>
            <w:tcW w:w="1514" w:type="dxa"/>
            <w:vMerge w:val="restart"/>
            <w:shd w:val="clear" w:color="auto" w:fill="FFFFFF"/>
            <w:vAlign w:val="center"/>
          </w:tcPr>
          <w:p w14:paraId="402B7C4D">
            <w:pPr>
              <w:widowControl/>
              <w:spacing w:line="0" w:lineRule="atLeast"/>
              <w:jc w:val="center"/>
              <w:rPr>
                <w:color w:val="000000"/>
                <w:kern w:val="0"/>
                <w:sz w:val="22"/>
                <w:szCs w:val="22"/>
              </w:rPr>
            </w:pPr>
            <w:r>
              <w:rPr>
                <w:color w:val="000000"/>
                <w:kern w:val="0"/>
                <w:sz w:val="22"/>
                <w:szCs w:val="22"/>
              </w:rPr>
              <w:t>项目效益　</w:t>
            </w:r>
          </w:p>
        </w:tc>
        <w:tc>
          <w:tcPr>
            <w:tcW w:w="1707" w:type="dxa"/>
            <w:shd w:val="clear" w:color="auto" w:fill="FFFFFF"/>
            <w:vAlign w:val="center"/>
          </w:tcPr>
          <w:p w14:paraId="6B56D448">
            <w:pPr>
              <w:widowControl/>
              <w:spacing w:line="0" w:lineRule="atLeast"/>
              <w:jc w:val="center"/>
              <w:rPr>
                <w:color w:val="000000"/>
                <w:kern w:val="0"/>
                <w:sz w:val="22"/>
                <w:szCs w:val="22"/>
              </w:rPr>
            </w:pPr>
            <w:r>
              <w:rPr>
                <w:color w:val="000000"/>
                <w:kern w:val="0"/>
                <w:sz w:val="22"/>
                <w:szCs w:val="22"/>
              </w:rPr>
              <w:t>实施效益</w:t>
            </w:r>
          </w:p>
          <w:p w14:paraId="74D70C67">
            <w:pPr>
              <w:widowControl/>
              <w:spacing w:line="0" w:lineRule="atLeast"/>
              <w:jc w:val="center"/>
              <w:rPr>
                <w:color w:val="000000"/>
                <w:kern w:val="0"/>
                <w:sz w:val="22"/>
                <w:szCs w:val="22"/>
              </w:rPr>
            </w:pPr>
            <w:r>
              <w:rPr>
                <w:color w:val="000000"/>
                <w:kern w:val="0"/>
                <w:sz w:val="22"/>
                <w:szCs w:val="22"/>
              </w:rPr>
              <w:t>（社会效益、经济效益、可持续效益）</w:t>
            </w:r>
          </w:p>
        </w:tc>
        <w:tc>
          <w:tcPr>
            <w:tcW w:w="727" w:type="dxa"/>
            <w:shd w:val="clear" w:color="auto" w:fill="FFFFFF"/>
            <w:vAlign w:val="center"/>
          </w:tcPr>
          <w:p w14:paraId="733D4D57">
            <w:pPr>
              <w:widowControl/>
              <w:spacing w:line="0" w:lineRule="atLeast"/>
              <w:jc w:val="center"/>
              <w:rPr>
                <w:color w:val="000000"/>
                <w:kern w:val="0"/>
                <w:sz w:val="22"/>
                <w:szCs w:val="22"/>
                <w:highlight w:val="none"/>
              </w:rPr>
            </w:pPr>
            <w:r>
              <w:rPr>
                <w:rFonts w:hint="eastAsia"/>
                <w:color w:val="000000"/>
                <w:kern w:val="0"/>
                <w:sz w:val="22"/>
                <w:szCs w:val="22"/>
                <w:highlight w:val="none"/>
              </w:rPr>
              <w:t>15</w:t>
            </w:r>
          </w:p>
        </w:tc>
        <w:tc>
          <w:tcPr>
            <w:tcW w:w="1044" w:type="dxa"/>
            <w:shd w:val="clear" w:color="auto" w:fill="FFFFFF"/>
            <w:vAlign w:val="center"/>
          </w:tcPr>
          <w:p w14:paraId="237FC675">
            <w:pPr>
              <w:widowControl/>
              <w:spacing w:line="0" w:lineRule="atLeast"/>
              <w:jc w:val="center"/>
              <w:rPr>
                <w:color w:val="000000"/>
                <w:kern w:val="0"/>
                <w:sz w:val="22"/>
                <w:szCs w:val="22"/>
                <w:highlight w:val="none"/>
              </w:rPr>
            </w:pPr>
            <w:r>
              <w:rPr>
                <w:color w:val="000000"/>
                <w:kern w:val="0"/>
                <w:sz w:val="22"/>
                <w:szCs w:val="22"/>
                <w:highlight w:val="none"/>
              </w:rPr>
              <w:t>有效</w:t>
            </w:r>
          </w:p>
        </w:tc>
        <w:tc>
          <w:tcPr>
            <w:tcW w:w="924" w:type="dxa"/>
            <w:shd w:val="clear" w:color="auto" w:fill="FFFFFF"/>
            <w:vAlign w:val="center"/>
          </w:tcPr>
          <w:p w14:paraId="17AAC38B">
            <w:pPr>
              <w:widowControl/>
              <w:spacing w:line="0" w:lineRule="atLeast"/>
              <w:jc w:val="center"/>
              <w:rPr>
                <w:color w:val="000000"/>
                <w:kern w:val="0"/>
                <w:sz w:val="22"/>
                <w:szCs w:val="22"/>
                <w:highlight w:val="none"/>
              </w:rPr>
            </w:pPr>
            <w:r>
              <w:rPr>
                <w:color w:val="000000"/>
                <w:kern w:val="0"/>
                <w:sz w:val="22"/>
                <w:szCs w:val="22"/>
                <w:highlight w:val="none"/>
              </w:rPr>
              <w:t>有效</w:t>
            </w:r>
          </w:p>
        </w:tc>
        <w:tc>
          <w:tcPr>
            <w:tcW w:w="1022" w:type="dxa"/>
            <w:shd w:val="clear" w:color="auto" w:fill="FFFFFF"/>
            <w:vAlign w:val="center"/>
          </w:tcPr>
          <w:p w14:paraId="00705B4C">
            <w:pPr>
              <w:widowControl/>
              <w:spacing w:line="0" w:lineRule="atLeast"/>
              <w:jc w:val="center"/>
              <w:rPr>
                <w:color w:val="000000"/>
                <w:kern w:val="0"/>
                <w:sz w:val="22"/>
                <w:szCs w:val="22"/>
                <w:highlight w:val="none"/>
              </w:rPr>
            </w:pPr>
            <w:r>
              <w:rPr>
                <w:rFonts w:hint="eastAsia"/>
                <w:color w:val="000000"/>
                <w:kern w:val="0"/>
                <w:sz w:val="22"/>
                <w:szCs w:val="22"/>
                <w:highlight w:val="none"/>
                <w:lang w:val="en-US" w:eastAsia="zh-CN"/>
              </w:rPr>
              <w:t>100%</w:t>
            </w:r>
          </w:p>
        </w:tc>
        <w:tc>
          <w:tcPr>
            <w:tcW w:w="853" w:type="dxa"/>
            <w:shd w:val="clear" w:color="auto" w:fill="FFFFFF"/>
            <w:vAlign w:val="center"/>
          </w:tcPr>
          <w:p w14:paraId="765A177E">
            <w:pPr>
              <w:widowControl/>
              <w:spacing w:line="0" w:lineRule="atLeast"/>
              <w:jc w:val="center"/>
              <w:rPr>
                <w:color w:val="000000"/>
                <w:kern w:val="0"/>
                <w:sz w:val="22"/>
                <w:szCs w:val="22"/>
                <w:highlight w:val="none"/>
              </w:rPr>
            </w:pPr>
            <w:r>
              <w:rPr>
                <w:rFonts w:hint="eastAsia"/>
                <w:color w:val="000000"/>
                <w:kern w:val="0"/>
                <w:sz w:val="22"/>
                <w:szCs w:val="22"/>
                <w:highlight w:val="none"/>
              </w:rPr>
              <w:t>15</w:t>
            </w:r>
          </w:p>
        </w:tc>
      </w:tr>
      <w:tr w14:paraId="64ADC95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jc w:val="center"/>
        </w:trPr>
        <w:tc>
          <w:tcPr>
            <w:tcW w:w="1104" w:type="dxa"/>
            <w:vMerge w:val="continue"/>
            <w:shd w:val="clear" w:color="auto" w:fill="FFFFFF"/>
            <w:vAlign w:val="center"/>
          </w:tcPr>
          <w:p w14:paraId="20FF206E">
            <w:pPr>
              <w:widowControl/>
              <w:spacing w:line="0" w:lineRule="atLeast"/>
              <w:jc w:val="center"/>
              <w:rPr>
                <w:color w:val="000000"/>
                <w:kern w:val="0"/>
                <w:sz w:val="22"/>
                <w:szCs w:val="22"/>
              </w:rPr>
            </w:pPr>
          </w:p>
        </w:tc>
        <w:tc>
          <w:tcPr>
            <w:tcW w:w="759" w:type="dxa"/>
            <w:vMerge w:val="continue"/>
            <w:shd w:val="clear" w:color="auto" w:fill="FFFFFF"/>
            <w:vAlign w:val="center"/>
          </w:tcPr>
          <w:p w14:paraId="77C96D3A">
            <w:pPr>
              <w:widowControl/>
              <w:spacing w:line="0" w:lineRule="atLeast"/>
              <w:jc w:val="center"/>
              <w:rPr>
                <w:color w:val="000000"/>
                <w:kern w:val="0"/>
                <w:sz w:val="22"/>
                <w:szCs w:val="22"/>
              </w:rPr>
            </w:pPr>
          </w:p>
        </w:tc>
        <w:tc>
          <w:tcPr>
            <w:tcW w:w="1514" w:type="dxa"/>
            <w:vMerge w:val="continue"/>
            <w:shd w:val="clear" w:color="auto" w:fill="FFFFFF"/>
            <w:vAlign w:val="center"/>
          </w:tcPr>
          <w:p w14:paraId="3D34346C">
            <w:pPr>
              <w:widowControl/>
              <w:spacing w:line="0" w:lineRule="atLeast"/>
              <w:jc w:val="center"/>
              <w:rPr>
                <w:color w:val="000000"/>
                <w:kern w:val="0"/>
                <w:sz w:val="22"/>
                <w:szCs w:val="22"/>
              </w:rPr>
            </w:pPr>
          </w:p>
        </w:tc>
        <w:tc>
          <w:tcPr>
            <w:tcW w:w="1707" w:type="dxa"/>
            <w:shd w:val="clear" w:color="auto" w:fill="FFFFFF"/>
            <w:vAlign w:val="center"/>
          </w:tcPr>
          <w:p w14:paraId="4D7DD557">
            <w:pPr>
              <w:widowControl/>
              <w:spacing w:line="0" w:lineRule="atLeast"/>
              <w:jc w:val="center"/>
              <w:rPr>
                <w:color w:val="000000"/>
                <w:kern w:val="0"/>
                <w:sz w:val="22"/>
                <w:szCs w:val="22"/>
              </w:rPr>
            </w:pPr>
            <w:r>
              <w:rPr>
                <w:color w:val="000000"/>
                <w:kern w:val="0"/>
                <w:sz w:val="22"/>
                <w:szCs w:val="22"/>
              </w:rPr>
              <w:t>满意度</w:t>
            </w:r>
          </w:p>
        </w:tc>
        <w:tc>
          <w:tcPr>
            <w:tcW w:w="727" w:type="dxa"/>
            <w:shd w:val="clear" w:color="000000" w:fill="FFFFFF"/>
            <w:vAlign w:val="center"/>
          </w:tcPr>
          <w:p w14:paraId="744FBDE5">
            <w:pPr>
              <w:widowControl/>
              <w:spacing w:line="0" w:lineRule="atLeast"/>
              <w:jc w:val="center"/>
              <w:rPr>
                <w:color w:val="000000"/>
                <w:kern w:val="0"/>
                <w:sz w:val="22"/>
                <w:szCs w:val="22"/>
                <w:highlight w:val="none"/>
              </w:rPr>
            </w:pPr>
            <w:r>
              <w:rPr>
                <w:rFonts w:hint="eastAsia"/>
                <w:color w:val="000000"/>
                <w:kern w:val="0"/>
                <w:sz w:val="22"/>
                <w:szCs w:val="22"/>
                <w:highlight w:val="none"/>
              </w:rPr>
              <w:t>5</w:t>
            </w:r>
          </w:p>
        </w:tc>
        <w:tc>
          <w:tcPr>
            <w:tcW w:w="1044" w:type="dxa"/>
            <w:shd w:val="clear" w:color="000000" w:fill="FFFFFF"/>
            <w:vAlign w:val="center"/>
          </w:tcPr>
          <w:p w14:paraId="46420AAB">
            <w:pPr>
              <w:widowControl/>
              <w:spacing w:line="0" w:lineRule="atLeast"/>
              <w:jc w:val="center"/>
              <w:rPr>
                <w:color w:val="000000"/>
                <w:kern w:val="0"/>
                <w:sz w:val="22"/>
                <w:szCs w:val="22"/>
                <w:highlight w:val="none"/>
              </w:rPr>
            </w:pPr>
            <w:r>
              <w:rPr>
                <w:color w:val="000000"/>
                <w:kern w:val="0"/>
                <w:sz w:val="22"/>
                <w:szCs w:val="22"/>
                <w:highlight w:val="none"/>
              </w:rPr>
              <w:t>≥</w:t>
            </w:r>
            <w:r>
              <w:rPr>
                <w:rFonts w:hint="eastAsia"/>
                <w:color w:val="000000"/>
                <w:kern w:val="0"/>
                <w:sz w:val="22"/>
                <w:szCs w:val="22"/>
                <w:highlight w:val="none"/>
                <w:lang w:val="en-US" w:eastAsia="zh-CN"/>
              </w:rPr>
              <w:t>90</w:t>
            </w:r>
            <w:r>
              <w:rPr>
                <w:color w:val="000000"/>
                <w:kern w:val="0"/>
                <w:sz w:val="22"/>
                <w:szCs w:val="22"/>
                <w:highlight w:val="none"/>
              </w:rPr>
              <w:t>%</w:t>
            </w:r>
          </w:p>
        </w:tc>
        <w:tc>
          <w:tcPr>
            <w:tcW w:w="924" w:type="dxa"/>
            <w:shd w:val="clear" w:color="000000" w:fill="FFFFFF"/>
            <w:vAlign w:val="center"/>
          </w:tcPr>
          <w:p w14:paraId="5CA16E9D">
            <w:pPr>
              <w:widowControl/>
              <w:spacing w:line="0" w:lineRule="atLeast"/>
              <w:jc w:val="center"/>
              <w:rPr>
                <w:color w:val="000000"/>
                <w:kern w:val="0"/>
                <w:sz w:val="22"/>
                <w:szCs w:val="22"/>
                <w:highlight w:val="none"/>
              </w:rPr>
            </w:pPr>
            <w:r>
              <w:rPr>
                <w:rFonts w:hint="eastAsia"/>
                <w:color w:val="000000"/>
                <w:kern w:val="0"/>
                <w:sz w:val="22"/>
                <w:szCs w:val="22"/>
                <w:highlight w:val="none"/>
                <w:lang w:val="en-US" w:eastAsia="zh-CN"/>
              </w:rPr>
              <w:t>91</w:t>
            </w:r>
            <w:r>
              <w:rPr>
                <w:color w:val="000000"/>
                <w:kern w:val="0"/>
                <w:sz w:val="22"/>
                <w:szCs w:val="22"/>
                <w:highlight w:val="none"/>
              </w:rPr>
              <w:t>%</w:t>
            </w:r>
          </w:p>
        </w:tc>
        <w:tc>
          <w:tcPr>
            <w:tcW w:w="1022" w:type="dxa"/>
            <w:shd w:val="clear" w:color="000000" w:fill="FFFFFF"/>
            <w:vAlign w:val="center"/>
          </w:tcPr>
          <w:p w14:paraId="2ACF60E8">
            <w:pPr>
              <w:widowControl/>
              <w:spacing w:line="0" w:lineRule="atLeast"/>
              <w:jc w:val="center"/>
              <w:rPr>
                <w:color w:val="000000"/>
                <w:kern w:val="0"/>
                <w:sz w:val="22"/>
                <w:szCs w:val="22"/>
                <w:highlight w:val="none"/>
              </w:rPr>
            </w:pPr>
            <w:r>
              <w:rPr>
                <w:rFonts w:hint="eastAsia"/>
                <w:color w:val="000000"/>
                <w:kern w:val="0"/>
                <w:sz w:val="22"/>
                <w:szCs w:val="22"/>
                <w:highlight w:val="none"/>
                <w:lang w:val="en-US" w:eastAsia="zh-CN"/>
              </w:rPr>
              <w:t>100%</w:t>
            </w:r>
          </w:p>
        </w:tc>
        <w:tc>
          <w:tcPr>
            <w:tcW w:w="853" w:type="dxa"/>
            <w:shd w:val="clear" w:color="000000" w:fill="FFFFFF"/>
            <w:vAlign w:val="center"/>
          </w:tcPr>
          <w:p w14:paraId="44132BCE">
            <w:pPr>
              <w:widowControl/>
              <w:spacing w:line="0" w:lineRule="atLeast"/>
              <w:jc w:val="center"/>
              <w:rPr>
                <w:color w:val="000000"/>
                <w:kern w:val="0"/>
                <w:sz w:val="22"/>
                <w:szCs w:val="22"/>
                <w:highlight w:val="none"/>
              </w:rPr>
            </w:pPr>
            <w:r>
              <w:rPr>
                <w:rFonts w:hint="eastAsia"/>
                <w:color w:val="000000"/>
                <w:kern w:val="0"/>
                <w:sz w:val="22"/>
                <w:szCs w:val="22"/>
                <w:highlight w:val="none"/>
              </w:rPr>
              <w:t>5</w:t>
            </w:r>
          </w:p>
        </w:tc>
      </w:tr>
    </w:tbl>
    <w:p w14:paraId="3820D1CD">
      <w:pPr>
        <w:pageBreakBefore w:val="0"/>
        <w:kinsoku/>
        <w:wordWrap/>
        <w:overflowPunct/>
        <w:topLinePunct w:val="0"/>
        <w:autoSpaceDE/>
        <w:autoSpaceDN/>
        <w:bidi w:val="0"/>
        <w:adjustRightInd/>
        <w:snapToGrid/>
        <w:spacing w:line="560" w:lineRule="exact"/>
        <w:ind w:firstLine="320" w:firstLineChars="100"/>
        <w:textAlignment w:val="auto"/>
        <w:rPr>
          <w:rFonts w:eastAsia="黑体"/>
          <w:sz w:val="32"/>
          <w:szCs w:val="32"/>
        </w:rPr>
      </w:pPr>
      <w:r>
        <w:rPr>
          <w:rFonts w:eastAsia="黑体"/>
          <w:sz w:val="32"/>
          <w:szCs w:val="32"/>
        </w:rPr>
        <w:t>四、绩效评价指标分析</w:t>
      </w:r>
    </w:p>
    <w:p w14:paraId="45D13DDF">
      <w:pPr>
        <w:pStyle w:val="2"/>
        <w:pageBreakBefore w:val="0"/>
        <w:kinsoku/>
        <w:wordWrap/>
        <w:overflowPunct/>
        <w:topLinePunct w:val="0"/>
        <w:autoSpaceDE/>
        <w:autoSpaceDN/>
        <w:bidi w:val="0"/>
        <w:adjustRightInd/>
        <w:snapToGrid/>
        <w:spacing w:line="560" w:lineRule="exact"/>
        <w:ind w:firstLine="321" w:firstLineChars="100"/>
        <w:jc w:val="both"/>
        <w:textAlignment w:val="auto"/>
        <w:rPr>
          <w:rFonts w:ascii="Times New Roman" w:hAnsi="Times New Roman" w:eastAsia="楷体_GB2312"/>
        </w:rPr>
      </w:pPr>
      <w:r>
        <w:rPr>
          <w:rFonts w:ascii="Times New Roman" w:hAnsi="Times New Roman" w:eastAsia="楷体_GB2312"/>
        </w:rPr>
        <w:t>（一）项目决策情况</w:t>
      </w:r>
    </w:p>
    <w:p w14:paraId="5D3412EF">
      <w:pPr>
        <w:shd w:val="clear"/>
        <w:spacing w:line="600" w:lineRule="exact"/>
        <w:ind w:firstLine="600" w:firstLineChars="200"/>
        <w:outlineLvl w:val="0"/>
        <w:rPr>
          <w:rFonts w:hint="eastAsia" w:ascii="仿宋_GB2312" w:hAnsi="仿宋_GB2312" w:eastAsia="仿宋_GB2312" w:cs="仿宋_GB2312"/>
          <w:sz w:val="30"/>
          <w:szCs w:val="30"/>
          <w:highlight w:val="none"/>
          <w:lang w:val="en-US" w:eastAsia="zh-CN"/>
        </w:rPr>
      </w:pPr>
      <w:r>
        <w:rPr>
          <w:rFonts w:hint="eastAsia" w:ascii="仿宋_GB2312" w:hAnsi="仿宋_GB2312" w:eastAsia="仿宋_GB2312" w:cs="仿宋_GB2312"/>
          <w:sz w:val="30"/>
          <w:szCs w:val="30"/>
          <w:highlight w:val="none"/>
          <w:lang w:val="en-US" w:eastAsia="zh-CN"/>
        </w:rPr>
        <w:t>项目决策类指标包括项目立项、绩效目标和资金投入三方面的内容，由6个三级指标构成，权重分值为20分，实际得分20分，得分率为100%。</w:t>
      </w:r>
    </w:p>
    <w:p w14:paraId="1E21A3C5">
      <w:pPr>
        <w:pStyle w:val="55"/>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eastAsia" w:ascii="仿宋_GB2312" w:hAnsi="仿宋_GB2312" w:eastAsia="仿宋_GB2312" w:cs="仿宋_GB2312"/>
          <w:sz w:val="32"/>
          <w:szCs w:val="22"/>
          <w:highlight w:val="none"/>
          <w:lang w:val="en-US" w:eastAsia="zh-CN"/>
        </w:rPr>
      </w:pPr>
      <w:r>
        <w:rPr>
          <w:rFonts w:hint="eastAsia" w:ascii="仿宋_GB2312" w:hAnsi="仿宋_GB2312" w:eastAsia="仿宋_GB2312" w:cs="仿宋_GB2312"/>
          <w:sz w:val="32"/>
          <w:szCs w:val="22"/>
          <w:highlight w:val="none"/>
          <w:lang w:val="en-US" w:eastAsia="zh-CN"/>
        </w:rPr>
        <w:t>按照《新疆维吾尔自治区中小企业发展专项资金管理暂行办法》的要求，会同当地财政部门建立专家评审会，共同组织技术、财务、市场等方面的专家，按照自治区工信厅提供的项目申报指南和评审要求，对申报项目分类进行逐一评审，并在规定时间内，确定支持项目名单。</w:t>
      </w:r>
    </w:p>
    <w:p w14:paraId="77B57A9E">
      <w:pPr>
        <w:pStyle w:val="55"/>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1.项目立项</w:t>
      </w:r>
    </w:p>
    <w:p w14:paraId="735C622D">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（1）立项依据充分性</w:t>
      </w:r>
    </w:p>
    <w:p w14:paraId="67DE764E">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该项目立项符合国家相关法律法规及发展政策，符合行业规划要求，围绕本年度工作重点和工作计划制定经费预算，属于公共财政支持范围。本项目与部门内部其他相关项目不重复。部门发展规划及职能文件等归档完整。</w:t>
      </w:r>
    </w:p>
    <w:p w14:paraId="39854943">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（2）立项程序规范性</w:t>
      </w:r>
    </w:p>
    <w:p w14:paraId="224406CB">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项目申请、设立过程符合相关要求，</w:t>
      </w:r>
      <w:r>
        <w:rPr>
          <w:rFonts w:hint="eastAsia" w:ascii="仿宋_GB2312" w:hAnsi="仿宋_GB2312" w:eastAsia="仿宋_GB2312" w:cs="仿宋_GB2312"/>
          <w:sz w:val="32"/>
          <w:szCs w:val="32"/>
          <w:lang w:eastAsia="zh-Hans"/>
        </w:rPr>
        <w:t>严格按照审批流程准备符合要求的文件、材料；</w:t>
      </w:r>
      <w:r>
        <w:rPr>
          <w:rFonts w:hint="eastAsia" w:ascii="仿宋_GB2312" w:hAnsi="仿宋_GB2312" w:eastAsia="仿宋_GB2312" w:cs="仿宋_GB2312"/>
          <w:sz w:val="32"/>
          <w:szCs w:val="32"/>
          <w:lang w:val="en-US" w:eastAsia="zh-CN"/>
        </w:rPr>
        <w:t>根据决算依据编制工作计划和经费预算，经过与部门项目分管领导沟通、筛选确定经费预算计划，确定最终预算方案。项目的审批文件、材料符合相关要求，项目事前经过必要的可行性研究、风险评估、绩效评估、集体决策，保障了程序的规范性。</w:t>
      </w:r>
    </w:p>
    <w:p w14:paraId="56A905EB">
      <w:pPr>
        <w:pStyle w:val="55"/>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2.绩效目标</w:t>
      </w:r>
    </w:p>
    <w:p w14:paraId="19410058">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（1）绩效目标合理性</w:t>
      </w:r>
    </w:p>
    <w:p w14:paraId="51DECE2F">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Hans"/>
        </w:rPr>
        <w:t>年初结合实际工作内容</w:t>
      </w:r>
      <w:r>
        <w:rPr>
          <w:rFonts w:hint="eastAsia" w:ascii="仿宋_GB2312" w:hAnsi="仿宋_GB2312" w:eastAsia="仿宋_GB2312" w:cs="仿宋_GB2312"/>
          <w:sz w:val="32"/>
          <w:szCs w:val="32"/>
          <w:lang w:val="en-US" w:eastAsia="zh-CN"/>
        </w:rPr>
        <w:t>设定绩效目标</w:t>
      </w:r>
      <w:r>
        <w:rPr>
          <w:rFonts w:hint="eastAsia" w:ascii="仿宋_GB2312" w:hAnsi="仿宋_GB2312" w:eastAsia="仿宋_GB2312" w:cs="仿宋_GB2312"/>
          <w:sz w:val="32"/>
          <w:szCs w:val="32"/>
          <w:lang w:val="en-US" w:eastAsia="zh-Hans"/>
        </w:rPr>
        <w:t>，绩效目标</w:t>
      </w:r>
      <w:r>
        <w:rPr>
          <w:rFonts w:hint="eastAsia" w:ascii="仿宋_GB2312" w:hAnsi="仿宋_GB2312" w:eastAsia="仿宋_GB2312" w:cs="仿宋_GB2312"/>
          <w:sz w:val="32"/>
          <w:szCs w:val="32"/>
          <w:lang w:val="en-US" w:eastAsia="zh-CN"/>
        </w:rPr>
        <w:t>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w:t>
      </w:r>
    </w:p>
    <w:p w14:paraId="05BDFD51">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（2）绩效指标明确性</w:t>
      </w:r>
    </w:p>
    <w:p w14:paraId="435FDACD">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项目设置了明确的预期产出效益和效果，将绩效目标细化分解为具体的绩效指标，绩效目标与项目目标任务数相对应，绩效目标设定的绩效指标清晰、细化、可衡量。</w:t>
      </w:r>
    </w:p>
    <w:p w14:paraId="618E5451">
      <w:pPr>
        <w:pStyle w:val="55"/>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3.资金投入</w:t>
      </w:r>
    </w:p>
    <w:p w14:paraId="263155BC">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（1）预算编制科学性</w:t>
      </w:r>
    </w:p>
    <w:p w14:paraId="1B69CFCE">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预算编制经过科学论证，提供充分的测算依据佐证资料，预算内容与项目内容相匹配。项目投资额与工作任务相匹配。</w:t>
      </w:r>
    </w:p>
    <w:p w14:paraId="2B9BCE92">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（2）资金分配合理性</w:t>
      </w:r>
    </w:p>
    <w:p w14:paraId="54AF0A57">
      <w:pPr>
        <w:keepNext w:val="0"/>
        <w:keepLines w:val="0"/>
        <w:pageBreakBefore w:val="0"/>
        <w:kinsoku/>
        <w:wordWrap/>
        <w:overflowPunct/>
        <w:topLinePunct w:val="0"/>
        <w:autoSpaceDE/>
        <w:autoSpaceDN/>
        <w:bidi w:val="0"/>
        <w:adjustRightInd/>
        <w:snapToGrid/>
        <w:spacing w:after="0" w:line="560" w:lineRule="exact"/>
        <w:ind w:left="0" w:leftChars="0" w:right="0" w:rightChars="0" w:firstLine="579" w:firstLineChars="181"/>
        <w:textAlignment w:val="auto"/>
        <w:rPr>
          <w:rFonts w:hint="eastAsia" w:ascii="仿宋_GB2312" w:hAnsi="仿宋_GB2312" w:eastAsia="仿宋_GB2312" w:cs="仿宋_GB2312"/>
          <w:sz w:val="32"/>
          <w:szCs w:val="22"/>
          <w:highlight w:val="none"/>
          <w:lang w:val="en-US" w:eastAsia="zh-CN"/>
        </w:rPr>
      </w:pPr>
      <w:r>
        <w:rPr>
          <w:rFonts w:hint="eastAsia" w:ascii="仿宋_GB2312" w:hAnsi="仿宋_GB2312" w:eastAsia="仿宋_GB2312" w:cs="仿宋_GB2312"/>
          <w:sz w:val="32"/>
          <w:szCs w:val="32"/>
          <w:lang w:val="en-US" w:eastAsia="zh-CN"/>
        </w:rPr>
        <w:t>资金分配额度与项目单位实际工作内容相适应，资金分配额度合理，资金分配依据充分。</w:t>
      </w:r>
    </w:p>
    <w:p w14:paraId="0CAEA0B1">
      <w:pPr>
        <w:pStyle w:val="2"/>
        <w:pageBreakBefore w:val="0"/>
        <w:kinsoku/>
        <w:wordWrap/>
        <w:overflowPunct/>
        <w:topLinePunct w:val="0"/>
        <w:autoSpaceDE/>
        <w:autoSpaceDN/>
        <w:bidi w:val="0"/>
        <w:adjustRightInd/>
        <w:snapToGrid/>
        <w:spacing w:line="560" w:lineRule="exact"/>
        <w:ind w:firstLine="321" w:firstLineChars="100"/>
        <w:jc w:val="both"/>
        <w:textAlignment w:val="auto"/>
        <w:rPr>
          <w:rFonts w:ascii="Times New Roman" w:hAnsi="Times New Roman" w:eastAsia="楷体_GB2312"/>
        </w:rPr>
      </w:pPr>
      <w:r>
        <w:rPr>
          <w:rFonts w:hint="eastAsia" w:ascii="Times New Roman" w:hAnsi="Times New Roman" w:eastAsia="楷体_GB2312"/>
        </w:rPr>
        <w:t>（二）</w:t>
      </w:r>
      <w:r>
        <w:rPr>
          <w:rFonts w:ascii="Times New Roman" w:hAnsi="Times New Roman" w:eastAsia="楷体_GB2312"/>
        </w:rPr>
        <w:t>项目过程情况</w:t>
      </w:r>
    </w:p>
    <w:p w14:paraId="301C9BD9">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项目过程类指标包括资金管理和组织实施两方面的内容，由5个三级指标构成，权重分值为20分，实际得分19分，得分率为95%。</w:t>
      </w:r>
    </w:p>
    <w:p w14:paraId="787CBB86">
      <w:pPr>
        <w:keepNext w:val="0"/>
        <w:keepLines w:val="0"/>
        <w:pageBreakBefore w:val="0"/>
        <w:kinsoku/>
        <w:wordWrap/>
        <w:overflowPunct/>
        <w:topLinePunct w:val="0"/>
        <w:autoSpaceDE/>
        <w:autoSpaceDN/>
        <w:bidi w:val="0"/>
        <w:adjustRightInd/>
        <w:snapToGrid/>
        <w:spacing w:after="0" w:line="560" w:lineRule="exact"/>
        <w:ind w:firstLine="640" w:firstLineChars="200"/>
        <w:textAlignment w:val="auto"/>
        <w:rPr>
          <w:rFonts w:hint="eastAsia" w:ascii="仿宋_GB2312" w:hAnsi="仿宋_GB2312" w:eastAsia="仿宋_GB2312" w:cs="仿宋_GB2312"/>
          <w:sz w:val="32"/>
          <w:szCs w:val="22"/>
          <w:highlight w:val="none"/>
          <w:lang w:val="en-US" w:eastAsia="zh-CN"/>
        </w:rPr>
      </w:pPr>
      <w:r>
        <w:rPr>
          <w:rFonts w:hint="eastAsia" w:ascii="仿宋_GB2312" w:hAnsi="仿宋_GB2312" w:eastAsia="仿宋_GB2312" w:cs="仿宋_GB2312"/>
          <w:sz w:val="32"/>
          <w:szCs w:val="22"/>
          <w:highlight w:val="none"/>
          <w:lang w:val="en-US" w:eastAsia="zh-CN"/>
        </w:rPr>
        <w:t>自治区工信厅会同财政厅按照因素分配法制定了项目资金分配方案，提出资金使用范围及用途，要求各项目单位对项目资金进行严格管理，规范资金使用程序、专款专用，把奖补资金用在实处，提高资金的使用效益。总体来看，本项目资金的整体管理水平较高，做到了专款专用、及时拨付、规范支付，保障中小企业发展专项资金支付需求，确保项目顺利实施。</w:t>
      </w:r>
    </w:p>
    <w:p w14:paraId="4F083F8F">
      <w:pPr>
        <w:pStyle w:val="2"/>
        <w:pageBreakBefore w:val="0"/>
        <w:kinsoku/>
        <w:wordWrap/>
        <w:overflowPunct/>
        <w:topLinePunct w:val="0"/>
        <w:autoSpaceDE/>
        <w:autoSpaceDN/>
        <w:bidi w:val="0"/>
        <w:adjustRightInd/>
        <w:snapToGrid/>
        <w:spacing w:line="560" w:lineRule="exact"/>
        <w:ind w:firstLine="321" w:firstLineChars="100"/>
        <w:jc w:val="both"/>
        <w:textAlignment w:val="auto"/>
        <w:rPr>
          <w:rFonts w:ascii="Times New Roman" w:hAnsi="Times New Roman" w:eastAsia="楷体_GB2312"/>
        </w:rPr>
      </w:pPr>
      <w:r>
        <w:rPr>
          <w:rFonts w:hint="eastAsia" w:ascii="Times New Roman" w:hAnsi="Times New Roman" w:eastAsia="楷体_GB2312"/>
        </w:rPr>
        <w:t>（三）</w:t>
      </w:r>
      <w:r>
        <w:rPr>
          <w:rFonts w:ascii="Times New Roman" w:hAnsi="Times New Roman" w:eastAsia="楷体_GB2312"/>
        </w:rPr>
        <w:t>项目产出</w:t>
      </w:r>
    </w:p>
    <w:p w14:paraId="7946B796">
      <w:pPr>
        <w:keepNext w:val="0"/>
        <w:keepLines w:val="0"/>
        <w:pageBreakBefore w:val="0"/>
        <w:widowControl w:val="0"/>
        <w:kinsoku/>
        <w:wordWrap/>
        <w:overflowPunct/>
        <w:topLinePunct w:val="0"/>
        <w:autoSpaceDE/>
        <w:autoSpaceDN/>
        <w:bidi w:val="0"/>
        <w:adjustRightInd/>
        <w:snapToGrid/>
        <w:spacing w:after="0" w:line="560" w:lineRule="exact"/>
        <w:ind w:firstLine="640" w:firstLineChars="200"/>
        <w:textAlignment w:val="auto"/>
        <w:rPr>
          <w:rFonts w:hint="default" w:ascii="Times New Roman" w:hAnsi="Times New Roman" w:eastAsia="仿宋_GB2312" w:cs="Times New Roman"/>
          <w:b/>
          <w:bCs/>
          <w:color w:val="auto"/>
          <w:sz w:val="32"/>
          <w:highlight w:val="none"/>
          <w:lang w:val="en-US" w:eastAsia="zh-CN"/>
        </w:rPr>
      </w:pPr>
      <w:r>
        <w:rPr>
          <w:rFonts w:hint="eastAsia" w:ascii="仿宋_GB2312" w:hAnsi="仿宋_GB2312" w:eastAsia="仿宋_GB2312" w:cs="仿宋_GB2312"/>
          <w:sz w:val="32"/>
          <w:szCs w:val="32"/>
          <w:highlight w:val="none"/>
          <w:lang w:val="en-US" w:eastAsia="zh-CN"/>
        </w:rPr>
        <w:t>项目产出类指标包括产出数量、产出质量、产出时效、产出成本四方面的内容，由11个三级指标构成，权重分为40分，实际得分38分，得分率为95%。具体产出指标完成情况如下：</w:t>
      </w:r>
    </w:p>
    <w:p w14:paraId="2790B275">
      <w:pPr>
        <w:keepNext w:val="0"/>
        <w:keepLines w:val="0"/>
        <w:pageBreakBefore w:val="0"/>
        <w:widowControl w:val="0"/>
        <w:kinsoku/>
        <w:wordWrap/>
        <w:overflowPunct/>
        <w:topLinePunct w:val="0"/>
        <w:autoSpaceDE/>
        <w:autoSpaceDN/>
        <w:bidi w:val="0"/>
        <w:adjustRightInd/>
        <w:snapToGrid/>
        <w:spacing w:line="560" w:lineRule="exact"/>
        <w:ind w:left="0" w:leftChars="0" w:firstLine="643" w:firstLineChars="200"/>
        <w:jc w:val="both"/>
        <w:textAlignment w:val="auto"/>
        <w:rPr>
          <w:rFonts w:hint="default" w:ascii="Times New Roman" w:hAnsi="Times New Roman" w:eastAsia="仿宋_GB2312" w:cs="Times New Roman"/>
          <w:b/>
          <w:bCs/>
          <w:color w:val="auto"/>
          <w:sz w:val="32"/>
          <w:highlight w:val="none"/>
          <w:lang w:val="en-US" w:eastAsia="zh-CN"/>
        </w:rPr>
      </w:pPr>
      <w:r>
        <w:rPr>
          <w:rFonts w:hint="eastAsia" w:eastAsia="仿宋_GB2312" w:cs="Times New Roman"/>
          <w:b/>
          <w:bCs/>
          <w:color w:val="auto"/>
          <w:sz w:val="32"/>
          <w:highlight w:val="none"/>
          <w:lang w:val="en-US" w:eastAsia="zh-CN"/>
        </w:rPr>
        <w:t>①.</w:t>
      </w:r>
      <w:r>
        <w:rPr>
          <w:rFonts w:hint="default" w:ascii="Times New Roman" w:hAnsi="Times New Roman" w:eastAsia="仿宋_GB2312" w:cs="Times New Roman"/>
          <w:b/>
          <w:bCs/>
          <w:color w:val="auto"/>
          <w:sz w:val="32"/>
          <w:highlight w:val="none"/>
          <w:lang w:val="en-US" w:eastAsia="zh-CN"/>
        </w:rPr>
        <w:t>数量指标</w:t>
      </w:r>
    </w:p>
    <w:p w14:paraId="6D935F86">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default" w:ascii="Times New Roman" w:hAnsi="Times New Roman" w:eastAsia="仿宋_GB2312" w:cs="Times New Roman"/>
          <w:b w:val="0"/>
          <w:bCs w:val="0"/>
          <w:color w:val="auto"/>
          <w:kern w:val="2"/>
          <w:sz w:val="32"/>
          <w:szCs w:val="21"/>
          <w:highlight w:val="none"/>
          <w:lang w:val="en-US" w:eastAsia="zh-CN" w:bidi="ar-SA"/>
        </w:rPr>
      </w:pPr>
      <w:r>
        <w:rPr>
          <w:rFonts w:hint="eastAsia" w:eastAsia="仿宋_GB2312" w:cs="Times New Roman"/>
          <w:b w:val="0"/>
          <w:bCs w:val="0"/>
          <w:color w:val="auto"/>
          <w:kern w:val="2"/>
          <w:sz w:val="32"/>
          <w:szCs w:val="21"/>
          <w:highlight w:val="none"/>
          <w:lang w:val="en-US" w:eastAsia="zh-CN" w:bidi="ar-SA"/>
        </w:rPr>
        <w:t>指标1：</w:t>
      </w:r>
      <w:r>
        <w:rPr>
          <w:rFonts w:hint="eastAsia" w:ascii="Times New Roman" w:hAnsi="Times New Roman" w:eastAsia="仿宋_GB2312" w:cs="Times New Roman"/>
          <w:b w:val="0"/>
          <w:bCs w:val="0"/>
          <w:color w:val="auto"/>
          <w:kern w:val="2"/>
          <w:sz w:val="32"/>
          <w:szCs w:val="21"/>
          <w:highlight w:val="none"/>
          <w:lang w:val="en-US" w:eastAsia="zh-CN" w:bidi="ar-SA"/>
        </w:rPr>
        <w:t>奖励专精特新“小巨人”企业数量指标值为10家，实际奖励专精特新“小巨人”企业数量指标值为13家，</w:t>
      </w:r>
      <w:r>
        <w:rPr>
          <w:rFonts w:hint="default" w:ascii="Times New Roman" w:hAnsi="Times New Roman" w:eastAsia="仿宋_GB2312" w:cs="Times New Roman"/>
          <w:color w:val="auto"/>
          <w:kern w:val="2"/>
          <w:sz w:val="32"/>
          <w:szCs w:val="21"/>
          <w:highlight w:val="none"/>
          <w:lang w:val="en-US" w:eastAsia="zh-CN" w:bidi="ar-SA"/>
        </w:rPr>
        <w:t>完成绩效目标</w:t>
      </w:r>
      <w:r>
        <w:rPr>
          <w:rFonts w:hint="eastAsia" w:ascii="Times New Roman" w:hAnsi="Times New Roman" w:eastAsia="仿宋_GB2312" w:cs="Times New Roman"/>
          <w:color w:val="auto"/>
          <w:kern w:val="2"/>
          <w:sz w:val="32"/>
          <w:szCs w:val="21"/>
          <w:highlight w:val="none"/>
          <w:lang w:val="en-US" w:eastAsia="zh-CN" w:bidi="ar-SA"/>
        </w:rPr>
        <w:t>130</w:t>
      </w:r>
      <w:r>
        <w:rPr>
          <w:rFonts w:hint="default" w:ascii="Times New Roman" w:hAnsi="Times New Roman" w:eastAsia="仿宋_GB2312" w:cs="Times New Roman"/>
          <w:color w:val="auto"/>
          <w:kern w:val="2"/>
          <w:sz w:val="32"/>
          <w:szCs w:val="21"/>
          <w:highlight w:val="none"/>
          <w:lang w:val="en-US" w:eastAsia="zh-CN" w:bidi="ar-SA"/>
        </w:rPr>
        <w:t>%</w:t>
      </w:r>
      <w:r>
        <w:rPr>
          <w:rFonts w:hint="eastAsia" w:ascii="Times New Roman" w:hAnsi="Times New Roman" w:eastAsia="仿宋_GB2312" w:cs="Times New Roman"/>
          <w:color w:val="auto"/>
          <w:kern w:val="2"/>
          <w:sz w:val="32"/>
          <w:szCs w:val="21"/>
          <w:highlight w:val="none"/>
          <w:lang w:val="en-US" w:eastAsia="zh-CN" w:bidi="ar-SA"/>
        </w:rPr>
        <w:t>，</w:t>
      </w:r>
      <w:r>
        <w:rPr>
          <w:rFonts w:hint="default" w:ascii="Times New Roman" w:hAnsi="Times New Roman" w:eastAsia="仿宋_GB2312" w:cs="Times New Roman"/>
          <w:color w:val="auto"/>
          <w:kern w:val="2"/>
          <w:sz w:val="32"/>
          <w:szCs w:val="21"/>
          <w:highlight w:val="none"/>
          <w:lang w:val="en-US" w:eastAsia="zh-CN" w:bidi="ar-SA"/>
        </w:rPr>
        <w:t>偏差率</w:t>
      </w:r>
      <w:r>
        <w:rPr>
          <w:rFonts w:hint="eastAsia" w:ascii="Times New Roman" w:hAnsi="Times New Roman" w:eastAsia="仿宋_GB2312" w:cs="Times New Roman"/>
          <w:color w:val="auto"/>
          <w:kern w:val="2"/>
          <w:sz w:val="32"/>
          <w:szCs w:val="21"/>
          <w:highlight w:val="none"/>
          <w:lang w:val="en-US" w:eastAsia="zh-CN" w:bidi="ar-SA"/>
        </w:rPr>
        <w:t>30</w:t>
      </w:r>
      <w:r>
        <w:rPr>
          <w:rFonts w:hint="default" w:ascii="Times New Roman" w:hAnsi="Times New Roman" w:eastAsia="仿宋_GB2312" w:cs="Times New Roman"/>
          <w:color w:val="auto"/>
          <w:kern w:val="2"/>
          <w:sz w:val="32"/>
          <w:szCs w:val="21"/>
          <w:highlight w:val="none"/>
          <w:lang w:val="en-US" w:eastAsia="zh-CN" w:bidi="ar-SA"/>
        </w:rPr>
        <w:t>%。偏差原因是</w:t>
      </w:r>
      <w:r>
        <w:rPr>
          <w:rFonts w:hint="eastAsia" w:eastAsia="仿宋_GB2312" w:cs="Times New Roman"/>
          <w:color w:val="auto"/>
          <w:kern w:val="2"/>
          <w:sz w:val="32"/>
          <w:szCs w:val="21"/>
          <w:highlight w:val="none"/>
          <w:lang w:val="en-US" w:eastAsia="zh-CN" w:bidi="ar-SA"/>
        </w:rPr>
        <w:t>：</w:t>
      </w:r>
      <w:r>
        <w:rPr>
          <w:rFonts w:hint="default" w:ascii="Times New Roman" w:hAnsi="Times New Roman" w:eastAsia="仿宋_GB2312" w:cs="Times New Roman"/>
          <w:color w:val="auto"/>
          <w:kern w:val="2"/>
          <w:sz w:val="32"/>
          <w:szCs w:val="21"/>
          <w:highlight w:val="none"/>
          <w:lang w:val="en-US" w:eastAsia="zh-CN" w:bidi="ar-SA"/>
        </w:rPr>
        <w:t>根据《自治区扶持专精特新中小企业倍增培育行动计划（2023－2025年）》，对新疆特变电工自控设备有限公司、新疆格瑞迪斯石油技术股份有限公司、新疆胡杨线缆制造有限公司3家重点小巨人进行了奖励。</w:t>
      </w:r>
    </w:p>
    <w:p w14:paraId="2B124559">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default" w:ascii="Times New Roman" w:hAnsi="Times New Roman" w:eastAsia="仿宋_GB2312" w:cs="Times New Roman"/>
          <w:b w:val="0"/>
          <w:bCs w:val="0"/>
          <w:color w:val="auto"/>
          <w:kern w:val="2"/>
          <w:sz w:val="32"/>
          <w:szCs w:val="21"/>
          <w:highlight w:val="none"/>
          <w:lang w:val="en-US" w:eastAsia="zh-CN" w:bidi="ar-SA"/>
        </w:rPr>
      </w:pPr>
      <w:r>
        <w:rPr>
          <w:rFonts w:hint="eastAsia" w:eastAsia="仿宋_GB2312" w:cs="Times New Roman"/>
          <w:b w:val="0"/>
          <w:bCs w:val="0"/>
          <w:color w:val="auto"/>
          <w:kern w:val="2"/>
          <w:sz w:val="32"/>
          <w:szCs w:val="21"/>
          <w:highlight w:val="none"/>
          <w:lang w:val="en-US" w:eastAsia="zh-CN" w:bidi="ar-SA"/>
        </w:rPr>
        <w:t>指标2：</w:t>
      </w:r>
      <w:r>
        <w:rPr>
          <w:rFonts w:hint="eastAsia" w:ascii="Times New Roman" w:hAnsi="Times New Roman" w:eastAsia="仿宋_GB2312" w:cs="Times New Roman"/>
          <w:b w:val="0"/>
          <w:bCs w:val="0"/>
          <w:color w:val="auto"/>
          <w:kern w:val="2"/>
          <w:sz w:val="32"/>
          <w:szCs w:val="21"/>
          <w:highlight w:val="none"/>
          <w:lang w:val="en-US" w:eastAsia="zh-CN" w:bidi="ar-SA"/>
        </w:rPr>
        <w:t>奖励自治区专精特新中小企业数量指标值为80家，实际奖励自治区专精特新中小企业数量指标值为123家，</w:t>
      </w:r>
      <w:r>
        <w:rPr>
          <w:rFonts w:hint="default" w:ascii="Times New Roman" w:hAnsi="Times New Roman" w:eastAsia="仿宋_GB2312" w:cs="Times New Roman"/>
          <w:color w:val="auto"/>
          <w:kern w:val="2"/>
          <w:sz w:val="32"/>
          <w:szCs w:val="21"/>
          <w:highlight w:val="none"/>
          <w:lang w:val="en-US" w:eastAsia="zh-CN" w:bidi="ar-SA"/>
        </w:rPr>
        <w:t>完成绩效目标</w:t>
      </w:r>
      <w:r>
        <w:rPr>
          <w:rFonts w:hint="eastAsia" w:ascii="Times New Roman" w:hAnsi="Times New Roman" w:eastAsia="仿宋_GB2312" w:cs="Times New Roman"/>
          <w:color w:val="auto"/>
          <w:kern w:val="2"/>
          <w:sz w:val="32"/>
          <w:szCs w:val="21"/>
          <w:highlight w:val="none"/>
          <w:lang w:val="en-US" w:eastAsia="zh-CN" w:bidi="ar-SA"/>
        </w:rPr>
        <w:t>153.75</w:t>
      </w:r>
      <w:r>
        <w:rPr>
          <w:rFonts w:hint="default" w:ascii="Times New Roman" w:hAnsi="Times New Roman" w:eastAsia="仿宋_GB2312" w:cs="Times New Roman"/>
          <w:color w:val="auto"/>
          <w:kern w:val="2"/>
          <w:sz w:val="32"/>
          <w:szCs w:val="21"/>
          <w:highlight w:val="none"/>
          <w:lang w:val="en-US" w:eastAsia="zh-CN" w:bidi="ar-SA"/>
        </w:rPr>
        <w:t>%</w:t>
      </w:r>
      <w:r>
        <w:rPr>
          <w:rFonts w:hint="eastAsia" w:ascii="Times New Roman" w:hAnsi="Times New Roman" w:eastAsia="仿宋_GB2312" w:cs="Times New Roman"/>
          <w:color w:val="auto"/>
          <w:kern w:val="2"/>
          <w:sz w:val="32"/>
          <w:szCs w:val="21"/>
          <w:highlight w:val="none"/>
          <w:lang w:val="en-US" w:eastAsia="zh-CN" w:bidi="ar-SA"/>
        </w:rPr>
        <w:t>，</w:t>
      </w:r>
      <w:r>
        <w:rPr>
          <w:rFonts w:hint="default" w:ascii="Times New Roman" w:hAnsi="Times New Roman" w:eastAsia="仿宋_GB2312" w:cs="Times New Roman"/>
          <w:color w:val="auto"/>
          <w:kern w:val="2"/>
          <w:sz w:val="32"/>
          <w:szCs w:val="21"/>
          <w:highlight w:val="none"/>
          <w:lang w:val="en-US" w:eastAsia="zh-CN" w:bidi="ar-SA"/>
        </w:rPr>
        <w:t>偏差率</w:t>
      </w:r>
      <w:r>
        <w:rPr>
          <w:rFonts w:hint="eastAsia" w:ascii="Times New Roman" w:hAnsi="Times New Roman" w:eastAsia="仿宋_GB2312" w:cs="Times New Roman"/>
          <w:color w:val="auto"/>
          <w:kern w:val="2"/>
          <w:sz w:val="32"/>
          <w:szCs w:val="21"/>
          <w:highlight w:val="none"/>
          <w:lang w:val="en-US" w:eastAsia="zh-CN" w:bidi="ar-SA"/>
        </w:rPr>
        <w:t>53.75</w:t>
      </w:r>
      <w:r>
        <w:rPr>
          <w:rFonts w:hint="default" w:ascii="Times New Roman" w:hAnsi="Times New Roman" w:eastAsia="仿宋_GB2312" w:cs="Times New Roman"/>
          <w:color w:val="auto"/>
          <w:kern w:val="2"/>
          <w:sz w:val="32"/>
          <w:szCs w:val="21"/>
          <w:highlight w:val="none"/>
          <w:lang w:val="en-US" w:eastAsia="zh-CN" w:bidi="ar-SA"/>
        </w:rPr>
        <w:t>%。偏差原因是</w:t>
      </w:r>
      <w:r>
        <w:rPr>
          <w:rFonts w:hint="eastAsia" w:eastAsia="仿宋_GB2312" w:cs="Times New Roman"/>
          <w:color w:val="auto"/>
          <w:kern w:val="2"/>
          <w:sz w:val="32"/>
          <w:szCs w:val="21"/>
          <w:highlight w:val="none"/>
          <w:lang w:val="en-US" w:eastAsia="zh-CN" w:bidi="ar-SA"/>
        </w:rPr>
        <w:t>：</w:t>
      </w:r>
      <w:r>
        <w:rPr>
          <w:rFonts w:hint="default" w:ascii="Times New Roman" w:hAnsi="Times New Roman" w:eastAsia="仿宋_GB2312" w:cs="Times New Roman"/>
          <w:color w:val="auto"/>
          <w:kern w:val="2"/>
          <w:sz w:val="32"/>
          <w:szCs w:val="21"/>
          <w:highlight w:val="none"/>
          <w:lang w:val="en-US" w:eastAsia="zh-CN" w:bidi="ar-SA"/>
        </w:rPr>
        <w:t>自治区推动出台《自治区扶持专精特新中小企业倍增培育行动计划》，加强梯度培育用好政策资金、加大技术支持推动科技创新、加大市场开拓增强发展动力、强化数字赋能提升应用水平、夯实金融支撑激发发展活力、加强品牌管理实现质量提升、优化要素保障实现强企业增效等七个方面20项任务加大对专精特新企业的培育，专精特新企业数量增长较快。</w:t>
      </w:r>
    </w:p>
    <w:p w14:paraId="77C82428">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Times New Roman" w:hAnsi="Times New Roman" w:eastAsia="仿宋_GB2312" w:cs="Times New Roman"/>
          <w:b w:val="0"/>
          <w:bCs w:val="0"/>
          <w:color w:val="auto"/>
          <w:kern w:val="2"/>
          <w:sz w:val="32"/>
          <w:szCs w:val="21"/>
          <w:highlight w:val="none"/>
          <w:lang w:val="en-US" w:eastAsia="zh-CN" w:bidi="ar-SA"/>
        </w:rPr>
      </w:pPr>
      <w:r>
        <w:rPr>
          <w:rFonts w:hint="eastAsia" w:eastAsia="仿宋_GB2312" w:cs="Times New Roman"/>
          <w:b w:val="0"/>
          <w:bCs w:val="0"/>
          <w:color w:val="auto"/>
          <w:kern w:val="2"/>
          <w:sz w:val="32"/>
          <w:szCs w:val="21"/>
          <w:highlight w:val="none"/>
          <w:lang w:val="en-US" w:eastAsia="zh-CN" w:bidi="ar-SA"/>
        </w:rPr>
        <w:t>指标3：</w:t>
      </w:r>
      <w:r>
        <w:rPr>
          <w:rFonts w:hint="eastAsia" w:ascii="Times New Roman" w:hAnsi="Times New Roman" w:eastAsia="仿宋_GB2312" w:cs="Times New Roman"/>
          <w:b w:val="0"/>
          <w:bCs w:val="0"/>
          <w:color w:val="auto"/>
          <w:kern w:val="2"/>
          <w:sz w:val="32"/>
          <w:szCs w:val="21"/>
          <w:highlight w:val="none"/>
          <w:lang w:val="en-US" w:eastAsia="zh-CN" w:bidi="ar-SA"/>
        </w:rPr>
        <w:t>组织举办“创客中国”创新创业大赛新疆区域赛各级赛事数量指标值为16场，实际组织举办“创客中国”创新创业大赛新疆区域赛各级赛事数量指标值为18场，</w:t>
      </w:r>
      <w:r>
        <w:rPr>
          <w:rFonts w:hint="default" w:ascii="Times New Roman" w:hAnsi="Times New Roman" w:eastAsia="仿宋_GB2312" w:cs="Times New Roman"/>
          <w:color w:val="auto"/>
          <w:kern w:val="2"/>
          <w:sz w:val="32"/>
          <w:szCs w:val="21"/>
          <w:highlight w:val="none"/>
          <w:lang w:val="en-US" w:eastAsia="zh-CN" w:bidi="ar-SA"/>
        </w:rPr>
        <w:t>完成绩效目标1</w:t>
      </w:r>
      <w:r>
        <w:rPr>
          <w:rFonts w:hint="eastAsia" w:ascii="Times New Roman" w:hAnsi="Times New Roman" w:eastAsia="仿宋_GB2312" w:cs="Times New Roman"/>
          <w:color w:val="auto"/>
          <w:kern w:val="2"/>
          <w:sz w:val="32"/>
          <w:szCs w:val="21"/>
          <w:highlight w:val="none"/>
          <w:lang w:val="en-US" w:eastAsia="zh-CN" w:bidi="ar-SA"/>
        </w:rPr>
        <w:t>12.5</w:t>
      </w:r>
      <w:r>
        <w:rPr>
          <w:rFonts w:hint="default" w:ascii="Times New Roman" w:hAnsi="Times New Roman" w:eastAsia="仿宋_GB2312" w:cs="Times New Roman"/>
          <w:color w:val="auto"/>
          <w:kern w:val="2"/>
          <w:sz w:val="32"/>
          <w:szCs w:val="21"/>
          <w:highlight w:val="none"/>
          <w:lang w:val="en-US" w:eastAsia="zh-CN" w:bidi="ar-SA"/>
        </w:rPr>
        <w:t>%</w:t>
      </w:r>
      <w:r>
        <w:rPr>
          <w:rFonts w:hint="eastAsia" w:ascii="Times New Roman" w:hAnsi="Times New Roman" w:eastAsia="仿宋_GB2312" w:cs="Times New Roman"/>
          <w:color w:val="auto"/>
          <w:kern w:val="2"/>
          <w:sz w:val="32"/>
          <w:szCs w:val="21"/>
          <w:highlight w:val="none"/>
          <w:lang w:val="en-US" w:eastAsia="zh-CN" w:bidi="ar-SA"/>
        </w:rPr>
        <w:t>，</w:t>
      </w:r>
      <w:r>
        <w:rPr>
          <w:rFonts w:hint="default" w:ascii="Times New Roman" w:hAnsi="Times New Roman" w:eastAsia="仿宋_GB2312" w:cs="Times New Roman"/>
          <w:color w:val="auto"/>
          <w:kern w:val="2"/>
          <w:sz w:val="32"/>
          <w:szCs w:val="21"/>
          <w:highlight w:val="none"/>
          <w:lang w:val="en-US" w:eastAsia="zh-CN" w:bidi="ar-SA"/>
        </w:rPr>
        <w:t>偏差率</w:t>
      </w:r>
      <w:r>
        <w:rPr>
          <w:rFonts w:hint="eastAsia" w:ascii="Times New Roman" w:hAnsi="Times New Roman" w:eastAsia="仿宋_GB2312" w:cs="Times New Roman"/>
          <w:color w:val="auto"/>
          <w:kern w:val="2"/>
          <w:sz w:val="32"/>
          <w:szCs w:val="21"/>
          <w:highlight w:val="none"/>
          <w:lang w:val="en-US" w:eastAsia="zh-CN" w:bidi="ar-SA"/>
        </w:rPr>
        <w:t>12.5</w:t>
      </w:r>
      <w:r>
        <w:rPr>
          <w:rFonts w:hint="default" w:ascii="Times New Roman" w:hAnsi="Times New Roman" w:eastAsia="仿宋_GB2312" w:cs="Times New Roman"/>
          <w:color w:val="auto"/>
          <w:kern w:val="2"/>
          <w:sz w:val="32"/>
          <w:szCs w:val="21"/>
          <w:highlight w:val="none"/>
          <w:lang w:val="en-US" w:eastAsia="zh-CN" w:bidi="ar-SA"/>
        </w:rPr>
        <w:t>%。</w:t>
      </w:r>
    </w:p>
    <w:p w14:paraId="70515C02">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default" w:ascii="Times New Roman" w:hAnsi="Times New Roman" w:eastAsia="仿宋_GB2312" w:cs="Times New Roman"/>
          <w:color w:val="auto"/>
          <w:kern w:val="2"/>
          <w:sz w:val="32"/>
          <w:szCs w:val="21"/>
          <w:highlight w:val="none"/>
          <w:lang w:val="en-US" w:eastAsia="zh-CN" w:bidi="ar-SA"/>
        </w:rPr>
      </w:pPr>
      <w:r>
        <w:rPr>
          <w:rFonts w:hint="eastAsia" w:eastAsia="仿宋_GB2312" w:cs="Times New Roman"/>
          <w:b w:val="0"/>
          <w:bCs w:val="0"/>
          <w:color w:val="auto"/>
          <w:kern w:val="2"/>
          <w:sz w:val="32"/>
          <w:szCs w:val="21"/>
          <w:highlight w:val="none"/>
          <w:lang w:val="en-US" w:eastAsia="zh-CN" w:bidi="ar-SA"/>
        </w:rPr>
        <w:t>指标4：</w:t>
      </w:r>
      <w:r>
        <w:rPr>
          <w:rFonts w:hint="eastAsia" w:ascii="Times New Roman" w:hAnsi="Times New Roman" w:eastAsia="仿宋_GB2312" w:cs="Times New Roman"/>
          <w:b w:val="0"/>
          <w:bCs w:val="0"/>
          <w:color w:val="auto"/>
          <w:kern w:val="2"/>
          <w:sz w:val="32"/>
          <w:szCs w:val="21"/>
          <w:highlight w:val="none"/>
          <w:lang w:val="en-US" w:eastAsia="zh-CN" w:bidi="ar-SA"/>
        </w:rPr>
        <w:t>组织参加第十八届中博会企业数量指标值为40家，实际组织参加第十八届中博会企业数量指标值为</w:t>
      </w:r>
      <w:r>
        <w:rPr>
          <w:rFonts w:hint="eastAsia" w:eastAsia="仿宋_GB2312" w:cs="Times New Roman"/>
          <w:b w:val="0"/>
          <w:bCs w:val="0"/>
          <w:color w:val="auto"/>
          <w:kern w:val="2"/>
          <w:sz w:val="32"/>
          <w:szCs w:val="21"/>
          <w:highlight w:val="none"/>
          <w:lang w:val="en-US" w:eastAsia="zh-CN" w:bidi="ar-SA"/>
        </w:rPr>
        <w:t>40</w:t>
      </w:r>
      <w:r>
        <w:rPr>
          <w:rFonts w:hint="eastAsia" w:ascii="Times New Roman" w:hAnsi="Times New Roman" w:eastAsia="仿宋_GB2312" w:cs="Times New Roman"/>
          <w:b w:val="0"/>
          <w:bCs w:val="0"/>
          <w:color w:val="auto"/>
          <w:kern w:val="2"/>
          <w:sz w:val="32"/>
          <w:szCs w:val="21"/>
          <w:highlight w:val="none"/>
          <w:lang w:val="en-US" w:eastAsia="zh-CN" w:bidi="ar-SA"/>
        </w:rPr>
        <w:t>家，</w:t>
      </w:r>
      <w:r>
        <w:rPr>
          <w:rFonts w:hint="default" w:ascii="Times New Roman" w:hAnsi="Times New Roman" w:eastAsia="仿宋_GB2312" w:cs="Times New Roman"/>
          <w:color w:val="auto"/>
          <w:kern w:val="2"/>
          <w:sz w:val="32"/>
          <w:szCs w:val="21"/>
          <w:highlight w:val="none"/>
          <w:lang w:val="en-US" w:eastAsia="zh-CN" w:bidi="ar-SA"/>
        </w:rPr>
        <w:t>完成绩效目标</w:t>
      </w:r>
      <w:r>
        <w:rPr>
          <w:rFonts w:hint="eastAsia" w:eastAsia="仿宋_GB2312" w:cs="Times New Roman"/>
          <w:color w:val="auto"/>
          <w:kern w:val="2"/>
          <w:sz w:val="32"/>
          <w:szCs w:val="21"/>
          <w:highlight w:val="none"/>
          <w:lang w:val="en-US" w:eastAsia="zh-CN" w:bidi="ar-SA"/>
        </w:rPr>
        <w:t>100</w:t>
      </w:r>
      <w:r>
        <w:rPr>
          <w:rFonts w:hint="default" w:ascii="Times New Roman" w:hAnsi="Times New Roman" w:eastAsia="仿宋_GB2312" w:cs="Times New Roman"/>
          <w:color w:val="auto"/>
          <w:kern w:val="2"/>
          <w:sz w:val="32"/>
          <w:szCs w:val="21"/>
          <w:highlight w:val="none"/>
          <w:lang w:val="en-US" w:eastAsia="zh-CN" w:bidi="ar-SA"/>
        </w:rPr>
        <w:t>%</w:t>
      </w:r>
      <w:r>
        <w:rPr>
          <w:rFonts w:hint="eastAsia" w:ascii="Times New Roman" w:hAnsi="Times New Roman" w:eastAsia="仿宋_GB2312" w:cs="Times New Roman"/>
          <w:color w:val="auto"/>
          <w:kern w:val="2"/>
          <w:sz w:val="32"/>
          <w:szCs w:val="21"/>
          <w:highlight w:val="none"/>
          <w:lang w:val="en-US" w:eastAsia="zh-CN" w:bidi="ar-SA"/>
        </w:rPr>
        <w:t>，</w:t>
      </w:r>
      <w:r>
        <w:rPr>
          <w:rFonts w:hint="default" w:ascii="Times New Roman" w:hAnsi="Times New Roman" w:eastAsia="仿宋_GB2312" w:cs="Times New Roman"/>
          <w:color w:val="auto"/>
          <w:kern w:val="2"/>
          <w:sz w:val="32"/>
          <w:szCs w:val="21"/>
          <w:highlight w:val="none"/>
          <w:lang w:val="en-US" w:eastAsia="zh-CN" w:bidi="ar-SA"/>
        </w:rPr>
        <w:t>偏差率</w:t>
      </w:r>
      <w:r>
        <w:rPr>
          <w:rFonts w:hint="eastAsia" w:eastAsia="仿宋_GB2312" w:cs="Times New Roman"/>
          <w:color w:val="auto"/>
          <w:kern w:val="2"/>
          <w:sz w:val="32"/>
          <w:szCs w:val="21"/>
          <w:highlight w:val="none"/>
          <w:lang w:val="en-US" w:eastAsia="zh-CN" w:bidi="ar-SA"/>
        </w:rPr>
        <w:t>0</w:t>
      </w:r>
      <w:r>
        <w:rPr>
          <w:rFonts w:hint="default" w:ascii="Times New Roman" w:hAnsi="Times New Roman" w:eastAsia="仿宋_GB2312" w:cs="Times New Roman"/>
          <w:color w:val="auto"/>
          <w:kern w:val="2"/>
          <w:sz w:val="32"/>
          <w:szCs w:val="21"/>
          <w:highlight w:val="none"/>
          <w:lang w:val="en-US" w:eastAsia="zh-CN" w:bidi="ar-SA"/>
        </w:rPr>
        <w:t>%。</w:t>
      </w:r>
    </w:p>
    <w:p w14:paraId="1B4D7C6D">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default" w:ascii="Times New Roman" w:hAnsi="Times New Roman" w:eastAsia="仿宋_GB2312" w:cs="Times New Roman"/>
          <w:color w:val="auto"/>
          <w:kern w:val="2"/>
          <w:sz w:val="32"/>
          <w:szCs w:val="21"/>
          <w:highlight w:val="none"/>
          <w:lang w:val="en-US" w:eastAsia="zh-CN" w:bidi="ar-SA"/>
        </w:rPr>
      </w:pPr>
      <w:r>
        <w:rPr>
          <w:rFonts w:hint="eastAsia" w:eastAsia="仿宋_GB2312" w:cs="Times New Roman"/>
          <w:b w:val="0"/>
          <w:bCs w:val="0"/>
          <w:color w:val="auto"/>
          <w:kern w:val="2"/>
          <w:sz w:val="32"/>
          <w:szCs w:val="21"/>
          <w:highlight w:val="none"/>
          <w:lang w:val="en-US" w:eastAsia="zh-CN" w:bidi="ar-SA"/>
        </w:rPr>
        <w:t>指标5：</w:t>
      </w:r>
      <w:r>
        <w:rPr>
          <w:rFonts w:hint="eastAsia" w:ascii="Times New Roman" w:hAnsi="Times New Roman" w:eastAsia="仿宋_GB2312" w:cs="Times New Roman"/>
          <w:b w:val="0"/>
          <w:bCs w:val="0"/>
          <w:color w:val="auto"/>
          <w:kern w:val="2"/>
          <w:sz w:val="32"/>
          <w:szCs w:val="21"/>
          <w:highlight w:val="none"/>
          <w:lang w:val="en-US" w:eastAsia="zh-CN" w:bidi="ar-SA"/>
        </w:rPr>
        <w:t>组织参加第十二届APEC技展会企业数量指标值为30家，实际组织参加第十二届APEC技展会企业数量指标值为</w:t>
      </w:r>
      <w:r>
        <w:rPr>
          <w:rFonts w:hint="eastAsia" w:eastAsia="仿宋_GB2312" w:cs="Times New Roman"/>
          <w:b w:val="0"/>
          <w:bCs w:val="0"/>
          <w:color w:val="auto"/>
          <w:kern w:val="2"/>
          <w:sz w:val="32"/>
          <w:szCs w:val="21"/>
          <w:highlight w:val="none"/>
          <w:lang w:val="en-US" w:eastAsia="zh-CN" w:bidi="ar-SA"/>
        </w:rPr>
        <w:t>31</w:t>
      </w:r>
      <w:r>
        <w:rPr>
          <w:rFonts w:hint="eastAsia" w:ascii="Times New Roman" w:hAnsi="Times New Roman" w:eastAsia="仿宋_GB2312" w:cs="Times New Roman"/>
          <w:b w:val="0"/>
          <w:bCs w:val="0"/>
          <w:color w:val="auto"/>
          <w:kern w:val="2"/>
          <w:sz w:val="32"/>
          <w:szCs w:val="21"/>
          <w:highlight w:val="none"/>
          <w:lang w:val="en-US" w:eastAsia="zh-CN" w:bidi="ar-SA"/>
        </w:rPr>
        <w:t>家，</w:t>
      </w:r>
      <w:r>
        <w:rPr>
          <w:rFonts w:hint="default" w:ascii="Times New Roman" w:hAnsi="Times New Roman" w:eastAsia="仿宋_GB2312" w:cs="Times New Roman"/>
          <w:color w:val="auto"/>
          <w:kern w:val="2"/>
          <w:sz w:val="32"/>
          <w:szCs w:val="21"/>
          <w:highlight w:val="none"/>
          <w:lang w:val="en-US" w:eastAsia="zh-CN" w:bidi="ar-SA"/>
        </w:rPr>
        <w:t>完成绩效目标</w:t>
      </w:r>
      <w:r>
        <w:rPr>
          <w:rFonts w:hint="eastAsia" w:eastAsia="仿宋_GB2312" w:cs="Times New Roman"/>
          <w:color w:val="auto"/>
          <w:kern w:val="2"/>
          <w:sz w:val="32"/>
          <w:szCs w:val="21"/>
          <w:highlight w:val="none"/>
          <w:lang w:val="en-US" w:eastAsia="zh-CN" w:bidi="ar-SA"/>
        </w:rPr>
        <w:t>103</w:t>
      </w:r>
      <w:r>
        <w:rPr>
          <w:rFonts w:hint="default" w:ascii="Times New Roman" w:hAnsi="Times New Roman" w:eastAsia="仿宋_GB2312" w:cs="Times New Roman"/>
          <w:color w:val="auto"/>
          <w:kern w:val="2"/>
          <w:sz w:val="32"/>
          <w:szCs w:val="21"/>
          <w:highlight w:val="none"/>
          <w:lang w:val="en-US" w:eastAsia="zh-CN" w:bidi="ar-SA"/>
        </w:rPr>
        <w:t>%</w:t>
      </w:r>
      <w:r>
        <w:rPr>
          <w:rFonts w:hint="eastAsia" w:ascii="Times New Roman" w:hAnsi="Times New Roman" w:eastAsia="仿宋_GB2312" w:cs="Times New Roman"/>
          <w:color w:val="auto"/>
          <w:kern w:val="2"/>
          <w:sz w:val="32"/>
          <w:szCs w:val="21"/>
          <w:highlight w:val="none"/>
          <w:lang w:val="en-US" w:eastAsia="zh-CN" w:bidi="ar-SA"/>
        </w:rPr>
        <w:t>，</w:t>
      </w:r>
      <w:r>
        <w:rPr>
          <w:rFonts w:hint="default" w:ascii="Times New Roman" w:hAnsi="Times New Roman" w:eastAsia="仿宋_GB2312" w:cs="Times New Roman"/>
          <w:color w:val="auto"/>
          <w:kern w:val="2"/>
          <w:sz w:val="32"/>
          <w:szCs w:val="21"/>
          <w:highlight w:val="none"/>
          <w:lang w:val="en-US" w:eastAsia="zh-CN" w:bidi="ar-SA"/>
        </w:rPr>
        <w:t>偏差率</w:t>
      </w:r>
      <w:r>
        <w:rPr>
          <w:rFonts w:hint="eastAsia" w:ascii="Times New Roman" w:hAnsi="Times New Roman" w:eastAsia="仿宋_GB2312" w:cs="Times New Roman"/>
          <w:color w:val="auto"/>
          <w:kern w:val="2"/>
          <w:sz w:val="32"/>
          <w:szCs w:val="21"/>
          <w:highlight w:val="none"/>
          <w:lang w:val="en-US" w:eastAsia="zh-CN" w:bidi="ar-SA"/>
        </w:rPr>
        <w:t>3</w:t>
      </w:r>
      <w:r>
        <w:rPr>
          <w:rFonts w:hint="default" w:ascii="Times New Roman" w:hAnsi="Times New Roman" w:eastAsia="仿宋_GB2312" w:cs="Times New Roman"/>
          <w:color w:val="auto"/>
          <w:kern w:val="2"/>
          <w:sz w:val="32"/>
          <w:szCs w:val="21"/>
          <w:highlight w:val="none"/>
          <w:lang w:val="en-US" w:eastAsia="zh-CN" w:bidi="ar-SA"/>
        </w:rPr>
        <w:t>%。</w:t>
      </w:r>
    </w:p>
    <w:p w14:paraId="0F8444F6">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Times New Roman" w:hAnsi="Times New Roman" w:eastAsia="仿宋_GB2312" w:cs="Times New Roman"/>
          <w:b w:val="0"/>
          <w:bCs w:val="0"/>
          <w:color w:val="auto"/>
          <w:kern w:val="2"/>
          <w:sz w:val="32"/>
          <w:szCs w:val="21"/>
          <w:highlight w:val="none"/>
          <w:lang w:val="en-US" w:eastAsia="zh-CN" w:bidi="ar-SA"/>
        </w:rPr>
      </w:pPr>
      <w:r>
        <w:rPr>
          <w:rFonts w:hint="eastAsia" w:eastAsia="仿宋_GB2312" w:cs="Times New Roman"/>
          <w:b w:val="0"/>
          <w:bCs w:val="0"/>
          <w:color w:val="auto"/>
          <w:kern w:val="2"/>
          <w:sz w:val="32"/>
          <w:szCs w:val="21"/>
          <w:highlight w:val="none"/>
          <w:lang w:val="en-US" w:eastAsia="zh-CN" w:bidi="ar-SA"/>
        </w:rPr>
        <w:t>指标6：</w:t>
      </w:r>
      <w:r>
        <w:rPr>
          <w:rFonts w:hint="eastAsia" w:ascii="Times New Roman" w:hAnsi="Times New Roman" w:eastAsia="仿宋_GB2312" w:cs="Times New Roman"/>
          <w:b w:val="0"/>
          <w:bCs w:val="0"/>
          <w:color w:val="auto"/>
          <w:kern w:val="2"/>
          <w:sz w:val="32"/>
          <w:szCs w:val="21"/>
          <w:highlight w:val="none"/>
          <w:lang w:val="en-US" w:eastAsia="zh-CN" w:bidi="ar-SA"/>
        </w:rPr>
        <w:t>对全疆地州市进行中小企业发展环境评估的数量指标值为14个，</w:t>
      </w:r>
      <w:r>
        <w:rPr>
          <w:rFonts w:hint="eastAsia" w:ascii="Times New Roman" w:hAnsi="Times New Roman" w:eastAsia="仿宋_GB2312" w:cs="Times New Roman"/>
          <w:color w:val="auto"/>
          <w:kern w:val="2"/>
          <w:sz w:val="32"/>
          <w:szCs w:val="21"/>
          <w:highlight w:val="none"/>
          <w:lang w:val="en-US" w:eastAsia="zh-CN" w:bidi="ar-SA"/>
        </w:rPr>
        <w:t>实际</w:t>
      </w:r>
      <w:r>
        <w:rPr>
          <w:rFonts w:hint="default" w:ascii="Times New Roman" w:hAnsi="Times New Roman" w:eastAsia="仿宋_GB2312" w:cs="Times New Roman"/>
          <w:color w:val="auto"/>
          <w:kern w:val="2"/>
          <w:sz w:val="32"/>
          <w:szCs w:val="21"/>
          <w:highlight w:val="none"/>
          <w:lang w:val="en-US" w:eastAsia="zh-CN" w:bidi="ar-SA"/>
        </w:rPr>
        <w:t>对全疆地州市进行中小企业发展环境评估的14个，完成绩效目标100%</w:t>
      </w:r>
      <w:r>
        <w:rPr>
          <w:rFonts w:hint="eastAsia" w:ascii="Times New Roman" w:hAnsi="Times New Roman" w:eastAsia="仿宋_GB2312" w:cs="Times New Roman"/>
          <w:color w:val="auto"/>
          <w:kern w:val="2"/>
          <w:sz w:val="32"/>
          <w:szCs w:val="21"/>
          <w:highlight w:val="none"/>
          <w:lang w:val="en-US" w:eastAsia="zh-CN" w:bidi="ar-SA"/>
        </w:rPr>
        <w:t>，</w:t>
      </w:r>
      <w:r>
        <w:rPr>
          <w:rFonts w:hint="default" w:ascii="Times New Roman" w:hAnsi="Times New Roman" w:eastAsia="仿宋_GB2312" w:cs="Times New Roman"/>
          <w:color w:val="auto"/>
          <w:kern w:val="2"/>
          <w:sz w:val="32"/>
          <w:szCs w:val="21"/>
          <w:highlight w:val="none"/>
          <w:lang w:val="en-US" w:eastAsia="zh-CN" w:bidi="ar-SA"/>
        </w:rPr>
        <w:t>偏差率</w:t>
      </w:r>
      <w:r>
        <w:rPr>
          <w:rFonts w:hint="eastAsia" w:ascii="Times New Roman" w:hAnsi="Times New Roman" w:eastAsia="仿宋_GB2312" w:cs="Times New Roman"/>
          <w:color w:val="auto"/>
          <w:kern w:val="2"/>
          <w:sz w:val="32"/>
          <w:szCs w:val="21"/>
          <w:highlight w:val="none"/>
          <w:lang w:val="en-US" w:eastAsia="zh-CN" w:bidi="ar-SA"/>
        </w:rPr>
        <w:t>0</w:t>
      </w:r>
      <w:r>
        <w:rPr>
          <w:rFonts w:hint="default" w:ascii="Times New Roman" w:hAnsi="Times New Roman" w:eastAsia="仿宋_GB2312" w:cs="Times New Roman"/>
          <w:color w:val="auto"/>
          <w:kern w:val="2"/>
          <w:sz w:val="32"/>
          <w:szCs w:val="21"/>
          <w:highlight w:val="none"/>
          <w:lang w:val="en-US" w:eastAsia="zh-CN" w:bidi="ar-SA"/>
        </w:rPr>
        <w:t>%。</w:t>
      </w:r>
    </w:p>
    <w:p w14:paraId="0A3E6359">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Times New Roman" w:hAnsi="Times New Roman" w:eastAsia="仿宋_GB2312" w:cs="Times New Roman"/>
          <w:b w:val="0"/>
          <w:bCs w:val="0"/>
          <w:color w:val="auto"/>
          <w:kern w:val="2"/>
          <w:sz w:val="32"/>
          <w:szCs w:val="21"/>
          <w:highlight w:val="none"/>
          <w:lang w:val="en-US" w:eastAsia="zh-CN" w:bidi="ar-SA"/>
        </w:rPr>
      </w:pPr>
      <w:r>
        <w:rPr>
          <w:rFonts w:hint="eastAsia" w:eastAsia="仿宋_GB2312" w:cs="Times New Roman"/>
          <w:b w:val="0"/>
          <w:bCs w:val="0"/>
          <w:color w:val="auto"/>
          <w:kern w:val="2"/>
          <w:sz w:val="32"/>
          <w:szCs w:val="21"/>
          <w:highlight w:val="none"/>
          <w:lang w:val="en-US" w:eastAsia="zh-CN" w:bidi="ar-SA"/>
        </w:rPr>
        <w:t>指标7：</w:t>
      </w:r>
      <w:r>
        <w:rPr>
          <w:rFonts w:hint="eastAsia" w:ascii="Times New Roman" w:hAnsi="Times New Roman" w:eastAsia="仿宋_GB2312" w:cs="Times New Roman"/>
          <w:b w:val="0"/>
          <w:bCs w:val="0"/>
          <w:color w:val="auto"/>
          <w:kern w:val="2"/>
          <w:sz w:val="32"/>
          <w:szCs w:val="21"/>
          <w:highlight w:val="none"/>
          <w:lang w:val="en-US" w:eastAsia="zh-CN" w:bidi="ar-SA"/>
        </w:rPr>
        <w:t>核查专项资金的实施地州市数量指标值为14个，实际核查专项资金的实施地州市14个，完成绩效目标100%，偏差率0%。</w:t>
      </w:r>
    </w:p>
    <w:p w14:paraId="7DA1D642">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Times New Roman" w:hAnsi="Times New Roman" w:eastAsia="仿宋_GB2312" w:cs="Times New Roman"/>
          <w:b w:val="0"/>
          <w:bCs w:val="0"/>
          <w:color w:val="auto"/>
          <w:kern w:val="2"/>
          <w:sz w:val="32"/>
          <w:szCs w:val="21"/>
          <w:highlight w:val="none"/>
          <w:lang w:val="en-US" w:eastAsia="zh-CN" w:bidi="ar-SA"/>
        </w:rPr>
      </w:pPr>
      <w:r>
        <w:rPr>
          <w:rFonts w:hint="eastAsia" w:eastAsia="仿宋_GB2312" w:cs="Times New Roman"/>
          <w:b w:val="0"/>
          <w:bCs w:val="0"/>
          <w:color w:val="auto"/>
          <w:kern w:val="2"/>
          <w:sz w:val="32"/>
          <w:szCs w:val="21"/>
          <w:highlight w:val="none"/>
          <w:lang w:val="en-US" w:eastAsia="zh-CN" w:bidi="ar-SA"/>
        </w:rPr>
        <w:t>指标8：纳入</w:t>
      </w:r>
      <w:r>
        <w:rPr>
          <w:rFonts w:hint="eastAsia" w:ascii="Times New Roman" w:hAnsi="Times New Roman" w:eastAsia="仿宋_GB2312" w:cs="Times New Roman"/>
          <w:b w:val="0"/>
          <w:bCs w:val="0"/>
          <w:color w:val="auto"/>
          <w:kern w:val="2"/>
          <w:sz w:val="32"/>
          <w:szCs w:val="21"/>
          <w:highlight w:val="none"/>
          <w:lang w:val="en-US" w:eastAsia="zh-CN" w:bidi="ar-SA"/>
        </w:rPr>
        <w:t>运行监测的企业数量指标值为500家，实际</w:t>
      </w:r>
      <w:r>
        <w:rPr>
          <w:rFonts w:hint="eastAsia" w:eastAsia="仿宋_GB2312" w:cs="Times New Roman"/>
          <w:b w:val="0"/>
          <w:bCs w:val="0"/>
          <w:color w:val="auto"/>
          <w:kern w:val="2"/>
          <w:sz w:val="32"/>
          <w:szCs w:val="21"/>
          <w:highlight w:val="none"/>
          <w:lang w:val="en-US" w:eastAsia="zh-CN" w:bidi="ar-SA"/>
        </w:rPr>
        <w:t>纳入</w:t>
      </w:r>
      <w:r>
        <w:rPr>
          <w:rFonts w:hint="eastAsia" w:ascii="Times New Roman" w:hAnsi="Times New Roman" w:eastAsia="仿宋_GB2312" w:cs="Times New Roman"/>
          <w:b w:val="0"/>
          <w:bCs w:val="0"/>
          <w:color w:val="auto"/>
          <w:kern w:val="2"/>
          <w:sz w:val="32"/>
          <w:szCs w:val="21"/>
          <w:highlight w:val="none"/>
          <w:lang w:val="en-US" w:eastAsia="zh-CN" w:bidi="ar-SA"/>
        </w:rPr>
        <w:t>运行监测的企业数量指标值为584家，</w:t>
      </w:r>
      <w:r>
        <w:rPr>
          <w:rFonts w:hint="default" w:ascii="Times New Roman" w:hAnsi="Times New Roman" w:eastAsia="仿宋_GB2312" w:cs="Times New Roman"/>
          <w:color w:val="auto"/>
          <w:kern w:val="2"/>
          <w:sz w:val="32"/>
          <w:szCs w:val="21"/>
          <w:highlight w:val="none"/>
          <w:lang w:val="en-US" w:eastAsia="zh-CN" w:bidi="ar-SA"/>
        </w:rPr>
        <w:t>完成绩效目标</w:t>
      </w:r>
      <w:r>
        <w:rPr>
          <w:rFonts w:hint="eastAsia" w:ascii="Times New Roman" w:hAnsi="Times New Roman" w:eastAsia="仿宋_GB2312" w:cs="Times New Roman"/>
          <w:color w:val="auto"/>
          <w:kern w:val="2"/>
          <w:sz w:val="32"/>
          <w:szCs w:val="21"/>
          <w:highlight w:val="none"/>
          <w:lang w:val="en-US" w:eastAsia="zh-CN" w:bidi="ar-SA"/>
        </w:rPr>
        <w:t>116.8</w:t>
      </w:r>
      <w:r>
        <w:rPr>
          <w:rFonts w:hint="default" w:ascii="Times New Roman" w:hAnsi="Times New Roman" w:eastAsia="仿宋_GB2312" w:cs="Times New Roman"/>
          <w:color w:val="auto"/>
          <w:kern w:val="2"/>
          <w:sz w:val="32"/>
          <w:szCs w:val="21"/>
          <w:highlight w:val="none"/>
          <w:lang w:val="en-US" w:eastAsia="zh-CN" w:bidi="ar-SA"/>
        </w:rPr>
        <w:t>%</w:t>
      </w:r>
      <w:r>
        <w:rPr>
          <w:rFonts w:hint="eastAsia" w:ascii="Times New Roman" w:hAnsi="Times New Roman" w:eastAsia="仿宋_GB2312" w:cs="Times New Roman"/>
          <w:color w:val="auto"/>
          <w:kern w:val="2"/>
          <w:sz w:val="32"/>
          <w:szCs w:val="21"/>
          <w:highlight w:val="none"/>
          <w:lang w:val="en-US" w:eastAsia="zh-CN" w:bidi="ar-SA"/>
        </w:rPr>
        <w:t>，</w:t>
      </w:r>
      <w:r>
        <w:rPr>
          <w:rFonts w:hint="default" w:ascii="Times New Roman" w:hAnsi="Times New Roman" w:eastAsia="仿宋_GB2312" w:cs="Times New Roman"/>
          <w:color w:val="auto"/>
          <w:kern w:val="2"/>
          <w:sz w:val="32"/>
          <w:szCs w:val="21"/>
          <w:highlight w:val="none"/>
          <w:lang w:val="en-US" w:eastAsia="zh-CN" w:bidi="ar-SA"/>
        </w:rPr>
        <w:t>偏差率</w:t>
      </w:r>
      <w:r>
        <w:rPr>
          <w:rFonts w:hint="eastAsia" w:ascii="Times New Roman" w:hAnsi="Times New Roman" w:eastAsia="仿宋_GB2312" w:cs="Times New Roman"/>
          <w:color w:val="auto"/>
          <w:kern w:val="2"/>
          <w:sz w:val="32"/>
          <w:szCs w:val="21"/>
          <w:highlight w:val="none"/>
          <w:lang w:val="en-US" w:eastAsia="zh-CN" w:bidi="ar-SA"/>
        </w:rPr>
        <w:t>16.8</w:t>
      </w:r>
      <w:r>
        <w:rPr>
          <w:rFonts w:hint="default" w:ascii="Times New Roman" w:hAnsi="Times New Roman" w:eastAsia="仿宋_GB2312" w:cs="Times New Roman"/>
          <w:color w:val="auto"/>
          <w:kern w:val="2"/>
          <w:sz w:val="32"/>
          <w:szCs w:val="21"/>
          <w:highlight w:val="none"/>
          <w:lang w:val="en-US" w:eastAsia="zh-CN" w:bidi="ar-SA"/>
        </w:rPr>
        <w:t>%。</w:t>
      </w:r>
    </w:p>
    <w:p w14:paraId="63D922BB">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Times New Roman" w:hAnsi="Times New Roman" w:eastAsia="仿宋_GB2312" w:cs="Times New Roman"/>
          <w:b w:val="0"/>
          <w:bCs w:val="0"/>
          <w:color w:val="auto"/>
          <w:kern w:val="2"/>
          <w:sz w:val="32"/>
          <w:szCs w:val="21"/>
          <w:highlight w:val="none"/>
          <w:lang w:val="en-US" w:eastAsia="zh-CN" w:bidi="ar-SA"/>
        </w:rPr>
      </w:pPr>
      <w:r>
        <w:rPr>
          <w:rFonts w:hint="eastAsia" w:eastAsia="仿宋_GB2312" w:cs="Times New Roman"/>
          <w:b w:val="0"/>
          <w:bCs w:val="0"/>
          <w:color w:val="auto"/>
          <w:kern w:val="2"/>
          <w:sz w:val="32"/>
          <w:szCs w:val="21"/>
          <w:highlight w:val="none"/>
          <w:lang w:val="en-US" w:eastAsia="zh-CN" w:bidi="ar-SA"/>
        </w:rPr>
        <w:t>指标9：</w:t>
      </w:r>
      <w:r>
        <w:rPr>
          <w:rFonts w:hint="eastAsia" w:ascii="Times New Roman" w:hAnsi="Times New Roman" w:eastAsia="仿宋_GB2312" w:cs="Times New Roman"/>
          <w:b w:val="0"/>
          <w:bCs w:val="0"/>
          <w:color w:val="auto"/>
          <w:kern w:val="2"/>
          <w:sz w:val="32"/>
          <w:szCs w:val="21"/>
          <w:highlight w:val="none"/>
          <w:lang w:val="en-US" w:eastAsia="zh-CN" w:bidi="ar-SA"/>
        </w:rPr>
        <w:t>申领中小企业服务券企业数量指标值为50家，实际申领中小企业服务券企业数量为64家，完成绩效目标128%，偏差率28%</w:t>
      </w:r>
      <w:r>
        <w:rPr>
          <w:rFonts w:hint="default" w:ascii="Times New Roman" w:hAnsi="Times New Roman" w:eastAsia="仿宋_GB2312" w:cs="Times New Roman"/>
          <w:color w:val="auto"/>
          <w:kern w:val="2"/>
          <w:sz w:val="32"/>
          <w:szCs w:val="21"/>
          <w:highlight w:val="none"/>
          <w:lang w:val="en-US" w:eastAsia="zh-CN" w:bidi="ar-SA"/>
        </w:rPr>
        <w:t>。偏差原因是</w:t>
      </w:r>
      <w:r>
        <w:rPr>
          <w:rFonts w:hint="eastAsia" w:eastAsia="仿宋_GB2312" w:cs="Times New Roman"/>
          <w:color w:val="auto"/>
          <w:kern w:val="2"/>
          <w:sz w:val="32"/>
          <w:szCs w:val="21"/>
          <w:highlight w:val="none"/>
          <w:lang w:val="en-US" w:eastAsia="zh-CN" w:bidi="ar-SA"/>
        </w:rPr>
        <w:t>：疫情后,中小企业对财税、知识产权、数字化转型、技术开发、体系认证、产品质量检验检测、项目申报、研发费用加计扣除等服务需求大幅增加。</w:t>
      </w:r>
    </w:p>
    <w:p w14:paraId="3240C879">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Times New Roman" w:hAnsi="Times New Roman" w:eastAsia="仿宋_GB2312" w:cs="Times New Roman"/>
          <w:b w:val="0"/>
          <w:bCs w:val="0"/>
          <w:color w:val="auto"/>
          <w:kern w:val="2"/>
          <w:sz w:val="32"/>
          <w:szCs w:val="21"/>
          <w:highlight w:val="none"/>
          <w:lang w:val="en-US" w:eastAsia="zh-CN" w:bidi="ar-SA"/>
        </w:rPr>
      </w:pPr>
      <w:r>
        <w:rPr>
          <w:rFonts w:hint="eastAsia" w:eastAsia="仿宋_GB2312" w:cs="Times New Roman"/>
          <w:b w:val="0"/>
          <w:bCs w:val="0"/>
          <w:color w:val="auto"/>
          <w:kern w:val="2"/>
          <w:sz w:val="32"/>
          <w:szCs w:val="21"/>
          <w:highlight w:val="none"/>
          <w:lang w:val="en-US" w:eastAsia="zh-CN" w:bidi="ar-SA"/>
        </w:rPr>
        <w:t>指标10：</w:t>
      </w:r>
      <w:r>
        <w:rPr>
          <w:rFonts w:hint="eastAsia" w:ascii="Times New Roman" w:hAnsi="Times New Roman" w:eastAsia="仿宋_GB2312" w:cs="Times New Roman"/>
          <w:b w:val="0"/>
          <w:bCs w:val="0"/>
          <w:color w:val="auto"/>
          <w:kern w:val="2"/>
          <w:sz w:val="32"/>
          <w:szCs w:val="21"/>
          <w:highlight w:val="none"/>
          <w:lang w:val="en-US" w:eastAsia="zh-CN" w:bidi="ar-SA"/>
        </w:rPr>
        <w:t>推送各类政策信息数量指标值为1500条，实际推送各类政策信息数量指标值为2337条，</w:t>
      </w:r>
      <w:r>
        <w:rPr>
          <w:rFonts w:hint="default" w:ascii="Times New Roman" w:hAnsi="Times New Roman" w:eastAsia="仿宋_GB2312" w:cs="Times New Roman"/>
          <w:color w:val="auto"/>
          <w:kern w:val="2"/>
          <w:sz w:val="32"/>
          <w:szCs w:val="21"/>
          <w:highlight w:val="none"/>
          <w:lang w:val="en-US" w:eastAsia="zh-CN" w:bidi="ar-SA"/>
        </w:rPr>
        <w:t>完成绩效目标</w:t>
      </w:r>
      <w:r>
        <w:rPr>
          <w:rFonts w:hint="eastAsia" w:ascii="Times New Roman" w:hAnsi="Times New Roman" w:eastAsia="仿宋_GB2312" w:cs="Times New Roman"/>
          <w:color w:val="auto"/>
          <w:kern w:val="2"/>
          <w:sz w:val="32"/>
          <w:szCs w:val="21"/>
          <w:highlight w:val="none"/>
          <w:lang w:val="en-US" w:eastAsia="zh-CN" w:bidi="ar-SA"/>
        </w:rPr>
        <w:t>155.8</w:t>
      </w:r>
      <w:r>
        <w:rPr>
          <w:rFonts w:hint="default" w:ascii="Times New Roman" w:hAnsi="Times New Roman" w:eastAsia="仿宋_GB2312" w:cs="Times New Roman"/>
          <w:color w:val="auto"/>
          <w:kern w:val="2"/>
          <w:sz w:val="32"/>
          <w:szCs w:val="21"/>
          <w:highlight w:val="none"/>
          <w:lang w:val="en-US" w:eastAsia="zh-CN" w:bidi="ar-SA"/>
        </w:rPr>
        <w:t>%</w:t>
      </w:r>
      <w:r>
        <w:rPr>
          <w:rFonts w:hint="eastAsia" w:ascii="Times New Roman" w:hAnsi="Times New Roman" w:eastAsia="仿宋_GB2312" w:cs="Times New Roman"/>
          <w:color w:val="auto"/>
          <w:kern w:val="2"/>
          <w:sz w:val="32"/>
          <w:szCs w:val="21"/>
          <w:highlight w:val="none"/>
          <w:lang w:val="en-US" w:eastAsia="zh-CN" w:bidi="ar-SA"/>
        </w:rPr>
        <w:t>，</w:t>
      </w:r>
      <w:r>
        <w:rPr>
          <w:rFonts w:hint="default" w:ascii="Times New Roman" w:hAnsi="Times New Roman" w:eastAsia="仿宋_GB2312" w:cs="Times New Roman"/>
          <w:color w:val="auto"/>
          <w:kern w:val="2"/>
          <w:sz w:val="32"/>
          <w:szCs w:val="21"/>
          <w:highlight w:val="none"/>
          <w:lang w:val="en-US" w:eastAsia="zh-CN" w:bidi="ar-SA"/>
        </w:rPr>
        <w:t>偏差率</w:t>
      </w:r>
      <w:r>
        <w:rPr>
          <w:rFonts w:hint="eastAsia" w:ascii="Times New Roman" w:hAnsi="Times New Roman" w:eastAsia="仿宋_GB2312" w:cs="Times New Roman"/>
          <w:color w:val="auto"/>
          <w:kern w:val="2"/>
          <w:sz w:val="32"/>
          <w:szCs w:val="21"/>
          <w:highlight w:val="none"/>
          <w:lang w:val="en-US" w:eastAsia="zh-CN" w:bidi="ar-SA"/>
        </w:rPr>
        <w:t>55.8</w:t>
      </w:r>
      <w:r>
        <w:rPr>
          <w:rFonts w:hint="default" w:ascii="Times New Roman" w:hAnsi="Times New Roman" w:eastAsia="仿宋_GB2312" w:cs="Times New Roman"/>
          <w:color w:val="auto"/>
          <w:kern w:val="2"/>
          <w:sz w:val="32"/>
          <w:szCs w:val="21"/>
          <w:highlight w:val="none"/>
          <w:lang w:val="en-US" w:eastAsia="zh-CN" w:bidi="ar-SA"/>
        </w:rPr>
        <w:t>%。偏差原因是</w:t>
      </w:r>
      <w:r>
        <w:rPr>
          <w:rFonts w:hint="eastAsia" w:eastAsia="仿宋_GB2312" w:cs="Times New Roman"/>
          <w:color w:val="auto"/>
          <w:kern w:val="2"/>
          <w:sz w:val="32"/>
          <w:szCs w:val="21"/>
          <w:highlight w:val="none"/>
          <w:lang w:val="en-US" w:eastAsia="zh-CN" w:bidi="ar-SA"/>
        </w:rPr>
        <w:t>：</w:t>
      </w:r>
      <w:r>
        <w:rPr>
          <w:rFonts w:hint="default" w:ascii="Times New Roman" w:hAnsi="Times New Roman" w:eastAsia="仿宋_GB2312" w:cs="Times New Roman"/>
          <w:color w:val="auto"/>
          <w:kern w:val="2"/>
          <w:sz w:val="32"/>
          <w:szCs w:val="21"/>
          <w:highlight w:val="none"/>
          <w:lang w:val="en-US" w:eastAsia="zh-CN" w:bidi="ar-SA"/>
        </w:rPr>
        <w:t>充分发挥自治区中小企业公共服务平台网络平台和微信平台的信息推送功能，通过网站和微信平台推送，按照实际政策信息进行推送，推送数量远远大于指标值。</w:t>
      </w:r>
    </w:p>
    <w:p w14:paraId="26FE8ED2">
      <w:pPr>
        <w:keepNext w:val="0"/>
        <w:keepLines w:val="0"/>
        <w:pageBreakBefore w:val="0"/>
        <w:widowControl w:val="0"/>
        <w:kinsoku/>
        <w:wordWrap/>
        <w:overflowPunct/>
        <w:topLinePunct w:val="0"/>
        <w:autoSpaceDE/>
        <w:autoSpaceDN/>
        <w:bidi w:val="0"/>
        <w:adjustRightInd/>
        <w:snapToGrid/>
        <w:spacing w:line="560" w:lineRule="exact"/>
        <w:ind w:left="0" w:leftChars="0" w:firstLine="643" w:firstLineChars="200"/>
        <w:jc w:val="both"/>
        <w:textAlignment w:val="auto"/>
        <w:rPr>
          <w:rFonts w:hint="default" w:ascii="Times New Roman" w:hAnsi="Times New Roman" w:eastAsia="仿宋_GB2312" w:cs="Times New Roman"/>
          <w:b/>
          <w:bCs/>
          <w:color w:val="auto"/>
          <w:kern w:val="2"/>
          <w:sz w:val="32"/>
          <w:szCs w:val="24"/>
          <w:highlight w:val="none"/>
          <w:lang w:val="en-US" w:eastAsia="zh-CN" w:bidi="ar-SA"/>
        </w:rPr>
      </w:pPr>
      <w:r>
        <w:rPr>
          <w:rFonts w:hint="eastAsia" w:eastAsia="仿宋_GB2312" w:cs="Times New Roman"/>
          <w:b/>
          <w:bCs/>
          <w:color w:val="auto"/>
          <w:kern w:val="2"/>
          <w:sz w:val="32"/>
          <w:szCs w:val="24"/>
          <w:highlight w:val="none"/>
          <w:lang w:val="en-US" w:eastAsia="zh-CN" w:bidi="ar-SA"/>
        </w:rPr>
        <w:t>②.</w:t>
      </w:r>
      <w:r>
        <w:rPr>
          <w:rFonts w:hint="default" w:ascii="Times New Roman" w:hAnsi="Times New Roman" w:eastAsia="仿宋_GB2312" w:cs="Times New Roman"/>
          <w:b/>
          <w:bCs/>
          <w:color w:val="auto"/>
          <w:kern w:val="2"/>
          <w:sz w:val="32"/>
          <w:szCs w:val="24"/>
          <w:highlight w:val="none"/>
          <w:lang w:val="en-US" w:eastAsia="zh-CN" w:bidi="ar-SA"/>
        </w:rPr>
        <w:t>时效指标</w:t>
      </w:r>
    </w:p>
    <w:p w14:paraId="24606CB7">
      <w:pPr>
        <w:keepNext w:val="0"/>
        <w:keepLines w:val="0"/>
        <w:pageBreakBefore w:val="0"/>
        <w:widowControl w:val="0"/>
        <w:kinsoku/>
        <w:wordWrap/>
        <w:overflowPunct/>
        <w:topLinePunct w:val="0"/>
        <w:autoSpaceDE/>
        <w:autoSpaceDN/>
        <w:bidi w:val="0"/>
        <w:adjustRightInd/>
        <w:snapToGrid/>
        <w:spacing w:after="0" w:line="560" w:lineRule="exact"/>
        <w:ind w:firstLine="640" w:firstLineChars="200"/>
        <w:textAlignment w:val="auto"/>
        <w:rPr>
          <w:rFonts w:hint="default" w:ascii="Times New Roman" w:hAnsi="Times New Roman" w:eastAsia="仿宋_GB2312" w:cs="Times New Roman"/>
          <w:color w:val="auto"/>
          <w:sz w:val="32"/>
          <w:highlight w:val="none"/>
          <w:lang w:eastAsia="zh-CN"/>
        </w:rPr>
      </w:pPr>
      <w:r>
        <w:rPr>
          <w:rFonts w:hint="default" w:ascii="Times New Roman" w:hAnsi="Times New Roman" w:eastAsia="仿宋_GB2312" w:cs="Times New Roman"/>
          <w:color w:val="auto"/>
          <w:sz w:val="32"/>
          <w:highlight w:val="none"/>
        </w:rPr>
        <w:t>资金拨付及时率</w:t>
      </w:r>
      <w:r>
        <w:rPr>
          <w:rFonts w:hint="eastAsia" w:ascii="Times New Roman" w:hAnsi="Times New Roman" w:eastAsia="仿宋_GB2312" w:cs="Times New Roman"/>
          <w:color w:val="auto"/>
          <w:sz w:val="32"/>
          <w:highlight w:val="none"/>
          <w:lang w:val="en-US" w:eastAsia="zh-CN"/>
        </w:rPr>
        <w:t>指标值为</w:t>
      </w:r>
      <w:r>
        <w:rPr>
          <w:rFonts w:hint="default" w:ascii="Times New Roman" w:hAnsi="Times New Roman" w:eastAsia="仿宋_GB2312" w:cs="Times New Roman"/>
          <w:color w:val="auto"/>
          <w:sz w:val="32"/>
          <w:highlight w:val="none"/>
        </w:rPr>
        <w:t>100%</w:t>
      </w:r>
      <w:r>
        <w:rPr>
          <w:rFonts w:hint="eastAsia" w:ascii="Times New Roman" w:hAnsi="Times New Roman" w:eastAsia="仿宋_GB2312" w:cs="Times New Roman"/>
          <w:color w:val="auto"/>
          <w:sz w:val="32"/>
          <w:highlight w:val="none"/>
          <w:lang w:eastAsia="zh-CN"/>
        </w:rPr>
        <w:t>，</w:t>
      </w:r>
      <w:r>
        <w:rPr>
          <w:rFonts w:hint="eastAsia" w:ascii="Times New Roman" w:hAnsi="Times New Roman" w:eastAsia="仿宋_GB2312" w:cs="Times New Roman"/>
          <w:color w:val="auto"/>
          <w:sz w:val="32"/>
          <w:highlight w:val="none"/>
          <w:lang w:val="en-US" w:eastAsia="zh-CN"/>
        </w:rPr>
        <w:t>实际</w:t>
      </w:r>
      <w:r>
        <w:rPr>
          <w:rFonts w:hint="default" w:ascii="Times New Roman" w:hAnsi="Times New Roman" w:eastAsia="仿宋_GB2312" w:cs="Times New Roman"/>
          <w:color w:val="auto"/>
          <w:sz w:val="32"/>
          <w:highlight w:val="none"/>
        </w:rPr>
        <w:t>资金拨付及时率</w:t>
      </w:r>
      <w:r>
        <w:rPr>
          <w:rFonts w:hint="eastAsia" w:ascii="Times New Roman" w:hAnsi="Times New Roman" w:eastAsia="仿宋_GB2312" w:cs="Times New Roman"/>
          <w:color w:val="auto"/>
          <w:sz w:val="32"/>
          <w:highlight w:val="none"/>
          <w:lang w:val="en-US" w:eastAsia="zh-CN"/>
        </w:rPr>
        <w:t>100</w:t>
      </w:r>
      <w:r>
        <w:rPr>
          <w:rFonts w:hint="default" w:ascii="Times New Roman" w:hAnsi="Times New Roman" w:eastAsia="仿宋_GB2312" w:cs="Times New Roman"/>
          <w:color w:val="auto"/>
          <w:sz w:val="32"/>
          <w:highlight w:val="none"/>
        </w:rPr>
        <w:t>%</w:t>
      </w:r>
      <w:r>
        <w:rPr>
          <w:rFonts w:hint="eastAsia" w:ascii="Times New Roman" w:hAnsi="Times New Roman" w:eastAsia="仿宋_GB2312" w:cs="Times New Roman"/>
          <w:color w:val="auto"/>
          <w:sz w:val="32"/>
          <w:highlight w:val="none"/>
          <w:lang w:eastAsia="zh-CN"/>
        </w:rPr>
        <w:t>，</w:t>
      </w:r>
      <w:r>
        <w:rPr>
          <w:rFonts w:hint="default" w:ascii="Times New Roman" w:hAnsi="Times New Roman" w:eastAsia="仿宋_GB2312" w:cs="Times New Roman"/>
          <w:b w:val="0"/>
          <w:bCs w:val="0"/>
          <w:color w:val="auto"/>
          <w:sz w:val="32"/>
          <w:highlight w:val="none"/>
        </w:rPr>
        <w:t>偏差率</w:t>
      </w:r>
      <w:r>
        <w:rPr>
          <w:rFonts w:hint="eastAsia" w:ascii="Times New Roman" w:hAnsi="Times New Roman" w:eastAsia="仿宋_GB2312" w:cs="Times New Roman"/>
          <w:b w:val="0"/>
          <w:bCs w:val="0"/>
          <w:color w:val="auto"/>
          <w:sz w:val="32"/>
          <w:highlight w:val="none"/>
          <w:lang w:val="en-US" w:eastAsia="zh-CN"/>
        </w:rPr>
        <w:t>0</w:t>
      </w:r>
      <w:r>
        <w:rPr>
          <w:rFonts w:hint="default" w:ascii="Times New Roman" w:hAnsi="Times New Roman" w:eastAsia="仿宋_GB2312" w:cs="Times New Roman"/>
          <w:b w:val="0"/>
          <w:bCs w:val="0"/>
          <w:color w:val="auto"/>
          <w:sz w:val="32"/>
          <w:highlight w:val="none"/>
        </w:rPr>
        <w:t>%。</w:t>
      </w:r>
    </w:p>
    <w:p w14:paraId="558C09DD">
      <w:pPr>
        <w:shd w:val="clear"/>
        <w:spacing w:line="600" w:lineRule="exact"/>
        <w:ind w:firstLine="643" w:firstLineChars="200"/>
        <w:outlineLvl w:val="0"/>
        <w:rPr>
          <w:rFonts w:hint="eastAsia" w:ascii="Times New Roman" w:hAnsi="Times New Roman" w:eastAsia="仿宋_GB2312" w:cs="Times New Roman"/>
          <w:b/>
          <w:bCs/>
          <w:color w:val="auto"/>
          <w:sz w:val="32"/>
          <w:highlight w:val="none"/>
          <w:lang w:val="en-US" w:eastAsia="zh-CN"/>
        </w:rPr>
      </w:pPr>
      <w:r>
        <w:rPr>
          <w:rFonts w:hint="eastAsia" w:eastAsia="仿宋_GB2312" w:cs="Times New Roman"/>
          <w:b/>
          <w:bCs/>
          <w:color w:val="auto"/>
          <w:sz w:val="32"/>
          <w:highlight w:val="none"/>
          <w:lang w:val="en-US" w:eastAsia="zh-CN"/>
        </w:rPr>
        <w:t>（四）</w:t>
      </w:r>
      <w:r>
        <w:rPr>
          <w:rFonts w:hint="eastAsia" w:ascii="Times New Roman" w:hAnsi="Times New Roman" w:eastAsia="仿宋_GB2312" w:cs="Times New Roman"/>
          <w:b/>
          <w:bCs/>
          <w:color w:val="auto"/>
          <w:sz w:val="32"/>
          <w:highlight w:val="none"/>
          <w:lang w:val="en-US" w:eastAsia="zh-CN"/>
        </w:rPr>
        <w:t>效益指标完成情况分析</w:t>
      </w:r>
    </w:p>
    <w:p w14:paraId="58ED15EA">
      <w:pPr>
        <w:pageBreakBefore w:val="0"/>
        <w:kinsoku/>
        <w:wordWrap/>
        <w:overflowPunct/>
        <w:topLinePunct w:val="0"/>
        <w:autoSpaceDE/>
        <w:autoSpaceDN/>
        <w:bidi w:val="0"/>
        <w:adjustRightInd/>
        <w:snapToGrid/>
        <w:spacing w:after="0" w:line="600" w:lineRule="exact"/>
        <w:ind w:firstLine="640" w:firstLineChars="200"/>
        <w:textAlignment w:val="auto"/>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项目效益类指标包括项目实施效益和满意度两方面的内容，由3个三级指标构成，权重分为20分，实际得分20分，得分率为100%。具体效益指标及满意度指标完成情况如下：</w:t>
      </w:r>
    </w:p>
    <w:p w14:paraId="6E8FD638">
      <w:pPr>
        <w:pageBreakBefore w:val="0"/>
        <w:kinsoku/>
        <w:wordWrap/>
        <w:overflowPunct/>
        <w:topLinePunct w:val="0"/>
        <w:autoSpaceDE/>
        <w:autoSpaceDN/>
        <w:bidi w:val="0"/>
        <w:adjustRightInd/>
        <w:snapToGrid/>
        <w:spacing w:after="0" w:line="600" w:lineRule="exact"/>
        <w:ind w:firstLine="640" w:firstLineChars="200"/>
        <w:textAlignment w:val="auto"/>
        <w:outlineLvl w:val="0"/>
        <w:rPr>
          <w:rFonts w:hint="default"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1.实施效益</w:t>
      </w:r>
    </w:p>
    <w:p w14:paraId="408793DE">
      <w:pPr>
        <w:keepNext w:val="0"/>
        <w:keepLines w:val="0"/>
        <w:pageBreakBefore w:val="0"/>
        <w:widowControl w:val="0"/>
        <w:kinsoku/>
        <w:wordWrap/>
        <w:overflowPunct/>
        <w:topLinePunct w:val="0"/>
        <w:autoSpaceDE/>
        <w:autoSpaceDN/>
        <w:bidi w:val="0"/>
        <w:adjustRightInd/>
        <w:snapToGrid/>
        <w:spacing w:line="560" w:lineRule="exact"/>
        <w:ind w:left="0" w:leftChars="0" w:firstLine="643" w:firstLineChars="200"/>
        <w:jc w:val="both"/>
        <w:textAlignment w:val="auto"/>
        <w:rPr>
          <w:rFonts w:hint="default" w:ascii="Times New Roman" w:hAnsi="Times New Roman" w:eastAsia="仿宋_GB2312" w:cs="Times New Roman"/>
          <w:b/>
          <w:bCs/>
          <w:color w:val="auto"/>
          <w:kern w:val="2"/>
          <w:sz w:val="32"/>
          <w:szCs w:val="21"/>
          <w:highlight w:val="none"/>
          <w:lang w:val="en-US" w:eastAsia="zh-CN" w:bidi="ar-SA"/>
        </w:rPr>
      </w:pPr>
      <w:r>
        <w:rPr>
          <w:rFonts w:hint="eastAsia" w:eastAsia="仿宋_GB2312" w:cs="Times New Roman"/>
          <w:b/>
          <w:bCs/>
          <w:color w:val="auto"/>
          <w:kern w:val="2"/>
          <w:sz w:val="32"/>
          <w:szCs w:val="21"/>
          <w:highlight w:val="none"/>
          <w:lang w:val="en-US" w:eastAsia="zh-CN" w:bidi="ar-SA"/>
        </w:rPr>
        <w:t>①</w:t>
      </w:r>
      <w:r>
        <w:rPr>
          <w:rFonts w:hint="eastAsia" w:ascii="Times New Roman" w:hAnsi="Times New Roman" w:eastAsia="仿宋_GB2312" w:cs="Times New Roman"/>
          <w:b/>
          <w:bCs/>
          <w:color w:val="auto"/>
          <w:kern w:val="2"/>
          <w:sz w:val="32"/>
          <w:szCs w:val="21"/>
          <w:highlight w:val="none"/>
          <w:lang w:val="en-US" w:eastAsia="zh-CN" w:bidi="ar-SA"/>
        </w:rPr>
        <w:t>经济</w:t>
      </w:r>
      <w:r>
        <w:rPr>
          <w:rFonts w:hint="default" w:ascii="Times New Roman" w:hAnsi="Times New Roman" w:eastAsia="仿宋_GB2312" w:cs="Times New Roman"/>
          <w:b/>
          <w:bCs/>
          <w:color w:val="auto"/>
          <w:kern w:val="2"/>
          <w:sz w:val="32"/>
          <w:szCs w:val="21"/>
          <w:highlight w:val="none"/>
          <w:lang w:val="en-US" w:eastAsia="zh-CN" w:bidi="ar-SA"/>
        </w:rPr>
        <w:t>效益指标：</w:t>
      </w:r>
    </w:p>
    <w:p w14:paraId="27048DDA">
      <w:pPr>
        <w:keepNext w:val="0"/>
        <w:keepLines w:val="0"/>
        <w:pageBreakBefore w:val="0"/>
        <w:widowControl w:val="0"/>
        <w:kinsoku/>
        <w:wordWrap/>
        <w:overflowPunct/>
        <w:topLinePunct w:val="0"/>
        <w:autoSpaceDE/>
        <w:autoSpaceDN/>
        <w:bidi w:val="0"/>
        <w:adjustRightInd/>
        <w:snapToGrid/>
        <w:spacing w:after="0" w:line="560" w:lineRule="exact"/>
        <w:ind w:firstLine="640" w:firstLineChars="200"/>
        <w:textAlignment w:val="auto"/>
        <w:rPr>
          <w:rFonts w:hint="default" w:ascii="Times New Roman" w:hAnsi="Times New Roman" w:eastAsia="仿宋_GB2312" w:cs="Times New Roman"/>
          <w:color w:val="auto"/>
          <w:sz w:val="32"/>
          <w:highlight w:val="none"/>
          <w:lang w:val="en-US" w:eastAsia="zh-CN"/>
        </w:rPr>
      </w:pPr>
      <w:r>
        <w:rPr>
          <w:rFonts w:hint="eastAsia" w:eastAsia="仿宋_GB2312" w:cs="Times New Roman"/>
          <w:b w:val="0"/>
          <w:bCs w:val="0"/>
          <w:color w:val="auto"/>
          <w:kern w:val="2"/>
          <w:sz w:val="32"/>
          <w:szCs w:val="21"/>
          <w:highlight w:val="none"/>
          <w:lang w:val="en-US" w:eastAsia="zh-CN" w:bidi="ar-SA"/>
        </w:rPr>
        <w:t>指标1：</w:t>
      </w:r>
      <w:r>
        <w:rPr>
          <w:rFonts w:hint="eastAsia" w:ascii="Times New Roman" w:hAnsi="Times New Roman" w:eastAsia="仿宋_GB2312" w:cs="Times New Roman"/>
          <w:color w:val="auto"/>
          <w:sz w:val="32"/>
          <w:highlight w:val="none"/>
          <w:lang w:val="en-US" w:eastAsia="zh-CN"/>
        </w:rPr>
        <w:t>第十八届中博会同国内企业协议签约额</w:t>
      </w:r>
      <w:r>
        <w:rPr>
          <w:rFonts w:hint="eastAsia" w:ascii="Times New Roman" w:hAnsi="Times New Roman" w:eastAsia="仿宋_GB2312" w:cs="Times New Roman"/>
          <w:b w:val="0"/>
          <w:bCs w:val="0"/>
          <w:color w:val="auto"/>
          <w:sz w:val="32"/>
          <w:highlight w:val="none"/>
          <w:lang w:val="en-US" w:eastAsia="zh-CN"/>
        </w:rPr>
        <w:t>指标值为1500万，实际第十八届中博会同国内企业协议签约额指标值为1502.1万，</w:t>
      </w:r>
      <w:r>
        <w:rPr>
          <w:rFonts w:hint="default" w:ascii="Times New Roman" w:hAnsi="Times New Roman" w:eastAsia="仿宋_GB2312" w:cs="Times New Roman"/>
          <w:b w:val="0"/>
          <w:bCs w:val="0"/>
          <w:color w:val="auto"/>
          <w:sz w:val="32"/>
          <w:szCs w:val="32"/>
          <w:highlight w:val="none"/>
          <w:lang w:val="en-US" w:eastAsia="zh-CN"/>
        </w:rPr>
        <w:t>完成绩效目标的</w:t>
      </w:r>
      <w:r>
        <w:rPr>
          <w:rFonts w:hint="eastAsia" w:ascii="Times New Roman" w:hAnsi="Times New Roman" w:eastAsia="仿宋_GB2312" w:cs="Times New Roman"/>
          <w:b w:val="0"/>
          <w:bCs w:val="0"/>
          <w:color w:val="auto"/>
          <w:sz w:val="32"/>
          <w:szCs w:val="32"/>
          <w:highlight w:val="none"/>
          <w:lang w:val="en-US" w:eastAsia="zh-CN"/>
        </w:rPr>
        <w:t>100</w:t>
      </w:r>
      <w:r>
        <w:rPr>
          <w:rFonts w:hint="default" w:ascii="Times New Roman" w:hAnsi="Times New Roman" w:eastAsia="仿宋_GB2312" w:cs="Times New Roman"/>
          <w:b w:val="0"/>
          <w:bCs w:val="0"/>
          <w:color w:val="auto"/>
          <w:sz w:val="32"/>
          <w:szCs w:val="32"/>
          <w:highlight w:val="none"/>
          <w:lang w:val="en-US" w:eastAsia="zh-CN"/>
        </w:rPr>
        <w:t>%</w:t>
      </w:r>
      <w:r>
        <w:rPr>
          <w:rFonts w:hint="default" w:ascii="Times New Roman" w:hAnsi="Times New Roman" w:eastAsia="仿宋_GB2312" w:cs="Times New Roman"/>
          <w:b w:val="0"/>
          <w:bCs w:val="0"/>
          <w:color w:val="auto"/>
          <w:sz w:val="32"/>
          <w:szCs w:val="32"/>
          <w:highlight w:val="none"/>
        </w:rPr>
        <w:t>，偏差率</w:t>
      </w:r>
      <w:r>
        <w:rPr>
          <w:rFonts w:hint="eastAsia" w:ascii="Times New Roman" w:hAnsi="Times New Roman" w:eastAsia="仿宋_GB2312" w:cs="Times New Roman"/>
          <w:b w:val="0"/>
          <w:bCs w:val="0"/>
          <w:color w:val="auto"/>
          <w:sz w:val="32"/>
          <w:szCs w:val="32"/>
          <w:highlight w:val="none"/>
          <w:lang w:val="en-US" w:eastAsia="zh-CN"/>
        </w:rPr>
        <w:t>0</w:t>
      </w:r>
      <w:r>
        <w:rPr>
          <w:rFonts w:hint="default" w:ascii="Times New Roman" w:hAnsi="Times New Roman" w:eastAsia="仿宋_GB2312" w:cs="Times New Roman"/>
          <w:b w:val="0"/>
          <w:bCs w:val="0"/>
          <w:color w:val="auto"/>
          <w:sz w:val="32"/>
          <w:szCs w:val="32"/>
          <w:highlight w:val="none"/>
        </w:rPr>
        <w:t>%。</w:t>
      </w:r>
    </w:p>
    <w:p w14:paraId="536D78CD">
      <w:pPr>
        <w:keepNext w:val="0"/>
        <w:keepLines w:val="0"/>
        <w:pageBreakBefore w:val="0"/>
        <w:widowControl w:val="0"/>
        <w:kinsoku/>
        <w:wordWrap/>
        <w:overflowPunct/>
        <w:topLinePunct w:val="0"/>
        <w:autoSpaceDE/>
        <w:autoSpaceDN/>
        <w:bidi w:val="0"/>
        <w:adjustRightInd/>
        <w:snapToGrid/>
        <w:spacing w:after="0" w:line="560" w:lineRule="exact"/>
        <w:ind w:firstLine="640" w:firstLineChars="200"/>
        <w:textAlignment w:val="auto"/>
        <w:rPr>
          <w:rFonts w:hint="default" w:ascii="Times New Roman" w:hAnsi="Times New Roman" w:eastAsia="仿宋_GB2312" w:cs="Times New Roman"/>
          <w:b/>
          <w:bCs/>
          <w:color w:val="auto"/>
          <w:sz w:val="32"/>
          <w:highlight w:val="none"/>
        </w:rPr>
      </w:pPr>
      <w:r>
        <w:rPr>
          <w:rFonts w:hint="eastAsia" w:eastAsia="仿宋_GB2312" w:cs="Times New Roman"/>
          <w:b w:val="0"/>
          <w:bCs w:val="0"/>
          <w:color w:val="auto"/>
          <w:kern w:val="2"/>
          <w:sz w:val="32"/>
          <w:szCs w:val="21"/>
          <w:highlight w:val="none"/>
          <w:lang w:val="en-US" w:eastAsia="zh-CN" w:bidi="ar-SA"/>
        </w:rPr>
        <w:t>指标2：</w:t>
      </w:r>
      <w:r>
        <w:rPr>
          <w:rFonts w:hint="eastAsia" w:ascii="Times New Roman" w:hAnsi="Times New Roman" w:eastAsia="仿宋_GB2312" w:cs="Times New Roman"/>
          <w:color w:val="auto"/>
          <w:sz w:val="32"/>
          <w:highlight w:val="none"/>
          <w:lang w:val="en-US" w:eastAsia="zh-CN"/>
        </w:rPr>
        <w:t>第十二届APEC技展会同国内企业协议签约额</w:t>
      </w:r>
      <w:r>
        <w:rPr>
          <w:rFonts w:hint="eastAsia" w:ascii="Times New Roman" w:hAnsi="Times New Roman" w:eastAsia="仿宋_GB2312" w:cs="Times New Roman"/>
          <w:b w:val="0"/>
          <w:bCs w:val="0"/>
          <w:color w:val="auto"/>
          <w:sz w:val="32"/>
          <w:highlight w:val="none"/>
          <w:lang w:val="en-US" w:eastAsia="zh-CN"/>
        </w:rPr>
        <w:t>指标值为1000万，实际</w:t>
      </w:r>
      <w:r>
        <w:rPr>
          <w:rFonts w:hint="eastAsia" w:ascii="Times New Roman" w:hAnsi="Times New Roman" w:eastAsia="仿宋_GB2312" w:cs="Times New Roman"/>
          <w:color w:val="auto"/>
          <w:sz w:val="32"/>
          <w:highlight w:val="none"/>
          <w:lang w:val="en-US" w:eastAsia="zh-CN"/>
        </w:rPr>
        <w:t>第十二届APEC技展会同国内企业协议签约额</w:t>
      </w:r>
      <w:r>
        <w:rPr>
          <w:rFonts w:hint="eastAsia" w:ascii="Times New Roman" w:hAnsi="Times New Roman" w:eastAsia="仿宋_GB2312" w:cs="Times New Roman"/>
          <w:b w:val="0"/>
          <w:bCs w:val="0"/>
          <w:color w:val="auto"/>
          <w:sz w:val="32"/>
          <w:highlight w:val="none"/>
          <w:lang w:val="en-US" w:eastAsia="zh-CN"/>
        </w:rPr>
        <w:t>指标值为1179万，</w:t>
      </w:r>
      <w:r>
        <w:rPr>
          <w:rFonts w:hint="default" w:ascii="Times New Roman" w:hAnsi="Times New Roman" w:eastAsia="仿宋_GB2312" w:cs="Times New Roman"/>
          <w:b w:val="0"/>
          <w:bCs w:val="0"/>
          <w:color w:val="auto"/>
          <w:sz w:val="32"/>
          <w:szCs w:val="32"/>
          <w:highlight w:val="none"/>
          <w:lang w:val="en-US" w:eastAsia="zh-CN"/>
        </w:rPr>
        <w:t>完成绩效目标的</w:t>
      </w:r>
      <w:r>
        <w:rPr>
          <w:rFonts w:hint="eastAsia" w:ascii="Times New Roman" w:hAnsi="Times New Roman" w:eastAsia="仿宋_GB2312" w:cs="Times New Roman"/>
          <w:b w:val="0"/>
          <w:bCs w:val="0"/>
          <w:color w:val="auto"/>
          <w:sz w:val="32"/>
          <w:szCs w:val="32"/>
          <w:highlight w:val="none"/>
          <w:lang w:val="en-US" w:eastAsia="zh-CN"/>
        </w:rPr>
        <w:t>117.9</w:t>
      </w:r>
      <w:r>
        <w:rPr>
          <w:rFonts w:hint="default" w:ascii="Times New Roman" w:hAnsi="Times New Roman" w:eastAsia="仿宋_GB2312" w:cs="Times New Roman"/>
          <w:b w:val="0"/>
          <w:bCs w:val="0"/>
          <w:color w:val="auto"/>
          <w:sz w:val="32"/>
          <w:szCs w:val="32"/>
          <w:highlight w:val="none"/>
          <w:lang w:val="en-US" w:eastAsia="zh-CN"/>
        </w:rPr>
        <w:t>%</w:t>
      </w:r>
      <w:r>
        <w:rPr>
          <w:rFonts w:hint="default" w:ascii="Times New Roman" w:hAnsi="Times New Roman" w:eastAsia="仿宋_GB2312" w:cs="Times New Roman"/>
          <w:b w:val="0"/>
          <w:bCs w:val="0"/>
          <w:color w:val="auto"/>
          <w:sz w:val="32"/>
          <w:szCs w:val="32"/>
          <w:highlight w:val="none"/>
        </w:rPr>
        <w:t>，偏差率</w:t>
      </w:r>
      <w:r>
        <w:rPr>
          <w:rFonts w:hint="eastAsia" w:ascii="Times New Roman" w:hAnsi="Times New Roman" w:eastAsia="仿宋_GB2312" w:cs="Times New Roman"/>
          <w:b w:val="0"/>
          <w:bCs w:val="0"/>
          <w:color w:val="auto"/>
          <w:sz w:val="32"/>
          <w:szCs w:val="32"/>
          <w:highlight w:val="none"/>
          <w:lang w:val="en-US" w:eastAsia="zh-CN"/>
        </w:rPr>
        <w:t>17.9</w:t>
      </w:r>
      <w:r>
        <w:rPr>
          <w:rFonts w:hint="default" w:ascii="Times New Roman" w:hAnsi="Times New Roman" w:eastAsia="仿宋_GB2312" w:cs="Times New Roman"/>
          <w:b w:val="0"/>
          <w:bCs w:val="0"/>
          <w:color w:val="auto"/>
          <w:sz w:val="32"/>
          <w:szCs w:val="32"/>
          <w:highlight w:val="none"/>
        </w:rPr>
        <w:t>%</w:t>
      </w:r>
      <w:r>
        <w:rPr>
          <w:rFonts w:hint="eastAsia" w:eastAsia="仿宋_GB2312" w:cs="Times New Roman"/>
          <w:b w:val="0"/>
          <w:bCs w:val="0"/>
          <w:color w:val="auto"/>
          <w:sz w:val="32"/>
          <w:szCs w:val="32"/>
          <w:highlight w:val="none"/>
          <w:lang w:eastAsia="zh-CN"/>
        </w:rPr>
        <w:t>，</w:t>
      </w:r>
      <w:r>
        <w:rPr>
          <w:rFonts w:hint="eastAsia" w:eastAsia="仿宋_GB2312" w:cs="Times New Roman"/>
          <w:b w:val="0"/>
          <w:bCs w:val="0"/>
          <w:color w:val="auto"/>
          <w:sz w:val="32"/>
          <w:szCs w:val="32"/>
          <w:highlight w:val="none"/>
          <w:lang w:val="en-US" w:eastAsia="zh-CN"/>
        </w:rPr>
        <w:t>偏差原因：XXX</w:t>
      </w:r>
      <w:r>
        <w:rPr>
          <w:rFonts w:hint="default" w:ascii="Times New Roman" w:hAnsi="Times New Roman" w:eastAsia="仿宋_GB2312" w:cs="Times New Roman"/>
          <w:b w:val="0"/>
          <w:bCs w:val="0"/>
          <w:color w:val="auto"/>
          <w:sz w:val="32"/>
          <w:szCs w:val="32"/>
          <w:highlight w:val="none"/>
        </w:rPr>
        <w:t>。</w:t>
      </w:r>
    </w:p>
    <w:p w14:paraId="71CB629E">
      <w:pPr>
        <w:keepNext w:val="0"/>
        <w:keepLines w:val="0"/>
        <w:pageBreakBefore w:val="0"/>
        <w:widowControl w:val="0"/>
        <w:kinsoku/>
        <w:wordWrap/>
        <w:overflowPunct/>
        <w:topLinePunct w:val="0"/>
        <w:autoSpaceDE/>
        <w:autoSpaceDN/>
        <w:bidi w:val="0"/>
        <w:adjustRightInd/>
        <w:snapToGrid/>
        <w:spacing w:after="0" w:line="560" w:lineRule="exact"/>
        <w:ind w:firstLine="643" w:firstLineChars="200"/>
        <w:textAlignment w:val="auto"/>
        <w:rPr>
          <w:rFonts w:hint="eastAsia" w:ascii="Times New Roman" w:hAnsi="Times New Roman" w:eastAsia="仿宋_GB2312" w:cs="Times New Roman"/>
          <w:b/>
          <w:bCs/>
          <w:color w:val="auto"/>
          <w:sz w:val="32"/>
          <w:highlight w:val="none"/>
          <w:lang w:val="en-US" w:eastAsia="zh-CN"/>
        </w:rPr>
      </w:pPr>
      <w:r>
        <w:rPr>
          <w:rFonts w:hint="eastAsia" w:eastAsia="仿宋_GB2312" w:cs="Times New Roman"/>
          <w:b/>
          <w:bCs/>
          <w:color w:val="auto"/>
          <w:sz w:val="32"/>
          <w:highlight w:val="none"/>
          <w:lang w:val="en-US" w:eastAsia="zh-CN"/>
        </w:rPr>
        <w:t>②</w:t>
      </w:r>
      <w:r>
        <w:rPr>
          <w:rFonts w:hint="eastAsia" w:ascii="Times New Roman" w:hAnsi="Times New Roman" w:eastAsia="仿宋_GB2312" w:cs="Times New Roman"/>
          <w:b/>
          <w:bCs/>
          <w:color w:val="auto"/>
          <w:sz w:val="32"/>
          <w:highlight w:val="none"/>
          <w:lang w:val="en-US" w:eastAsia="zh-CN"/>
        </w:rPr>
        <w:t>社会效益指标</w:t>
      </w:r>
    </w:p>
    <w:p w14:paraId="7F23E4E7">
      <w:pPr>
        <w:keepNext w:val="0"/>
        <w:keepLines w:val="0"/>
        <w:pageBreakBefore w:val="0"/>
        <w:widowControl w:val="0"/>
        <w:kinsoku/>
        <w:wordWrap/>
        <w:overflowPunct/>
        <w:topLinePunct w:val="0"/>
        <w:autoSpaceDE/>
        <w:autoSpaceDN/>
        <w:bidi w:val="0"/>
        <w:adjustRightInd/>
        <w:snapToGrid/>
        <w:spacing w:after="0" w:line="560" w:lineRule="exact"/>
        <w:ind w:firstLine="640" w:firstLineChars="200"/>
        <w:textAlignment w:val="auto"/>
        <w:rPr>
          <w:rFonts w:hint="default" w:ascii="Times New Roman" w:hAnsi="Times New Roman" w:eastAsia="仿宋_GB2312" w:cs="Times New Roman"/>
          <w:color w:val="auto"/>
          <w:sz w:val="32"/>
          <w:highlight w:val="none"/>
          <w:lang w:val="en-US" w:eastAsia="zh-CN"/>
        </w:rPr>
      </w:pPr>
      <w:r>
        <w:rPr>
          <w:rFonts w:hint="eastAsia" w:eastAsia="仿宋_GB2312" w:cs="Times New Roman"/>
          <w:color w:val="auto"/>
          <w:sz w:val="32"/>
          <w:highlight w:val="none"/>
          <w:lang w:val="en-US" w:eastAsia="zh-CN"/>
        </w:rPr>
        <w:t>指标1：</w:t>
      </w:r>
      <w:r>
        <w:rPr>
          <w:rFonts w:hint="eastAsia" w:ascii="Times New Roman" w:hAnsi="Times New Roman" w:eastAsia="仿宋_GB2312" w:cs="Times New Roman"/>
          <w:color w:val="auto"/>
          <w:sz w:val="32"/>
          <w:highlight w:val="none"/>
          <w:lang w:val="en-US" w:eastAsia="zh-CN"/>
        </w:rPr>
        <w:t>提高企业经营水平，有效提高，实际企业经营水平有效提高，完成绩效目标的100%，偏差率0%。</w:t>
      </w:r>
    </w:p>
    <w:p w14:paraId="115546DB">
      <w:pPr>
        <w:keepNext w:val="0"/>
        <w:keepLines w:val="0"/>
        <w:pageBreakBefore w:val="0"/>
        <w:widowControl w:val="0"/>
        <w:kinsoku/>
        <w:wordWrap/>
        <w:overflowPunct/>
        <w:topLinePunct w:val="0"/>
        <w:autoSpaceDE/>
        <w:autoSpaceDN/>
        <w:bidi w:val="0"/>
        <w:adjustRightInd/>
        <w:snapToGrid/>
        <w:spacing w:after="0" w:line="560" w:lineRule="exact"/>
        <w:ind w:firstLine="643" w:firstLineChars="200"/>
        <w:textAlignment w:val="auto"/>
        <w:rPr>
          <w:rFonts w:hint="default" w:ascii="Times New Roman" w:hAnsi="Times New Roman" w:eastAsia="仿宋_GB2312" w:cs="Times New Roman"/>
          <w:b/>
          <w:bCs/>
          <w:color w:val="auto"/>
          <w:sz w:val="32"/>
          <w:highlight w:val="none"/>
        </w:rPr>
      </w:pPr>
      <w:r>
        <w:rPr>
          <w:rFonts w:hint="eastAsia" w:eastAsia="仿宋_GB2312" w:cs="Times New Roman"/>
          <w:b/>
          <w:bCs/>
          <w:color w:val="auto"/>
          <w:sz w:val="32"/>
          <w:highlight w:val="none"/>
          <w:lang w:val="en-US" w:eastAsia="zh-CN"/>
        </w:rPr>
        <w:t>2.</w:t>
      </w:r>
      <w:r>
        <w:rPr>
          <w:rFonts w:hint="eastAsia" w:ascii="Times New Roman" w:hAnsi="Times New Roman" w:eastAsia="仿宋_GB2312" w:cs="Times New Roman"/>
          <w:b/>
          <w:bCs/>
          <w:color w:val="auto"/>
          <w:sz w:val="32"/>
          <w:highlight w:val="none"/>
          <w:lang w:val="en-US" w:eastAsia="zh-CN"/>
        </w:rPr>
        <w:t>满意度指标完成情况分析</w:t>
      </w:r>
    </w:p>
    <w:p w14:paraId="6151004D">
      <w:pPr>
        <w:keepNext w:val="0"/>
        <w:keepLines w:val="0"/>
        <w:pageBreakBefore w:val="0"/>
        <w:widowControl w:val="0"/>
        <w:kinsoku/>
        <w:wordWrap/>
        <w:overflowPunct/>
        <w:topLinePunct w:val="0"/>
        <w:autoSpaceDE/>
        <w:autoSpaceDN/>
        <w:bidi w:val="0"/>
        <w:adjustRightInd/>
        <w:snapToGrid/>
        <w:spacing w:line="560" w:lineRule="exact"/>
        <w:ind w:left="0" w:leftChars="0" w:firstLine="643" w:firstLineChars="200"/>
        <w:jc w:val="both"/>
        <w:textAlignment w:val="auto"/>
        <w:rPr>
          <w:rFonts w:hint="default" w:ascii="Times New Roman" w:hAnsi="Times New Roman" w:eastAsia="仿宋_GB2312" w:cs="Times New Roman"/>
          <w:b w:val="0"/>
          <w:bCs w:val="0"/>
          <w:color w:val="auto"/>
          <w:sz w:val="32"/>
          <w:highlight w:val="none"/>
        </w:rPr>
      </w:pPr>
      <w:r>
        <w:rPr>
          <w:rFonts w:hint="default" w:ascii="Times New Roman" w:hAnsi="Times New Roman" w:eastAsia="仿宋_GB2312" w:cs="Times New Roman"/>
          <w:b/>
          <w:bCs/>
          <w:color w:val="auto"/>
          <w:kern w:val="2"/>
          <w:sz w:val="32"/>
          <w:szCs w:val="21"/>
          <w:highlight w:val="none"/>
          <w:lang w:val="en-US" w:eastAsia="zh-CN" w:bidi="ar-SA"/>
        </w:rPr>
        <w:t>服务对象满意度指标</w:t>
      </w:r>
      <w:r>
        <w:rPr>
          <w:rFonts w:hint="eastAsia" w:eastAsia="仿宋_GB2312" w:cs="Times New Roman"/>
          <w:b/>
          <w:bCs/>
          <w:color w:val="auto"/>
          <w:kern w:val="2"/>
          <w:sz w:val="32"/>
          <w:szCs w:val="21"/>
          <w:highlight w:val="none"/>
          <w:lang w:val="en-US" w:eastAsia="zh-CN" w:bidi="ar-SA"/>
        </w:rPr>
        <w:t>：</w:t>
      </w:r>
      <w:r>
        <w:rPr>
          <w:rFonts w:hint="default" w:ascii="Times New Roman" w:hAnsi="Times New Roman" w:eastAsia="仿宋_GB2312" w:cs="Times New Roman"/>
          <w:b w:val="0"/>
          <w:bCs w:val="0"/>
          <w:color w:val="auto"/>
          <w:sz w:val="32"/>
          <w:highlight w:val="none"/>
        </w:rPr>
        <w:t>推动企业发展提高，被服务对象满意率</w:t>
      </w:r>
      <w:r>
        <w:rPr>
          <w:rFonts w:hint="eastAsia" w:ascii="Times New Roman" w:hAnsi="Times New Roman" w:eastAsia="仿宋_GB2312" w:cs="Times New Roman"/>
          <w:color w:val="auto"/>
          <w:sz w:val="32"/>
          <w:highlight w:val="none"/>
          <w:lang w:val="en-US" w:eastAsia="zh-CN"/>
        </w:rPr>
        <w:t>指标值为</w:t>
      </w:r>
      <w:r>
        <w:rPr>
          <w:rFonts w:hint="default" w:ascii="Times New Roman" w:hAnsi="Times New Roman" w:eastAsia="仿宋_GB2312" w:cs="Times New Roman"/>
          <w:b w:val="0"/>
          <w:bCs w:val="0"/>
          <w:color w:val="auto"/>
          <w:sz w:val="32"/>
          <w:highlight w:val="none"/>
        </w:rPr>
        <w:t>90%</w:t>
      </w:r>
      <w:r>
        <w:rPr>
          <w:rFonts w:hint="eastAsia" w:ascii="Times New Roman" w:hAnsi="Times New Roman" w:eastAsia="仿宋_GB2312" w:cs="Times New Roman"/>
          <w:b w:val="0"/>
          <w:bCs w:val="0"/>
          <w:color w:val="auto"/>
          <w:sz w:val="32"/>
          <w:highlight w:val="none"/>
          <w:lang w:eastAsia="zh-CN"/>
        </w:rPr>
        <w:t>，</w:t>
      </w:r>
      <w:r>
        <w:rPr>
          <w:rFonts w:hint="eastAsia" w:ascii="Times New Roman" w:hAnsi="Times New Roman" w:eastAsia="仿宋_GB2312" w:cs="Times New Roman"/>
          <w:b w:val="0"/>
          <w:bCs w:val="0"/>
          <w:color w:val="auto"/>
          <w:sz w:val="32"/>
          <w:highlight w:val="none"/>
          <w:lang w:val="en-US" w:eastAsia="zh-CN"/>
        </w:rPr>
        <w:t>实际</w:t>
      </w:r>
      <w:r>
        <w:rPr>
          <w:rFonts w:hint="default" w:ascii="Times New Roman" w:hAnsi="Times New Roman" w:eastAsia="仿宋_GB2312" w:cs="Times New Roman"/>
          <w:b w:val="0"/>
          <w:bCs w:val="0"/>
          <w:color w:val="auto"/>
          <w:sz w:val="32"/>
          <w:highlight w:val="none"/>
        </w:rPr>
        <w:t>被服务对象满意率91%</w:t>
      </w:r>
      <w:r>
        <w:rPr>
          <w:rFonts w:hint="default" w:ascii="Times New Roman" w:hAnsi="Times New Roman" w:eastAsia="仿宋_GB2312" w:cs="Times New Roman"/>
          <w:b w:val="0"/>
          <w:bCs w:val="0"/>
          <w:color w:val="auto"/>
          <w:sz w:val="32"/>
          <w:highlight w:val="none"/>
          <w:lang w:eastAsia="zh-CN"/>
        </w:rPr>
        <w:t>，完成绩效目标10</w:t>
      </w:r>
      <w:r>
        <w:rPr>
          <w:rFonts w:hint="default" w:ascii="Times New Roman" w:hAnsi="Times New Roman" w:eastAsia="仿宋_GB2312" w:cs="Times New Roman"/>
          <w:b w:val="0"/>
          <w:bCs w:val="0"/>
          <w:color w:val="auto"/>
          <w:sz w:val="32"/>
          <w:highlight w:val="none"/>
          <w:lang w:val="en-US" w:eastAsia="zh-CN"/>
        </w:rPr>
        <w:t>1</w:t>
      </w:r>
      <w:r>
        <w:rPr>
          <w:rFonts w:hint="default" w:ascii="Times New Roman" w:hAnsi="Times New Roman" w:eastAsia="仿宋_GB2312" w:cs="Times New Roman"/>
          <w:b w:val="0"/>
          <w:bCs w:val="0"/>
          <w:color w:val="auto"/>
          <w:sz w:val="32"/>
          <w:highlight w:val="none"/>
          <w:lang w:eastAsia="zh-CN"/>
        </w:rPr>
        <w:t>%</w:t>
      </w:r>
      <w:r>
        <w:rPr>
          <w:rFonts w:hint="eastAsia" w:ascii="Times New Roman" w:hAnsi="Times New Roman" w:eastAsia="仿宋_GB2312" w:cs="Times New Roman"/>
          <w:b w:val="0"/>
          <w:bCs w:val="0"/>
          <w:color w:val="auto"/>
          <w:sz w:val="32"/>
          <w:highlight w:val="none"/>
          <w:lang w:eastAsia="zh-CN"/>
        </w:rPr>
        <w:t>，</w:t>
      </w:r>
      <w:r>
        <w:rPr>
          <w:rFonts w:hint="default" w:ascii="Times New Roman" w:hAnsi="Times New Roman" w:eastAsia="仿宋_GB2312" w:cs="Times New Roman"/>
          <w:b w:val="0"/>
          <w:bCs w:val="0"/>
          <w:color w:val="auto"/>
          <w:sz w:val="32"/>
          <w:highlight w:val="none"/>
        </w:rPr>
        <w:t>偏差率</w:t>
      </w:r>
      <w:r>
        <w:rPr>
          <w:rFonts w:hint="eastAsia" w:ascii="Times New Roman" w:hAnsi="Times New Roman" w:eastAsia="仿宋_GB2312" w:cs="Times New Roman"/>
          <w:b w:val="0"/>
          <w:bCs w:val="0"/>
          <w:color w:val="auto"/>
          <w:sz w:val="32"/>
          <w:highlight w:val="none"/>
          <w:lang w:val="en-US" w:eastAsia="zh-CN"/>
        </w:rPr>
        <w:t>1</w:t>
      </w:r>
      <w:r>
        <w:rPr>
          <w:rFonts w:hint="default" w:ascii="Times New Roman" w:hAnsi="Times New Roman" w:eastAsia="仿宋_GB2312" w:cs="Times New Roman"/>
          <w:b w:val="0"/>
          <w:bCs w:val="0"/>
          <w:color w:val="auto"/>
          <w:sz w:val="32"/>
          <w:highlight w:val="none"/>
        </w:rPr>
        <w:t>%。</w:t>
      </w:r>
    </w:p>
    <w:p w14:paraId="010DA5E1">
      <w:pPr>
        <w:spacing w:line="560" w:lineRule="exact"/>
        <w:ind w:firstLine="640" w:firstLineChars="200"/>
        <w:jc w:val="left"/>
        <w:rPr>
          <w:rFonts w:eastAsia="黑体"/>
          <w:sz w:val="32"/>
          <w:szCs w:val="32"/>
          <w:lang w:eastAsia="zh-Hans"/>
        </w:rPr>
      </w:pPr>
      <w:r>
        <w:rPr>
          <w:rFonts w:eastAsia="黑体"/>
          <w:sz w:val="32"/>
          <w:szCs w:val="32"/>
        </w:rPr>
        <w:t>五、</w:t>
      </w:r>
      <w:r>
        <w:rPr>
          <w:rFonts w:hint="eastAsia" w:eastAsia="黑体"/>
          <w:sz w:val="32"/>
          <w:szCs w:val="32"/>
          <w:lang w:eastAsia="zh-Hans"/>
        </w:rPr>
        <w:t>预算执行进度与绩效指标总体完成率偏差</w:t>
      </w:r>
    </w:p>
    <w:p w14:paraId="118BFD59">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 w:hAnsi="仿宋" w:eastAsia="仿宋" w:cs="仿宋"/>
          <w:b w:val="0"/>
          <w:bCs w:val="0"/>
          <w:kern w:val="2"/>
          <w:sz w:val="32"/>
          <w:szCs w:val="32"/>
          <w:lang w:eastAsia="zh-CN"/>
        </w:rPr>
      </w:pPr>
      <w:r>
        <w:rPr>
          <w:rFonts w:hint="eastAsia" w:ascii="仿宋" w:hAnsi="仿宋" w:eastAsia="仿宋" w:cs="仿宋"/>
          <w:b w:val="0"/>
          <w:bCs w:val="0"/>
          <w:kern w:val="2"/>
          <w:sz w:val="32"/>
          <w:szCs w:val="32"/>
          <w:lang w:val="en-US" w:eastAsia="zh-CN"/>
        </w:rPr>
        <w:t>2023年度自治区中小企业发展专项资金（自治区本级）</w:t>
      </w:r>
      <w:r>
        <w:rPr>
          <w:rFonts w:hint="eastAsia" w:ascii="仿宋" w:hAnsi="仿宋" w:eastAsia="仿宋" w:cs="仿宋"/>
          <w:b w:val="0"/>
          <w:bCs w:val="0"/>
          <w:kern w:val="2"/>
          <w:sz w:val="32"/>
          <w:szCs w:val="32"/>
        </w:rPr>
        <w:t>项目预算</w:t>
      </w:r>
      <w:r>
        <w:rPr>
          <w:rFonts w:hint="eastAsia" w:ascii="仿宋" w:hAnsi="仿宋" w:eastAsia="仿宋" w:cs="仿宋"/>
          <w:b w:val="0"/>
          <w:bCs w:val="0"/>
          <w:kern w:val="2"/>
          <w:sz w:val="32"/>
          <w:szCs w:val="32"/>
          <w:lang w:val="en-US" w:eastAsia="zh-CN"/>
        </w:rPr>
        <w:t>5000</w:t>
      </w:r>
      <w:r>
        <w:rPr>
          <w:rFonts w:hint="eastAsia" w:ascii="仿宋" w:hAnsi="仿宋" w:eastAsia="仿宋" w:cs="仿宋"/>
          <w:b w:val="0"/>
          <w:bCs w:val="0"/>
          <w:kern w:val="2"/>
          <w:sz w:val="32"/>
          <w:szCs w:val="32"/>
        </w:rPr>
        <w:t>万元，到位</w:t>
      </w:r>
      <w:r>
        <w:rPr>
          <w:rFonts w:hint="eastAsia" w:ascii="仿宋" w:hAnsi="仿宋" w:eastAsia="仿宋" w:cs="仿宋"/>
          <w:b w:val="0"/>
          <w:bCs w:val="0"/>
          <w:kern w:val="2"/>
          <w:sz w:val="32"/>
          <w:szCs w:val="32"/>
          <w:lang w:val="en-US" w:eastAsia="zh-CN"/>
        </w:rPr>
        <w:t>5000</w:t>
      </w:r>
      <w:r>
        <w:rPr>
          <w:rFonts w:hint="eastAsia" w:ascii="仿宋" w:hAnsi="仿宋" w:eastAsia="仿宋" w:cs="仿宋"/>
          <w:b w:val="0"/>
          <w:bCs w:val="0"/>
          <w:kern w:val="2"/>
          <w:sz w:val="32"/>
          <w:szCs w:val="32"/>
        </w:rPr>
        <w:t>万元，实际支出4999.9983万元，预算执行率为99.99%，项目绩效指标总体完成率为</w:t>
      </w:r>
      <w:r>
        <w:rPr>
          <w:rFonts w:hint="eastAsia" w:ascii="仿宋" w:hAnsi="仿宋" w:eastAsia="仿宋" w:cs="仿宋"/>
          <w:b w:val="0"/>
          <w:bCs w:val="0"/>
          <w:kern w:val="2"/>
          <w:sz w:val="32"/>
          <w:szCs w:val="32"/>
          <w:lang w:val="en-US" w:eastAsia="zh-CN"/>
        </w:rPr>
        <w:t>116</w:t>
      </w:r>
      <w:r>
        <w:rPr>
          <w:rFonts w:hint="eastAsia" w:ascii="仿宋" w:hAnsi="仿宋" w:eastAsia="仿宋" w:cs="仿宋"/>
          <w:b w:val="0"/>
          <w:bCs w:val="0"/>
          <w:kern w:val="2"/>
          <w:sz w:val="32"/>
          <w:szCs w:val="32"/>
        </w:rPr>
        <w:t>%，</w:t>
      </w:r>
      <w:r>
        <w:rPr>
          <w:rFonts w:hint="eastAsia" w:ascii="仿宋" w:hAnsi="仿宋" w:eastAsia="仿宋" w:cs="仿宋"/>
          <w:b w:val="0"/>
          <w:bCs w:val="0"/>
          <w:kern w:val="2"/>
          <w:sz w:val="32"/>
          <w:szCs w:val="32"/>
          <w:lang w:eastAsia="zh-CN"/>
        </w:rPr>
        <w:t>总体</w:t>
      </w:r>
      <w:r>
        <w:rPr>
          <w:rFonts w:hint="eastAsia" w:ascii="仿宋" w:hAnsi="仿宋" w:eastAsia="仿宋" w:cs="仿宋"/>
          <w:b w:val="0"/>
          <w:bCs w:val="0"/>
          <w:kern w:val="2"/>
          <w:sz w:val="32"/>
          <w:szCs w:val="32"/>
        </w:rPr>
        <w:t>偏差率为</w:t>
      </w:r>
      <w:r>
        <w:rPr>
          <w:rFonts w:hint="eastAsia" w:ascii="仿宋" w:hAnsi="仿宋" w:eastAsia="仿宋" w:cs="仿宋"/>
          <w:b w:val="0"/>
          <w:bCs w:val="0"/>
          <w:kern w:val="2"/>
          <w:sz w:val="32"/>
          <w:szCs w:val="32"/>
          <w:lang w:val="en-US" w:eastAsia="zh-CN"/>
        </w:rPr>
        <w:t>16</w:t>
      </w:r>
      <w:r>
        <w:rPr>
          <w:rFonts w:hint="eastAsia" w:ascii="仿宋" w:hAnsi="仿宋" w:eastAsia="仿宋" w:cs="仿宋"/>
          <w:b w:val="0"/>
          <w:bCs w:val="0"/>
          <w:kern w:val="2"/>
          <w:sz w:val="32"/>
          <w:szCs w:val="32"/>
        </w:rPr>
        <w:t>%</w:t>
      </w:r>
      <w:r>
        <w:rPr>
          <w:rFonts w:hint="eastAsia" w:ascii="仿宋" w:hAnsi="仿宋" w:eastAsia="仿宋" w:cs="仿宋"/>
          <w:b w:val="0"/>
          <w:bCs w:val="0"/>
          <w:kern w:val="2"/>
          <w:sz w:val="32"/>
          <w:szCs w:val="32"/>
          <w:lang w:eastAsia="zh-CN"/>
        </w:rPr>
        <w:t>。</w:t>
      </w:r>
    </w:p>
    <w:p w14:paraId="76D65CF4">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Times New Roman" w:hAnsi="Times New Roman" w:eastAsia="仿宋_GB2312" w:cs="Times New Roman"/>
          <w:b w:val="0"/>
          <w:bCs w:val="0"/>
          <w:color w:val="auto"/>
          <w:kern w:val="2"/>
          <w:sz w:val="32"/>
          <w:szCs w:val="21"/>
          <w:highlight w:val="none"/>
          <w:lang w:val="en-US" w:eastAsia="zh-CN" w:bidi="ar-SA"/>
        </w:rPr>
      </w:pPr>
      <w:r>
        <w:rPr>
          <w:rFonts w:hint="eastAsia" w:ascii="仿宋" w:hAnsi="仿宋" w:eastAsia="仿宋" w:cs="仿宋"/>
          <w:b w:val="0"/>
          <w:bCs w:val="0"/>
          <w:kern w:val="2"/>
          <w:sz w:val="32"/>
          <w:szCs w:val="32"/>
          <w:lang w:eastAsia="zh-CN"/>
        </w:rPr>
        <w:t>偏差</w:t>
      </w:r>
      <w:r>
        <w:rPr>
          <w:rFonts w:hint="eastAsia" w:ascii="仿宋" w:hAnsi="仿宋" w:eastAsia="仿宋" w:cs="仿宋"/>
          <w:b w:val="0"/>
          <w:bCs w:val="0"/>
          <w:kern w:val="2"/>
          <w:sz w:val="32"/>
          <w:szCs w:val="32"/>
        </w:rPr>
        <w:t>原因</w:t>
      </w:r>
      <w:r>
        <w:rPr>
          <w:rFonts w:hint="eastAsia" w:ascii="仿宋" w:hAnsi="仿宋" w:eastAsia="仿宋" w:cs="仿宋"/>
          <w:b w:val="0"/>
          <w:bCs w:val="0"/>
          <w:kern w:val="2"/>
          <w:sz w:val="32"/>
          <w:szCs w:val="32"/>
          <w:lang w:eastAsia="zh-CN"/>
        </w:rPr>
        <w:t>：</w:t>
      </w:r>
      <w:r>
        <w:rPr>
          <w:rFonts w:hint="eastAsia" w:ascii="仿宋" w:hAnsi="仿宋" w:eastAsia="仿宋" w:cs="仿宋"/>
          <w:b w:val="0"/>
          <w:bCs w:val="0"/>
          <w:kern w:val="2"/>
          <w:sz w:val="32"/>
          <w:szCs w:val="32"/>
          <w:lang w:val="en-US" w:eastAsia="zh-CN"/>
        </w:rPr>
        <w:t>一是</w:t>
      </w:r>
      <w:r>
        <w:rPr>
          <w:rFonts w:hint="default" w:ascii="Times New Roman" w:hAnsi="Times New Roman" w:eastAsia="仿宋_GB2312" w:cs="Times New Roman"/>
          <w:color w:val="auto"/>
          <w:kern w:val="2"/>
          <w:sz w:val="32"/>
          <w:szCs w:val="21"/>
          <w:highlight w:val="none"/>
          <w:lang w:val="en-US" w:eastAsia="zh-CN" w:bidi="ar-SA"/>
        </w:rPr>
        <w:t>自治区推动出台《自治区扶持专精特新中小企业倍增培育行动计划》，加强梯度培育用好政策资金、加大技术支持推动科技创新、加大市场开拓增强发展动力、强化数字赋能提升应用水平、夯实金融支撑激发发展活力、加强品牌管理实现质量提升、优化要素保障实现强企业增效等七个方面20项任务加大对专精特新企业的培育，专精特新企业数量增长较快。</w:t>
      </w:r>
      <w:r>
        <w:rPr>
          <w:rFonts w:hint="eastAsia" w:eastAsia="仿宋_GB2312" w:cs="Times New Roman"/>
          <w:color w:val="auto"/>
          <w:kern w:val="2"/>
          <w:sz w:val="32"/>
          <w:szCs w:val="21"/>
          <w:highlight w:val="none"/>
          <w:lang w:val="en-US" w:eastAsia="zh-CN" w:bidi="ar-SA"/>
        </w:rPr>
        <w:t>二是疫情后,中小企业对财税、知识产权、数字化转型、技术开发、体系认证、产品质量检验检测、项目申报、研发费用加计扣除等服务需求大幅增加，自治区加大了</w:t>
      </w:r>
      <w:r>
        <w:rPr>
          <w:rFonts w:hint="eastAsia" w:ascii="Times New Roman" w:hAnsi="Times New Roman" w:eastAsia="仿宋_GB2312" w:cs="Times New Roman"/>
          <w:b w:val="0"/>
          <w:bCs w:val="0"/>
          <w:color w:val="auto"/>
          <w:kern w:val="2"/>
          <w:sz w:val="32"/>
          <w:szCs w:val="21"/>
          <w:highlight w:val="none"/>
          <w:lang w:val="en-US" w:eastAsia="zh-CN" w:bidi="ar-SA"/>
        </w:rPr>
        <w:t>申领中小企业服务券企业数量</w:t>
      </w:r>
      <w:r>
        <w:rPr>
          <w:rFonts w:hint="eastAsia" w:eastAsia="仿宋_GB2312" w:cs="Times New Roman"/>
          <w:color w:val="auto"/>
          <w:kern w:val="2"/>
          <w:sz w:val="32"/>
          <w:szCs w:val="21"/>
          <w:highlight w:val="none"/>
          <w:lang w:val="en-US" w:eastAsia="zh-CN" w:bidi="ar-SA"/>
        </w:rPr>
        <w:t>。三是</w:t>
      </w:r>
      <w:r>
        <w:rPr>
          <w:rFonts w:hint="default" w:ascii="Times New Roman" w:hAnsi="Times New Roman" w:eastAsia="仿宋_GB2312" w:cs="Times New Roman"/>
          <w:color w:val="auto"/>
          <w:kern w:val="2"/>
          <w:sz w:val="32"/>
          <w:szCs w:val="21"/>
          <w:highlight w:val="none"/>
          <w:lang w:val="en-US" w:eastAsia="zh-CN" w:bidi="ar-SA"/>
        </w:rPr>
        <w:t>充分发挥自治区中小企业公共服务平台网络平台和微信平台的信息推送功能，通过网站和微信平台推送，按照实际政策信息进行推送，推送数量大于指标值。</w:t>
      </w:r>
    </w:p>
    <w:p w14:paraId="5F4FA443">
      <w:pPr>
        <w:spacing w:line="560" w:lineRule="exact"/>
        <w:ind w:firstLine="640" w:firstLineChars="200"/>
        <w:rPr>
          <w:rFonts w:hint="eastAsia" w:ascii="仿宋" w:hAnsi="仿宋" w:eastAsia="仿宋" w:cs="仿宋"/>
          <w:b w:val="0"/>
          <w:bCs w:val="0"/>
          <w:kern w:val="2"/>
          <w:sz w:val="32"/>
          <w:szCs w:val="32"/>
        </w:rPr>
      </w:pPr>
      <w:r>
        <w:rPr>
          <w:rFonts w:hint="eastAsia" w:ascii="仿宋" w:hAnsi="仿宋" w:eastAsia="仿宋" w:cs="仿宋"/>
          <w:b w:val="0"/>
          <w:bCs w:val="0"/>
          <w:kern w:val="2"/>
          <w:sz w:val="32"/>
          <w:szCs w:val="32"/>
          <w:lang w:eastAsia="zh-CN"/>
        </w:rPr>
        <w:t>改进</w:t>
      </w:r>
      <w:r>
        <w:rPr>
          <w:rFonts w:hint="eastAsia" w:ascii="仿宋" w:hAnsi="仿宋" w:eastAsia="仿宋" w:cs="仿宋"/>
          <w:b w:val="0"/>
          <w:bCs w:val="0"/>
          <w:kern w:val="2"/>
          <w:sz w:val="32"/>
          <w:szCs w:val="32"/>
        </w:rPr>
        <w:t>措施</w:t>
      </w:r>
      <w:r>
        <w:rPr>
          <w:rFonts w:hint="eastAsia" w:ascii="仿宋" w:hAnsi="仿宋" w:eastAsia="仿宋" w:cs="仿宋"/>
          <w:b w:val="0"/>
          <w:bCs w:val="0"/>
          <w:kern w:val="2"/>
          <w:sz w:val="32"/>
          <w:szCs w:val="32"/>
          <w:lang w:eastAsia="zh-CN"/>
        </w:rPr>
        <w:t>：</w:t>
      </w:r>
      <w:r>
        <w:rPr>
          <w:rFonts w:hint="eastAsia" w:ascii="仿宋" w:hAnsi="仿宋" w:eastAsia="仿宋" w:cs="仿宋"/>
          <w:b w:val="0"/>
          <w:bCs w:val="0"/>
          <w:kern w:val="2"/>
          <w:sz w:val="32"/>
          <w:szCs w:val="32"/>
          <w:lang w:val="en-US" w:eastAsia="zh-CN"/>
        </w:rPr>
        <w:t>预算下达编制项目绩效目标时精准测算需要奖励的专精特新企业数量、</w:t>
      </w:r>
      <w:r>
        <w:rPr>
          <w:rFonts w:hint="eastAsia" w:ascii="Times New Roman" w:hAnsi="Times New Roman" w:eastAsia="仿宋_GB2312" w:cs="Times New Roman"/>
          <w:b w:val="0"/>
          <w:bCs w:val="0"/>
          <w:color w:val="auto"/>
          <w:kern w:val="2"/>
          <w:sz w:val="32"/>
          <w:szCs w:val="21"/>
          <w:highlight w:val="none"/>
          <w:lang w:val="en-US" w:eastAsia="zh-CN" w:bidi="ar-SA"/>
        </w:rPr>
        <w:t>申领中小企业服务券企业数量</w:t>
      </w:r>
      <w:r>
        <w:rPr>
          <w:rFonts w:hint="eastAsia" w:eastAsia="仿宋_GB2312" w:cs="Times New Roman"/>
          <w:b w:val="0"/>
          <w:bCs w:val="0"/>
          <w:color w:val="auto"/>
          <w:kern w:val="2"/>
          <w:sz w:val="32"/>
          <w:szCs w:val="21"/>
          <w:highlight w:val="none"/>
          <w:lang w:val="en-US" w:eastAsia="zh-CN" w:bidi="ar-SA"/>
        </w:rPr>
        <w:t>及</w:t>
      </w:r>
      <w:r>
        <w:rPr>
          <w:rFonts w:hint="eastAsia" w:ascii="Times New Roman" w:hAnsi="Times New Roman" w:eastAsia="仿宋_GB2312" w:cs="Times New Roman"/>
          <w:b w:val="0"/>
          <w:bCs w:val="0"/>
          <w:color w:val="auto"/>
          <w:kern w:val="2"/>
          <w:sz w:val="32"/>
          <w:szCs w:val="21"/>
          <w:highlight w:val="none"/>
          <w:lang w:val="en-US" w:eastAsia="zh-CN" w:bidi="ar-SA"/>
        </w:rPr>
        <w:t>推送各类政策信息数量</w:t>
      </w:r>
      <w:r>
        <w:rPr>
          <w:rFonts w:hint="eastAsia" w:ascii="仿宋" w:hAnsi="仿宋" w:eastAsia="仿宋" w:cs="仿宋"/>
          <w:b w:val="0"/>
          <w:bCs w:val="0"/>
          <w:kern w:val="2"/>
          <w:sz w:val="32"/>
          <w:szCs w:val="32"/>
        </w:rPr>
        <w:t>。</w:t>
      </w:r>
    </w:p>
    <w:p w14:paraId="16A99C12">
      <w:pPr>
        <w:pageBreakBefore w:val="0"/>
        <w:kinsoku/>
        <w:wordWrap/>
        <w:overflowPunct/>
        <w:topLinePunct w:val="0"/>
        <w:autoSpaceDE/>
        <w:autoSpaceDN/>
        <w:bidi w:val="0"/>
        <w:adjustRightInd/>
        <w:snapToGrid/>
        <w:spacing w:line="560" w:lineRule="exact"/>
        <w:ind w:firstLine="640" w:firstLineChars="200"/>
        <w:textAlignment w:val="auto"/>
        <w:rPr>
          <w:rStyle w:val="52"/>
          <w:rFonts w:ascii="Times New Roman" w:hAnsi="Times New Roman" w:cs="Times New Roman"/>
          <w:color w:val="auto"/>
        </w:rPr>
      </w:pPr>
      <w:r>
        <w:rPr>
          <w:rFonts w:hint="eastAsia" w:eastAsia="黑体"/>
          <w:sz w:val="32"/>
          <w:szCs w:val="32"/>
          <w:lang w:val="en-US" w:eastAsia="zh-CN"/>
        </w:rPr>
        <w:t>六</w:t>
      </w:r>
      <w:r>
        <w:rPr>
          <w:rFonts w:eastAsia="黑体"/>
          <w:sz w:val="32"/>
          <w:szCs w:val="32"/>
        </w:rPr>
        <w:t>、主要经验及做法、存在的问题及原因分析</w:t>
      </w:r>
    </w:p>
    <w:p w14:paraId="0443791F">
      <w:pPr>
        <w:pageBreakBefore w:val="0"/>
        <w:kinsoku/>
        <w:wordWrap/>
        <w:overflowPunct/>
        <w:topLinePunct w:val="0"/>
        <w:autoSpaceDE/>
        <w:autoSpaceDN/>
        <w:bidi w:val="0"/>
        <w:adjustRightInd/>
        <w:snapToGrid/>
        <w:spacing w:line="560" w:lineRule="exact"/>
        <w:ind w:firstLine="627" w:firstLineChars="200"/>
        <w:textAlignment w:val="auto"/>
        <w:rPr>
          <w:rFonts w:eastAsia="楷体"/>
          <w:b/>
          <w:spacing w:val="-4"/>
          <w:sz w:val="32"/>
          <w:szCs w:val="32"/>
        </w:rPr>
      </w:pPr>
      <w:r>
        <w:rPr>
          <w:rFonts w:eastAsia="楷体"/>
          <w:b/>
          <w:spacing w:val="-4"/>
          <w:sz w:val="32"/>
          <w:szCs w:val="32"/>
        </w:rPr>
        <w:t>（一）主要经验及做法</w:t>
      </w:r>
    </w:p>
    <w:p w14:paraId="1CDAC7B6">
      <w:pPr>
        <w:keepNext w:val="0"/>
        <w:keepLines w:val="0"/>
        <w:pageBreakBefore w:val="0"/>
        <w:kinsoku/>
        <w:wordWrap/>
        <w:overflowPunct/>
        <w:topLinePunct w:val="0"/>
        <w:autoSpaceDE/>
        <w:autoSpaceDN/>
        <w:bidi w:val="0"/>
        <w:adjustRightInd/>
        <w:snapToGrid/>
        <w:spacing w:after="0" w:line="560" w:lineRule="exact"/>
        <w:ind w:left="0" w:leftChars="0" w:right="0" w:rightChars="0" w:firstLine="581" w:firstLineChars="181"/>
        <w:jc w:val="both"/>
        <w:textAlignment w:val="auto"/>
        <w:rPr>
          <w:rFonts w:hint="default" w:ascii="Times New Roman" w:hAnsi="Times New Roman" w:eastAsia="仿宋_GB2312" w:cs="Times New Roman"/>
          <w:sz w:val="32"/>
          <w:szCs w:val="22"/>
          <w:highlight w:val="none"/>
        </w:rPr>
      </w:pPr>
      <w:bookmarkStart w:id="1" w:name="_Toc85554265"/>
      <w:r>
        <w:rPr>
          <w:rFonts w:hint="default" w:ascii="Times New Roman" w:hAnsi="Times New Roman" w:eastAsia="仿宋_GB2312" w:cs="Times New Roman"/>
          <w:b/>
          <w:bCs/>
          <w:kern w:val="2"/>
          <w:sz w:val="32"/>
          <w:szCs w:val="28"/>
          <w:highlight w:val="none"/>
          <w:lang w:val="en-US" w:eastAsia="zh-CN" w:bidi="ar-SA"/>
        </w:rPr>
        <w:t>1.专项资金管理模式统一，绩效管理体系初步建立。</w:t>
      </w:r>
      <w:bookmarkEnd w:id="1"/>
      <w:r>
        <w:rPr>
          <w:rFonts w:hint="default" w:ascii="Times New Roman" w:hAnsi="Times New Roman" w:eastAsia="仿宋_GB2312" w:cs="Times New Roman"/>
          <w:sz w:val="32"/>
          <w:szCs w:val="22"/>
          <w:highlight w:val="none"/>
        </w:rPr>
        <w:t>202</w:t>
      </w:r>
      <w:r>
        <w:rPr>
          <w:rFonts w:hint="eastAsia" w:ascii="Times New Roman" w:hAnsi="Times New Roman" w:eastAsia="仿宋_GB2312" w:cs="Times New Roman"/>
          <w:sz w:val="32"/>
          <w:szCs w:val="22"/>
          <w:highlight w:val="none"/>
          <w:lang w:val="en-US" w:eastAsia="zh-CN"/>
        </w:rPr>
        <w:t>3</w:t>
      </w:r>
      <w:r>
        <w:rPr>
          <w:rFonts w:hint="default" w:ascii="Times New Roman" w:hAnsi="Times New Roman" w:eastAsia="仿宋_GB2312" w:cs="Times New Roman"/>
          <w:sz w:val="32"/>
          <w:szCs w:val="22"/>
          <w:highlight w:val="none"/>
        </w:rPr>
        <w:t>年自治区工业和信息化厅全面统筹为“因素法和项目制相结合，因素法为主”，自治区本级资金由自治区工业和信息化厅保留审批权限，其他财政资金通过因素法下达至地市，由地市工信部门按照“谁审批，谁负责”的原则组织申报、评审、验收和绩效评价等工作。自治区工业和信息化厅在划清绩效管理权责边界的基础上，初步建立了自治区</w:t>
      </w:r>
      <w:r>
        <w:rPr>
          <w:rFonts w:hint="default" w:ascii="Times New Roman" w:hAnsi="Times New Roman" w:eastAsia="仿宋_GB2312" w:cs="Times New Roman"/>
          <w:sz w:val="32"/>
          <w:szCs w:val="22"/>
          <w:highlight w:val="none"/>
          <w:lang w:eastAsia="zh-CN"/>
        </w:rPr>
        <w:t>、</w:t>
      </w:r>
      <w:r>
        <w:rPr>
          <w:rFonts w:hint="default" w:ascii="Times New Roman" w:hAnsi="Times New Roman" w:eastAsia="仿宋_GB2312" w:cs="Times New Roman"/>
          <w:sz w:val="32"/>
          <w:szCs w:val="22"/>
          <w:highlight w:val="none"/>
          <w:lang w:val="en-US" w:eastAsia="zh-CN"/>
        </w:rPr>
        <w:t>地州（</w:t>
      </w:r>
      <w:r>
        <w:rPr>
          <w:rFonts w:hint="default" w:ascii="Times New Roman" w:hAnsi="Times New Roman" w:eastAsia="仿宋_GB2312" w:cs="Times New Roman"/>
          <w:sz w:val="32"/>
          <w:szCs w:val="22"/>
          <w:highlight w:val="none"/>
        </w:rPr>
        <w:t>市</w:t>
      </w:r>
      <w:r>
        <w:rPr>
          <w:rFonts w:hint="default" w:ascii="Times New Roman" w:hAnsi="Times New Roman" w:eastAsia="仿宋_GB2312" w:cs="Times New Roman"/>
          <w:sz w:val="32"/>
          <w:szCs w:val="22"/>
          <w:highlight w:val="none"/>
          <w:lang w:val="en-US" w:eastAsia="zh-CN"/>
        </w:rPr>
        <w:t>）、企业</w:t>
      </w:r>
      <w:r>
        <w:rPr>
          <w:rFonts w:hint="default" w:ascii="Times New Roman" w:hAnsi="Times New Roman" w:eastAsia="仿宋_GB2312" w:cs="Times New Roman"/>
          <w:sz w:val="32"/>
          <w:szCs w:val="22"/>
          <w:highlight w:val="none"/>
        </w:rPr>
        <w:t>绩效管理体系。</w:t>
      </w:r>
      <w:bookmarkStart w:id="2" w:name="_Toc85554266"/>
    </w:p>
    <w:p w14:paraId="5B962E8F">
      <w:pPr>
        <w:keepNext w:val="0"/>
        <w:keepLines w:val="0"/>
        <w:pageBreakBefore w:val="0"/>
        <w:kinsoku/>
        <w:wordWrap/>
        <w:overflowPunct/>
        <w:topLinePunct w:val="0"/>
        <w:autoSpaceDE/>
        <w:autoSpaceDN/>
        <w:bidi w:val="0"/>
        <w:adjustRightInd/>
        <w:snapToGrid/>
        <w:spacing w:after="0" w:line="560" w:lineRule="exact"/>
        <w:ind w:left="0" w:leftChars="0" w:right="0" w:rightChars="0" w:firstLine="581" w:firstLineChars="181"/>
        <w:jc w:val="both"/>
        <w:textAlignment w:val="auto"/>
        <w:rPr>
          <w:rFonts w:hint="default" w:ascii="Times New Roman" w:hAnsi="Times New Roman" w:eastAsia="仿宋_GB2312" w:cs="Times New Roman"/>
          <w:sz w:val="32"/>
          <w:szCs w:val="22"/>
          <w:highlight w:val="none"/>
        </w:rPr>
      </w:pPr>
      <w:r>
        <w:rPr>
          <w:rFonts w:hint="default" w:ascii="Times New Roman" w:hAnsi="Times New Roman" w:eastAsia="仿宋_GB2312" w:cs="Times New Roman"/>
          <w:b/>
          <w:bCs/>
          <w:sz w:val="32"/>
          <w:szCs w:val="22"/>
          <w:highlight w:val="none"/>
          <w:lang w:val="en-US" w:eastAsia="zh-CN"/>
        </w:rPr>
        <w:t>2.</w:t>
      </w:r>
      <w:r>
        <w:rPr>
          <w:rFonts w:hint="default" w:ascii="Times New Roman" w:hAnsi="Times New Roman" w:eastAsia="仿宋_GB2312" w:cs="Times New Roman"/>
          <w:b/>
          <w:bCs/>
          <w:kern w:val="2"/>
          <w:sz w:val="32"/>
          <w:szCs w:val="28"/>
          <w:highlight w:val="none"/>
          <w:lang w:val="en-US" w:eastAsia="zh-CN" w:bidi="ar-SA"/>
        </w:rPr>
        <w:t>自治区级绩效管理框架完善，组织实施过程基本统一。</w:t>
      </w:r>
      <w:bookmarkEnd w:id="2"/>
      <w:r>
        <w:rPr>
          <w:rFonts w:hint="default" w:ascii="Times New Roman" w:hAnsi="Times New Roman" w:eastAsia="仿宋_GB2312" w:cs="Times New Roman"/>
          <w:sz w:val="32"/>
          <w:szCs w:val="22"/>
          <w:highlight w:val="none"/>
        </w:rPr>
        <w:t>一是绩效目标要求明确，</w:t>
      </w:r>
      <w:r>
        <w:rPr>
          <w:rFonts w:hint="default" w:ascii="Times New Roman" w:hAnsi="Times New Roman" w:eastAsia="仿宋_GB2312" w:cs="Times New Roman"/>
          <w:sz w:val="32"/>
          <w:szCs w:val="22"/>
          <w:highlight w:val="none"/>
          <w:lang w:val="en-US" w:eastAsia="zh-CN"/>
        </w:rPr>
        <w:t>专项</w:t>
      </w:r>
      <w:r>
        <w:rPr>
          <w:rFonts w:hint="default" w:ascii="Times New Roman" w:hAnsi="Times New Roman" w:eastAsia="仿宋_GB2312" w:cs="Times New Roman"/>
          <w:sz w:val="32"/>
          <w:szCs w:val="22"/>
          <w:highlight w:val="none"/>
        </w:rPr>
        <w:t>资金绩效结果基本可控。202</w:t>
      </w:r>
      <w:r>
        <w:rPr>
          <w:rFonts w:hint="eastAsia" w:eastAsia="仿宋_GB2312" w:cs="Times New Roman"/>
          <w:sz w:val="32"/>
          <w:szCs w:val="22"/>
          <w:highlight w:val="none"/>
          <w:lang w:val="en-US" w:eastAsia="zh-CN"/>
        </w:rPr>
        <w:t>3</w:t>
      </w:r>
      <w:r>
        <w:rPr>
          <w:rFonts w:hint="default" w:ascii="Times New Roman" w:hAnsi="Times New Roman" w:eastAsia="仿宋_GB2312" w:cs="Times New Roman"/>
          <w:sz w:val="32"/>
          <w:szCs w:val="22"/>
          <w:highlight w:val="none"/>
        </w:rPr>
        <w:t>年，自治区工业和信息化厅在下达专项资金的同时结合地</w:t>
      </w:r>
      <w:r>
        <w:rPr>
          <w:rFonts w:hint="default" w:ascii="Times New Roman" w:hAnsi="Times New Roman" w:eastAsia="仿宋_GB2312" w:cs="Times New Roman"/>
          <w:sz w:val="32"/>
          <w:szCs w:val="22"/>
          <w:highlight w:val="none"/>
          <w:lang w:val="en-US" w:eastAsia="zh-CN"/>
        </w:rPr>
        <w:t>州（</w:t>
      </w:r>
      <w:r>
        <w:rPr>
          <w:rFonts w:hint="default" w:ascii="Times New Roman" w:hAnsi="Times New Roman" w:eastAsia="仿宋_GB2312" w:cs="Times New Roman"/>
          <w:sz w:val="32"/>
          <w:szCs w:val="22"/>
          <w:highlight w:val="none"/>
        </w:rPr>
        <w:t>市</w:t>
      </w:r>
      <w:r>
        <w:rPr>
          <w:rFonts w:hint="default" w:ascii="Times New Roman" w:hAnsi="Times New Roman" w:eastAsia="仿宋_GB2312" w:cs="Times New Roman"/>
          <w:sz w:val="32"/>
          <w:szCs w:val="22"/>
          <w:highlight w:val="none"/>
          <w:lang w:val="en-US" w:eastAsia="zh-CN"/>
        </w:rPr>
        <w:t>）</w:t>
      </w:r>
      <w:r>
        <w:rPr>
          <w:rFonts w:hint="default" w:ascii="Times New Roman" w:hAnsi="Times New Roman" w:eastAsia="仿宋_GB2312" w:cs="Times New Roman"/>
          <w:sz w:val="32"/>
          <w:szCs w:val="22"/>
          <w:highlight w:val="none"/>
        </w:rPr>
        <w:t>间的特点下达了差异化的绩效目标，在为地州（市）的组织实施工作指明方向的基础上，兼顾了地州（市）间产业基础、发展方向的差异，一定程度上保证了目标的可实现性，进而保证了全自治区层面的</w:t>
      </w:r>
      <w:r>
        <w:rPr>
          <w:rFonts w:hint="default" w:ascii="Times New Roman" w:hAnsi="Times New Roman" w:eastAsia="仿宋_GB2312" w:cs="Times New Roman"/>
          <w:sz w:val="32"/>
          <w:szCs w:val="22"/>
          <w:highlight w:val="none"/>
          <w:lang w:val="en-US" w:eastAsia="zh-CN"/>
        </w:rPr>
        <w:t>专项</w:t>
      </w:r>
      <w:r>
        <w:rPr>
          <w:rFonts w:hint="default" w:ascii="Times New Roman" w:hAnsi="Times New Roman" w:eastAsia="仿宋_GB2312" w:cs="Times New Roman"/>
          <w:sz w:val="32"/>
          <w:szCs w:val="22"/>
          <w:highlight w:val="none"/>
        </w:rPr>
        <w:t>资金绩效结果基本可控。二是实施细则指引到位，组织实施过程基本规范。详细说明了专项资金管理和组织实施过程的具体要求，为地市工信部门开展相关工作提供了指引。</w:t>
      </w:r>
      <w:bookmarkStart w:id="3" w:name="_Toc85554267"/>
    </w:p>
    <w:p w14:paraId="1588B367">
      <w:pPr>
        <w:keepNext w:val="0"/>
        <w:keepLines w:val="0"/>
        <w:pageBreakBefore w:val="0"/>
        <w:kinsoku/>
        <w:wordWrap/>
        <w:overflowPunct/>
        <w:topLinePunct w:val="0"/>
        <w:autoSpaceDE/>
        <w:autoSpaceDN/>
        <w:bidi w:val="0"/>
        <w:adjustRightInd/>
        <w:snapToGrid/>
        <w:spacing w:after="0" w:line="560" w:lineRule="exact"/>
        <w:ind w:left="0" w:leftChars="0" w:right="0" w:rightChars="0" w:firstLine="581" w:firstLineChars="181"/>
        <w:jc w:val="both"/>
        <w:textAlignment w:val="auto"/>
        <w:rPr>
          <w:rFonts w:hint="default" w:ascii="Times New Roman" w:hAnsi="Times New Roman" w:eastAsia="仿宋_GB2312" w:cs="Times New Roman"/>
          <w:highlight w:val="none"/>
        </w:rPr>
      </w:pPr>
      <w:r>
        <w:rPr>
          <w:rFonts w:hint="default" w:ascii="Times New Roman" w:hAnsi="Times New Roman" w:eastAsia="仿宋_GB2312" w:cs="Times New Roman"/>
          <w:b/>
          <w:bCs/>
          <w:sz w:val="32"/>
          <w:szCs w:val="28"/>
          <w:highlight w:val="none"/>
          <w:lang w:val="en-US" w:eastAsia="zh-CN"/>
        </w:rPr>
        <w:t>3.</w:t>
      </w:r>
      <w:r>
        <w:rPr>
          <w:rFonts w:hint="default" w:ascii="Times New Roman" w:hAnsi="Times New Roman" w:eastAsia="仿宋_GB2312" w:cs="Times New Roman"/>
          <w:b/>
          <w:bCs/>
          <w:sz w:val="32"/>
          <w:szCs w:val="28"/>
          <w:highlight w:val="none"/>
        </w:rPr>
        <w:t>地州（市）绩效管理意识增强，资金绩效管理效率提升</w:t>
      </w:r>
      <w:bookmarkEnd w:id="3"/>
      <w:r>
        <w:rPr>
          <w:rFonts w:hint="eastAsia" w:eastAsia="仿宋_GB2312" w:cs="Times New Roman"/>
          <w:b/>
          <w:bCs/>
          <w:sz w:val="32"/>
          <w:szCs w:val="28"/>
          <w:highlight w:val="none"/>
          <w:lang w:eastAsia="zh-CN"/>
        </w:rPr>
        <w:t>。</w:t>
      </w:r>
      <w:r>
        <w:rPr>
          <w:rFonts w:hint="default" w:ascii="Times New Roman" w:hAnsi="Times New Roman" w:eastAsia="仿宋_GB2312" w:cs="Times New Roman"/>
          <w:sz w:val="32"/>
          <w:szCs w:val="22"/>
          <w:highlight w:val="none"/>
        </w:rPr>
        <w:t>专项资金管理模式充分突显了地州（市）工信部门在专项资金绩效管理工作中的主体地位和责任。</w:t>
      </w:r>
    </w:p>
    <w:p w14:paraId="6BF07D9B">
      <w:pPr>
        <w:keepNext/>
        <w:keepLines/>
        <w:pageBreakBefore w:val="0"/>
        <w:numPr>
          <w:ilvl w:val="0"/>
          <w:numId w:val="3"/>
        </w:numPr>
        <w:kinsoku/>
        <w:wordWrap/>
        <w:overflowPunct/>
        <w:topLinePunct w:val="0"/>
        <w:autoSpaceDE/>
        <w:autoSpaceDN/>
        <w:bidi w:val="0"/>
        <w:adjustRightInd/>
        <w:snapToGrid/>
        <w:spacing w:line="560" w:lineRule="exact"/>
        <w:ind w:firstLine="643" w:firstLineChars="200"/>
        <w:textAlignment w:val="auto"/>
        <w:rPr>
          <w:rFonts w:eastAsia="楷体_GB2312"/>
          <w:b/>
          <w:bCs/>
          <w:sz w:val="32"/>
          <w:szCs w:val="32"/>
        </w:rPr>
      </w:pPr>
      <w:r>
        <w:rPr>
          <w:rFonts w:eastAsia="楷体_GB2312"/>
          <w:b/>
          <w:bCs/>
          <w:sz w:val="32"/>
          <w:szCs w:val="32"/>
        </w:rPr>
        <w:t>存在的问题及原因分析</w:t>
      </w:r>
    </w:p>
    <w:p w14:paraId="21BE551D">
      <w:pPr>
        <w:keepNext w:val="0"/>
        <w:keepLines w:val="0"/>
        <w:pageBreakBefore w:val="0"/>
        <w:kinsoku/>
        <w:wordWrap/>
        <w:overflowPunct/>
        <w:topLinePunct w:val="0"/>
        <w:autoSpaceDE/>
        <w:autoSpaceDN/>
        <w:bidi w:val="0"/>
        <w:adjustRightInd/>
        <w:snapToGrid/>
        <w:spacing w:after="0" w:line="560" w:lineRule="exact"/>
        <w:ind w:left="0" w:leftChars="0" w:right="0" w:rightChars="0" w:firstLine="579" w:firstLineChars="181"/>
        <w:jc w:val="both"/>
        <w:textAlignment w:val="auto"/>
        <w:rPr>
          <w:rFonts w:hint="eastAsia" w:ascii="Times New Roman" w:hAnsi="Times New Roman" w:eastAsia="仿宋_GB2312" w:cs="Times New Roman"/>
          <w:sz w:val="32"/>
          <w:szCs w:val="22"/>
          <w:highlight w:val="none"/>
          <w:lang w:val="en-US" w:eastAsia="zh-CN"/>
        </w:rPr>
      </w:pPr>
      <w:r>
        <w:rPr>
          <w:rFonts w:hint="default" w:ascii="Times New Roman" w:hAnsi="Times New Roman" w:eastAsia="仿宋_GB2312" w:cs="Times New Roman"/>
          <w:sz w:val="32"/>
          <w:szCs w:val="22"/>
          <w:highlight w:val="none"/>
        </w:rPr>
        <w:t>从本次</w:t>
      </w:r>
      <w:r>
        <w:rPr>
          <w:rFonts w:hint="eastAsia" w:ascii="Times New Roman" w:hAnsi="Times New Roman" w:eastAsia="仿宋_GB2312" w:cs="Times New Roman"/>
          <w:sz w:val="32"/>
          <w:szCs w:val="22"/>
          <w:highlight w:val="none"/>
          <w:lang w:val="en-US" w:eastAsia="zh-CN"/>
        </w:rPr>
        <w:t>自治区中小企业发展专项资金使用效果评估</w:t>
      </w:r>
      <w:r>
        <w:rPr>
          <w:rFonts w:hint="default" w:ascii="Times New Roman" w:hAnsi="Times New Roman" w:eastAsia="仿宋_GB2312" w:cs="Times New Roman"/>
          <w:sz w:val="32"/>
          <w:szCs w:val="22"/>
          <w:highlight w:val="none"/>
        </w:rPr>
        <w:t>工作整体来看，</w:t>
      </w:r>
      <w:r>
        <w:rPr>
          <w:rFonts w:hint="eastAsia" w:ascii="Times New Roman" w:hAnsi="Times New Roman" w:eastAsia="仿宋_GB2312" w:cs="Times New Roman"/>
          <w:sz w:val="32"/>
          <w:szCs w:val="22"/>
          <w:highlight w:val="none"/>
          <w:lang w:val="en-US" w:eastAsia="zh-CN"/>
        </w:rPr>
        <w:t>自治区本级</w:t>
      </w:r>
      <w:r>
        <w:rPr>
          <w:rFonts w:hint="default" w:ascii="Times New Roman" w:hAnsi="Times New Roman" w:eastAsia="仿宋_GB2312" w:cs="Times New Roman"/>
          <w:sz w:val="32"/>
          <w:szCs w:val="22"/>
          <w:highlight w:val="none"/>
        </w:rPr>
        <w:t>基本上能够</w:t>
      </w:r>
      <w:r>
        <w:rPr>
          <w:rFonts w:hint="eastAsia" w:eastAsia="仿宋_GB2312" w:cs="Times New Roman"/>
          <w:sz w:val="32"/>
          <w:szCs w:val="22"/>
          <w:highlight w:val="none"/>
          <w:lang w:eastAsia="zh-CN"/>
        </w:rPr>
        <w:t>按照</w:t>
      </w:r>
      <w:r>
        <w:rPr>
          <w:rFonts w:hint="default" w:ascii="Times New Roman" w:hAnsi="Times New Roman" w:eastAsia="仿宋_GB2312" w:cs="Times New Roman"/>
          <w:sz w:val="32"/>
          <w:szCs w:val="22"/>
          <w:highlight w:val="none"/>
        </w:rPr>
        <w:t>《202</w:t>
      </w:r>
      <w:r>
        <w:rPr>
          <w:rFonts w:hint="eastAsia" w:ascii="Times New Roman" w:hAnsi="Times New Roman" w:eastAsia="仿宋_GB2312" w:cs="Times New Roman"/>
          <w:sz w:val="32"/>
          <w:szCs w:val="22"/>
          <w:highlight w:val="none"/>
          <w:lang w:val="en-US" w:eastAsia="zh-CN"/>
        </w:rPr>
        <w:t>3</w:t>
      </w:r>
      <w:r>
        <w:rPr>
          <w:rFonts w:hint="default" w:ascii="Times New Roman" w:hAnsi="Times New Roman" w:eastAsia="仿宋_GB2312" w:cs="Times New Roman"/>
          <w:sz w:val="32"/>
          <w:szCs w:val="22"/>
          <w:highlight w:val="none"/>
        </w:rPr>
        <w:t>年度自治区中小企业</w:t>
      </w:r>
      <w:r>
        <w:rPr>
          <w:rFonts w:hint="eastAsia" w:ascii="Times New Roman" w:hAnsi="Times New Roman" w:eastAsia="仿宋_GB2312" w:cs="Times New Roman"/>
          <w:sz w:val="32"/>
          <w:szCs w:val="22"/>
          <w:highlight w:val="none"/>
          <w:lang w:val="en-US" w:eastAsia="zh-CN"/>
        </w:rPr>
        <w:t>发展</w:t>
      </w:r>
      <w:r>
        <w:rPr>
          <w:rFonts w:hint="default" w:ascii="Times New Roman" w:hAnsi="Times New Roman" w:eastAsia="仿宋_GB2312" w:cs="Times New Roman"/>
          <w:sz w:val="32"/>
          <w:szCs w:val="22"/>
          <w:highlight w:val="none"/>
        </w:rPr>
        <w:t>专项资金项目申报指南》的要求开展并完成工作，但其中也存在着一些问题</w:t>
      </w:r>
      <w:r>
        <w:rPr>
          <w:rFonts w:hint="eastAsia" w:ascii="Times New Roman" w:hAnsi="Times New Roman" w:eastAsia="仿宋_GB2312" w:cs="Times New Roman"/>
          <w:sz w:val="32"/>
          <w:szCs w:val="22"/>
          <w:highlight w:val="none"/>
        </w:rPr>
        <w:t>∶</w:t>
      </w:r>
      <w:r>
        <w:rPr>
          <w:rFonts w:hint="eastAsia" w:ascii="Times New Roman" w:hAnsi="Times New Roman" w:eastAsia="仿宋_GB2312" w:cs="Times New Roman"/>
          <w:sz w:val="32"/>
          <w:szCs w:val="22"/>
          <w:highlight w:val="none"/>
          <w:lang w:val="en-US" w:eastAsia="zh-CN"/>
        </w:rPr>
        <w:t>受国际国内发展环境变化，企业难以应对要素成本上涨、市场需求变化等情况，</w:t>
      </w:r>
      <w:r>
        <w:rPr>
          <w:rFonts w:hint="eastAsia" w:eastAsia="仿宋_GB2312" w:cs="Times New Roman"/>
          <w:sz w:val="32"/>
          <w:szCs w:val="22"/>
          <w:highlight w:val="none"/>
          <w:lang w:val="en-US" w:eastAsia="zh-CN"/>
        </w:rPr>
        <w:t>没有充分调动企业参展积极性，</w:t>
      </w:r>
      <w:r>
        <w:rPr>
          <w:rFonts w:hint="eastAsia" w:ascii="Times New Roman" w:hAnsi="Times New Roman" w:eastAsia="仿宋_GB2312" w:cs="Times New Roman"/>
          <w:sz w:val="32"/>
          <w:szCs w:val="22"/>
          <w:highlight w:val="none"/>
          <w:lang w:val="en-US" w:eastAsia="zh-CN"/>
        </w:rPr>
        <w:t>企业参加第十八届中博</w:t>
      </w:r>
      <w:r>
        <w:rPr>
          <w:rFonts w:hint="eastAsia" w:eastAsia="仿宋_GB2312" w:cs="Times New Roman"/>
          <w:sz w:val="32"/>
          <w:szCs w:val="22"/>
          <w:highlight w:val="none"/>
          <w:lang w:val="en-US" w:eastAsia="zh-CN"/>
        </w:rPr>
        <w:t>会和</w:t>
      </w:r>
      <w:r>
        <w:rPr>
          <w:rFonts w:hint="eastAsia" w:ascii="Times New Roman" w:hAnsi="Times New Roman" w:eastAsia="仿宋_GB2312" w:cs="Times New Roman"/>
          <w:sz w:val="32"/>
          <w:szCs w:val="22"/>
          <w:highlight w:val="none"/>
          <w:lang w:val="en-US" w:eastAsia="zh-CN"/>
        </w:rPr>
        <w:t>第十二届APEC技展会积极性不高。</w:t>
      </w:r>
    </w:p>
    <w:p w14:paraId="02B1E80E">
      <w:pPr>
        <w:pageBreakBefore w:val="0"/>
        <w:numPr>
          <w:ilvl w:val="0"/>
          <w:numId w:val="0"/>
        </w:numPr>
        <w:kinsoku/>
        <w:wordWrap/>
        <w:overflowPunct/>
        <w:topLinePunct w:val="0"/>
        <w:autoSpaceDE/>
        <w:autoSpaceDN/>
        <w:bidi w:val="0"/>
        <w:adjustRightInd/>
        <w:snapToGrid/>
        <w:spacing w:line="560" w:lineRule="exact"/>
        <w:ind w:firstLine="640" w:firstLineChars="200"/>
        <w:textAlignment w:val="auto"/>
        <w:rPr>
          <w:rFonts w:eastAsia="黑体"/>
          <w:sz w:val="32"/>
          <w:szCs w:val="32"/>
        </w:rPr>
      </w:pPr>
      <w:r>
        <w:rPr>
          <w:rFonts w:hint="eastAsia" w:eastAsia="黑体"/>
          <w:sz w:val="32"/>
          <w:szCs w:val="32"/>
          <w:lang w:val="en-US" w:eastAsia="zh-CN"/>
        </w:rPr>
        <w:t>七、</w:t>
      </w:r>
      <w:r>
        <w:rPr>
          <w:rFonts w:eastAsia="黑体"/>
          <w:sz w:val="32"/>
          <w:szCs w:val="32"/>
        </w:rPr>
        <w:t>有关建议</w:t>
      </w:r>
    </w:p>
    <w:p w14:paraId="5262650A">
      <w:pPr>
        <w:keepNext w:val="0"/>
        <w:keepLines w:val="0"/>
        <w:pageBreakBefore w:val="0"/>
        <w:kinsoku/>
        <w:wordWrap/>
        <w:overflowPunct/>
        <w:topLinePunct w:val="0"/>
        <w:autoSpaceDE/>
        <w:autoSpaceDN/>
        <w:bidi w:val="0"/>
        <w:adjustRightInd/>
        <w:snapToGrid/>
        <w:spacing w:after="0" w:line="560" w:lineRule="exact"/>
        <w:ind w:left="0" w:leftChars="0" w:right="0" w:rightChars="0" w:firstLine="567" w:firstLineChars="181"/>
        <w:textAlignment w:val="auto"/>
        <w:rPr>
          <w:rFonts w:hint="default" w:ascii="Times New Roman" w:hAnsi="Times New Roman" w:eastAsia="仿宋_GB2312" w:cs="Times New Roman"/>
          <w:sz w:val="32"/>
          <w:szCs w:val="22"/>
          <w:highlight w:val="none"/>
          <w:lang w:val="en-US"/>
        </w:rPr>
      </w:pPr>
      <w:bookmarkStart w:id="4" w:name="_Toc85554275"/>
      <w:r>
        <w:rPr>
          <w:rStyle w:val="23"/>
          <w:rFonts w:hint="eastAsia" w:ascii="楷体_GB2312" w:hAnsi="楷体_GB2312" w:eastAsia="楷体_GB2312" w:cs="楷体_GB2312"/>
          <w:b/>
          <w:bCs/>
          <w:spacing w:val="-4"/>
          <w:sz w:val="32"/>
          <w:szCs w:val="32"/>
          <w:highlight w:val="none"/>
          <w:lang w:val="en-US" w:eastAsia="zh-CN"/>
        </w:rPr>
        <w:t>（一）</w:t>
      </w:r>
      <w:r>
        <w:rPr>
          <w:rStyle w:val="23"/>
          <w:rFonts w:hint="default" w:ascii="楷体_GB2312" w:hAnsi="楷体_GB2312" w:eastAsia="楷体_GB2312" w:cs="楷体_GB2312"/>
          <w:b/>
          <w:bCs/>
          <w:spacing w:val="-4"/>
          <w:sz w:val="32"/>
          <w:szCs w:val="32"/>
          <w:highlight w:val="none"/>
          <w:lang w:val="en-US" w:eastAsia="zh-CN"/>
        </w:rPr>
        <w:t>优化专项扶持政策，增强专项资金的引导带动作用</w:t>
      </w:r>
      <w:bookmarkEnd w:id="4"/>
      <w:r>
        <w:rPr>
          <w:rStyle w:val="23"/>
          <w:rFonts w:hint="default" w:ascii="楷体_GB2312" w:hAnsi="楷体_GB2312" w:eastAsia="楷体_GB2312" w:cs="楷体_GB2312"/>
          <w:b/>
          <w:bCs/>
          <w:spacing w:val="-4"/>
          <w:sz w:val="32"/>
          <w:szCs w:val="32"/>
          <w:highlight w:val="none"/>
          <w:lang w:val="en-US" w:eastAsia="zh-CN"/>
        </w:rPr>
        <w:t xml:space="preserve"> </w:t>
      </w:r>
      <w:r>
        <w:rPr>
          <w:rStyle w:val="23"/>
          <w:rFonts w:hint="eastAsia" w:ascii="楷体_GB2312" w:hAnsi="楷体_GB2312" w:eastAsia="楷体_GB2312" w:cs="楷体_GB2312"/>
          <w:b/>
          <w:bCs/>
          <w:spacing w:val="-4"/>
          <w:sz w:val="32"/>
          <w:szCs w:val="32"/>
          <w:highlight w:val="none"/>
          <w:lang w:val="en-US" w:eastAsia="zh-CN"/>
        </w:rPr>
        <w:t>。</w:t>
      </w:r>
      <w:r>
        <w:rPr>
          <w:rFonts w:hint="default" w:ascii="Times New Roman" w:hAnsi="Times New Roman" w:eastAsia="仿宋_GB2312" w:cs="Times New Roman"/>
          <w:sz w:val="32"/>
          <w:szCs w:val="22"/>
          <w:highlight w:val="none"/>
          <w:lang w:val="en-US"/>
        </w:rPr>
        <w:t>优先采用直接补贴的方式扶持产业发展的核心关键环节和标杆示范项目，加强对标杆示范项目的监管，完善标杆示范项目的后续管理及推广机制。</w:t>
      </w:r>
    </w:p>
    <w:p w14:paraId="49B7BF60">
      <w:pPr>
        <w:keepNext w:val="0"/>
        <w:keepLines w:val="0"/>
        <w:pageBreakBefore w:val="0"/>
        <w:kinsoku/>
        <w:wordWrap/>
        <w:overflowPunct/>
        <w:topLinePunct w:val="0"/>
        <w:autoSpaceDE/>
        <w:autoSpaceDN/>
        <w:bidi w:val="0"/>
        <w:adjustRightInd/>
        <w:snapToGrid/>
        <w:spacing w:after="0" w:line="560" w:lineRule="exact"/>
        <w:ind w:left="0" w:leftChars="0" w:right="0" w:rightChars="0" w:firstLine="567" w:firstLineChars="181"/>
        <w:textAlignment w:val="auto"/>
        <w:rPr>
          <w:rFonts w:hint="default" w:ascii="Times New Roman" w:hAnsi="Times New Roman" w:eastAsia="仿宋_GB2312" w:cs="Times New Roman"/>
          <w:sz w:val="32"/>
          <w:szCs w:val="22"/>
          <w:highlight w:val="none"/>
          <w:lang w:val="en-US"/>
        </w:rPr>
      </w:pPr>
      <w:bookmarkStart w:id="5" w:name="_Toc85554277"/>
      <w:r>
        <w:rPr>
          <w:rStyle w:val="23"/>
          <w:rFonts w:hint="default" w:ascii="楷体_GB2312" w:hAnsi="楷体_GB2312" w:eastAsia="楷体_GB2312" w:cs="楷体_GB2312"/>
          <w:b/>
          <w:bCs/>
          <w:spacing w:val="-4"/>
          <w:sz w:val="32"/>
          <w:szCs w:val="32"/>
          <w:highlight w:val="none"/>
          <w:lang w:val="en-US" w:eastAsia="zh-CN"/>
        </w:rPr>
        <w:t>（</w:t>
      </w:r>
      <w:r>
        <w:rPr>
          <w:rStyle w:val="23"/>
          <w:rFonts w:hint="eastAsia" w:ascii="楷体_GB2312" w:hAnsi="楷体_GB2312" w:eastAsia="楷体_GB2312" w:cs="楷体_GB2312"/>
          <w:b/>
          <w:bCs/>
          <w:spacing w:val="-4"/>
          <w:sz w:val="32"/>
          <w:szCs w:val="32"/>
          <w:highlight w:val="none"/>
          <w:lang w:val="en-US" w:eastAsia="zh-CN"/>
        </w:rPr>
        <w:t>二</w:t>
      </w:r>
      <w:r>
        <w:rPr>
          <w:rStyle w:val="23"/>
          <w:rFonts w:hint="default" w:ascii="楷体_GB2312" w:hAnsi="楷体_GB2312" w:eastAsia="楷体_GB2312" w:cs="楷体_GB2312"/>
          <w:b/>
          <w:bCs/>
          <w:spacing w:val="-4"/>
          <w:sz w:val="32"/>
          <w:szCs w:val="32"/>
          <w:highlight w:val="none"/>
          <w:lang w:val="en-US" w:eastAsia="zh-CN"/>
        </w:rPr>
        <w:t>）完善专项资金管理，增加资金下拨管理使用</w:t>
      </w:r>
      <w:r>
        <w:rPr>
          <w:rStyle w:val="23"/>
          <w:rFonts w:hint="eastAsia" w:ascii="楷体_GB2312" w:hAnsi="楷体_GB2312" w:eastAsia="楷体_GB2312" w:cs="楷体_GB2312"/>
          <w:b/>
          <w:bCs/>
          <w:spacing w:val="-4"/>
          <w:sz w:val="32"/>
          <w:szCs w:val="32"/>
          <w:highlight w:val="none"/>
          <w:lang w:val="en-US" w:eastAsia="zh-CN"/>
        </w:rPr>
        <w:t>效率</w:t>
      </w:r>
      <w:bookmarkEnd w:id="5"/>
      <w:r>
        <w:rPr>
          <w:rStyle w:val="23"/>
          <w:rFonts w:hint="eastAsia" w:ascii="楷体_GB2312" w:hAnsi="楷体_GB2312" w:eastAsia="楷体_GB2312" w:cs="楷体_GB2312"/>
          <w:b/>
          <w:bCs/>
          <w:spacing w:val="-4"/>
          <w:sz w:val="32"/>
          <w:szCs w:val="32"/>
          <w:highlight w:val="none"/>
          <w:lang w:val="en-US" w:eastAsia="zh-CN"/>
        </w:rPr>
        <w:t>。</w:t>
      </w:r>
      <w:r>
        <w:rPr>
          <w:rFonts w:hint="default" w:ascii="Times New Roman" w:hAnsi="Times New Roman" w:eastAsia="仿宋_GB2312" w:cs="Times New Roman"/>
          <w:sz w:val="32"/>
          <w:szCs w:val="22"/>
          <w:highlight w:val="none"/>
          <w:lang w:val="en-US"/>
        </w:rPr>
        <w:t>加强部门间的沟通协作，优化资金下拨路径，疏通资金下拨通道，尽量减少多级资金管理部门的影响。</w:t>
      </w:r>
    </w:p>
    <w:p w14:paraId="01A830E9">
      <w:pPr>
        <w:keepNext w:val="0"/>
        <w:keepLines w:val="0"/>
        <w:pageBreakBefore w:val="0"/>
        <w:kinsoku/>
        <w:wordWrap/>
        <w:overflowPunct/>
        <w:topLinePunct w:val="0"/>
        <w:autoSpaceDE/>
        <w:autoSpaceDN/>
        <w:bidi w:val="0"/>
        <w:adjustRightInd/>
        <w:snapToGrid/>
        <w:spacing w:after="0" w:line="560" w:lineRule="exact"/>
        <w:ind w:left="0" w:leftChars="0" w:right="0" w:rightChars="0" w:firstLine="567" w:firstLineChars="181"/>
        <w:textAlignment w:val="auto"/>
        <w:rPr>
          <w:rFonts w:hint="default" w:ascii="Times New Roman" w:hAnsi="Times New Roman" w:eastAsia="仿宋_GB2312" w:cs="Times New Roman"/>
          <w:sz w:val="32"/>
          <w:szCs w:val="22"/>
          <w:highlight w:val="none"/>
          <w:lang w:val="en-US"/>
        </w:rPr>
      </w:pPr>
      <w:bookmarkStart w:id="6" w:name="_Toc85554278"/>
      <w:r>
        <w:rPr>
          <w:rStyle w:val="23"/>
          <w:rFonts w:hint="default" w:ascii="楷体_GB2312" w:hAnsi="楷体_GB2312" w:eastAsia="楷体_GB2312" w:cs="楷体_GB2312"/>
          <w:b/>
          <w:bCs/>
          <w:spacing w:val="-4"/>
          <w:sz w:val="32"/>
          <w:szCs w:val="32"/>
          <w:highlight w:val="none"/>
          <w:lang w:val="en-US" w:eastAsia="zh-CN"/>
        </w:rPr>
        <w:t>（</w:t>
      </w:r>
      <w:r>
        <w:rPr>
          <w:rStyle w:val="23"/>
          <w:rFonts w:hint="eastAsia" w:ascii="楷体_GB2312" w:hAnsi="楷体_GB2312" w:eastAsia="楷体_GB2312" w:cs="楷体_GB2312"/>
          <w:b/>
          <w:bCs/>
          <w:spacing w:val="-4"/>
          <w:sz w:val="32"/>
          <w:szCs w:val="32"/>
          <w:highlight w:val="none"/>
          <w:lang w:val="en-US" w:eastAsia="zh-CN"/>
        </w:rPr>
        <w:t>三</w:t>
      </w:r>
      <w:r>
        <w:rPr>
          <w:rStyle w:val="23"/>
          <w:rFonts w:hint="default" w:ascii="楷体_GB2312" w:hAnsi="楷体_GB2312" w:eastAsia="楷体_GB2312" w:cs="楷体_GB2312"/>
          <w:b/>
          <w:bCs/>
          <w:spacing w:val="-4"/>
          <w:sz w:val="32"/>
          <w:szCs w:val="32"/>
          <w:highlight w:val="none"/>
          <w:lang w:val="en-US" w:eastAsia="zh-CN"/>
        </w:rPr>
        <w:t>）规范组织实施程序，建立全面的绩效跟踪管理机制</w:t>
      </w:r>
      <w:bookmarkEnd w:id="6"/>
      <w:r>
        <w:rPr>
          <w:rStyle w:val="23"/>
          <w:rFonts w:hint="eastAsia" w:ascii="楷体_GB2312" w:hAnsi="楷体_GB2312" w:eastAsia="楷体_GB2312" w:cs="楷体_GB2312"/>
          <w:b/>
          <w:bCs/>
          <w:spacing w:val="-4"/>
          <w:sz w:val="32"/>
          <w:szCs w:val="32"/>
          <w:highlight w:val="none"/>
          <w:lang w:val="en-US" w:eastAsia="zh-CN"/>
        </w:rPr>
        <w:t>。</w:t>
      </w:r>
      <w:r>
        <w:rPr>
          <w:rFonts w:hint="default" w:ascii="Times New Roman" w:hAnsi="Times New Roman" w:eastAsia="仿宋_GB2312" w:cs="Times New Roman"/>
          <w:sz w:val="32"/>
          <w:szCs w:val="22"/>
          <w:highlight w:val="none"/>
          <w:lang w:val="en-US"/>
        </w:rPr>
        <w:t>统一基本实施程序，降低程序性问题的沟通成本。根据扶持方式的不同，制定规范的实施程序。</w:t>
      </w:r>
    </w:p>
    <w:p w14:paraId="660F21C5">
      <w:pPr>
        <w:keepNext w:val="0"/>
        <w:keepLines w:val="0"/>
        <w:pageBreakBefore w:val="0"/>
        <w:kinsoku/>
        <w:wordWrap/>
        <w:overflowPunct/>
        <w:topLinePunct w:val="0"/>
        <w:autoSpaceDE/>
        <w:autoSpaceDN/>
        <w:bidi w:val="0"/>
        <w:adjustRightInd/>
        <w:snapToGrid/>
        <w:spacing w:after="0" w:line="560" w:lineRule="exact"/>
        <w:ind w:left="0" w:leftChars="0" w:right="0" w:rightChars="0" w:firstLine="640"/>
        <w:textAlignment w:val="auto"/>
        <w:rPr>
          <w:rStyle w:val="23"/>
          <w:rFonts w:ascii="黑体" w:hAnsi="黑体" w:eastAsia="黑体"/>
          <w:b w:val="0"/>
          <w:spacing w:val="-4"/>
          <w:sz w:val="32"/>
          <w:szCs w:val="32"/>
          <w:highlight w:val="none"/>
        </w:rPr>
      </w:pPr>
      <w:r>
        <w:rPr>
          <w:rStyle w:val="23"/>
          <w:rFonts w:hint="eastAsia" w:ascii="黑体" w:hAnsi="黑体" w:eastAsia="黑体"/>
          <w:b w:val="0"/>
          <w:spacing w:val="-4"/>
          <w:sz w:val="32"/>
          <w:szCs w:val="32"/>
          <w:highlight w:val="none"/>
          <w:lang w:val="en-US" w:eastAsia="zh-CN"/>
        </w:rPr>
        <w:t>八</w:t>
      </w:r>
      <w:r>
        <w:rPr>
          <w:rStyle w:val="23"/>
          <w:rFonts w:hint="eastAsia" w:ascii="黑体" w:hAnsi="黑体" w:eastAsia="黑体"/>
          <w:b w:val="0"/>
          <w:spacing w:val="-4"/>
          <w:sz w:val="32"/>
          <w:szCs w:val="32"/>
          <w:highlight w:val="none"/>
        </w:rPr>
        <w:t>、</w:t>
      </w:r>
      <w:r>
        <w:rPr>
          <w:rStyle w:val="23"/>
          <w:rFonts w:hint="eastAsia" w:ascii="黑体" w:hAnsi="黑体" w:eastAsia="黑体"/>
          <w:b w:val="0"/>
          <w:spacing w:val="-4"/>
          <w:sz w:val="32"/>
          <w:szCs w:val="32"/>
          <w:highlight w:val="none"/>
          <w:lang w:eastAsia="zh-CN"/>
        </w:rPr>
        <w:t>其他需要说明的问题</w:t>
      </w:r>
    </w:p>
    <w:p w14:paraId="08E0768B">
      <w:pPr>
        <w:keepNext w:val="0"/>
        <w:keepLines w:val="0"/>
        <w:pageBreakBefore w:val="0"/>
        <w:kinsoku/>
        <w:wordWrap/>
        <w:overflowPunct/>
        <w:topLinePunct w:val="0"/>
        <w:autoSpaceDE/>
        <w:autoSpaceDN/>
        <w:bidi w:val="0"/>
        <w:adjustRightInd/>
        <w:snapToGrid/>
        <w:spacing w:after="0" w:line="560" w:lineRule="exact"/>
        <w:ind w:left="0" w:leftChars="0" w:right="0" w:rightChars="0" w:firstLine="579" w:firstLineChars="181"/>
        <w:jc w:val="both"/>
        <w:textAlignment w:val="auto"/>
        <w:rPr>
          <w:rFonts w:hint="eastAsia" w:ascii="Times New Roman" w:hAnsi="Times New Roman" w:eastAsia="仿宋_GB2312" w:cs="Times New Roman"/>
          <w:sz w:val="32"/>
          <w:szCs w:val="22"/>
          <w:highlight w:val="none"/>
          <w:lang w:val="en-US" w:eastAsia="zh-CN"/>
        </w:rPr>
      </w:pPr>
      <w:r>
        <w:rPr>
          <w:rFonts w:hint="eastAsia" w:ascii="Times New Roman" w:hAnsi="Times New Roman" w:eastAsia="仿宋_GB2312" w:cs="Times New Roman"/>
          <w:sz w:val="32"/>
          <w:szCs w:val="22"/>
          <w:highlight w:val="none"/>
          <w:lang w:val="en-US" w:eastAsia="zh-CN"/>
        </w:rPr>
        <w:t>在中央巡视、各级审计和财政监督中未发现问题。</w:t>
      </w:r>
    </w:p>
    <w:p w14:paraId="0E43C0BE">
      <w:pPr>
        <w:spacing w:line="600" w:lineRule="exact"/>
        <w:rPr>
          <w:bCs/>
          <w:sz w:val="32"/>
          <w:szCs w:val="32"/>
        </w:rPr>
      </w:pPr>
      <w:r>
        <w:rPr>
          <w:bCs/>
          <w:sz w:val="32"/>
          <w:szCs w:val="32"/>
        </w:rPr>
        <w:t>附件1</w:t>
      </w:r>
    </w:p>
    <w:tbl>
      <w:tblPr>
        <w:tblStyle w:val="21"/>
        <w:tblW w:w="4474" w:type="pct"/>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autofit"/>
        <w:tblCellMar>
          <w:top w:w="0" w:type="dxa"/>
          <w:left w:w="108" w:type="dxa"/>
          <w:bottom w:w="0" w:type="dxa"/>
          <w:right w:w="108" w:type="dxa"/>
        </w:tblCellMar>
      </w:tblPr>
      <w:tblGrid>
        <w:gridCol w:w="518"/>
        <w:gridCol w:w="474"/>
        <w:gridCol w:w="540"/>
        <w:gridCol w:w="1455"/>
        <w:gridCol w:w="3208"/>
        <w:gridCol w:w="804"/>
        <w:gridCol w:w="843"/>
      </w:tblGrid>
      <w:tr w14:paraId="58A29B9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92" w:hRule="atLeast"/>
          <w:tblHeader/>
          <w:jc w:val="center"/>
        </w:trPr>
        <w:tc>
          <w:tcPr>
            <w:tcW w:w="331" w:type="pct"/>
            <w:shd w:val="clear" w:color="auto" w:fill="FFFFFF"/>
            <w:vAlign w:val="center"/>
          </w:tcPr>
          <w:p w14:paraId="67892C74">
            <w:pPr>
              <w:widowControl/>
              <w:spacing w:line="0" w:lineRule="atLeast"/>
              <w:jc w:val="center"/>
              <w:rPr>
                <w:b/>
                <w:bCs/>
                <w:color w:val="000000"/>
                <w:kern w:val="0"/>
                <w:sz w:val="22"/>
                <w:szCs w:val="22"/>
              </w:rPr>
            </w:pPr>
            <w:r>
              <w:rPr>
                <w:b/>
                <w:bCs/>
                <w:color w:val="000000"/>
                <w:kern w:val="0"/>
                <w:sz w:val="22"/>
                <w:szCs w:val="22"/>
              </w:rPr>
              <w:t>一级指标</w:t>
            </w:r>
          </w:p>
        </w:tc>
        <w:tc>
          <w:tcPr>
            <w:tcW w:w="302" w:type="pct"/>
            <w:shd w:val="clear" w:color="auto" w:fill="FFFFFF"/>
            <w:vAlign w:val="center"/>
          </w:tcPr>
          <w:p w14:paraId="7F62E79D">
            <w:pPr>
              <w:widowControl/>
              <w:spacing w:line="0" w:lineRule="atLeast"/>
              <w:jc w:val="center"/>
              <w:rPr>
                <w:b/>
                <w:bCs/>
                <w:color w:val="000000"/>
                <w:kern w:val="0"/>
                <w:sz w:val="22"/>
                <w:szCs w:val="22"/>
              </w:rPr>
            </w:pPr>
            <w:r>
              <w:rPr>
                <w:b/>
                <w:bCs/>
                <w:color w:val="000000"/>
                <w:kern w:val="0"/>
                <w:sz w:val="22"/>
                <w:szCs w:val="22"/>
              </w:rPr>
              <w:t>二级指标</w:t>
            </w:r>
          </w:p>
        </w:tc>
        <w:tc>
          <w:tcPr>
            <w:tcW w:w="344" w:type="pct"/>
            <w:shd w:val="clear" w:color="auto" w:fill="FFFFFF"/>
            <w:vAlign w:val="center"/>
          </w:tcPr>
          <w:p w14:paraId="636C5A43">
            <w:pPr>
              <w:widowControl/>
              <w:spacing w:line="0" w:lineRule="atLeast"/>
              <w:jc w:val="center"/>
              <w:rPr>
                <w:b/>
                <w:bCs/>
                <w:color w:val="000000"/>
                <w:kern w:val="0"/>
                <w:sz w:val="22"/>
                <w:szCs w:val="22"/>
              </w:rPr>
            </w:pPr>
            <w:r>
              <w:rPr>
                <w:b/>
                <w:bCs/>
                <w:color w:val="000000"/>
                <w:kern w:val="0"/>
                <w:sz w:val="22"/>
                <w:szCs w:val="22"/>
              </w:rPr>
              <w:t>三级指标</w:t>
            </w:r>
          </w:p>
        </w:tc>
        <w:tc>
          <w:tcPr>
            <w:tcW w:w="927" w:type="pct"/>
            <w:shd w:val="clear" w:color="auto" w:fill="FFFFFF"/>
            <w:vAlign w:val="center"/>
          </w:tcPr>
          <w:p w14:paraId="7DAD274F">
            <w:pPr>
              <w:widowControl/>
              <w:spacing w:line="0" w:lineRule="atLeast"/>
              <w:jc w:val="center"/>
              <w:rPr>
                <w:b/>
                <w:bCs/>
                <w:color w:val="000000"/>
                <w:kern w:val="0"/>
                <w:sz w:val="22"/>
                <w:szCs w:val="22"/>
              </w:rPr>
            </w:pPr>
            <w:r>
              <w:rPr>
                <w:b/>
                <w:bCs/>
                <w:color w:val="000000"/>
                <w:kern w:val="0"/>
                <w:sz w:val="22"/>
                <w:szCs w:val="22"/>
              </w:rPr>
              <w:t>指标解释</w:t>
            </w:r>
          </w:p>
        </w:tc>
        <w:tc>
          <w:tcPr>
            <w:tcW w:w="2044" w:type="pct"/>
            <w:shd w:val="clear" w:color="auto" w:fill="FFFFFF"/>
            <w:vAlign w:val="center"/>
          </w:tcPr>
          <w:p w14:paraId="3BA33825">
            <w:pPr>
              <w:widowControl/>
              <w:spacing w:line="0" w:lineRule="atLeast"/>
              <w:jc w:val="center"/>
              <w:rPr>
                <w:b/>
                <w:bCs/>
                <w:color w:val="000000"/>
                <w:kern w:val="0"/>
                <w:sz w:val="22"/>
                <w:szCs w:val="22"/>
              </w:rPr>
            </w:pPr>
            <w:r>
              <w:rPr>
                <w:b/>
                <w:bCs/>
                <w:color w:val="000000"/>
                <w:kern w:val="0"/>
                <w:sz w:val="22"/>
                <w:szCs w:val="22"/>
              </w:rPr>
              <w:t>指标说明</w:t>
            </w:r>
          </w:p>
        </w:tc>
        <w:tc>
          <w:tcPr>
            <w:tcW w:w="512" w:type="pct"/>
            <w:shd w:val="clear" w:color="auto" w:fill="FFFFFF"/>
            <w:vAlign w:val="center"/>
          </w:tcPr>
          <w:p w14:paraId="05223A5B">
            <w:pPr>
              <w:widowControl/>
              <w:spacing w:line="0" w:lineRule="atLeast"/>
              <w:jc w:val="center"/>
              <w:rPr>
                <w:b/>
                <w:bCs/>
                <w:color w:val="000000"/>
                <w:kern w:val="0"/>
                <w:sz w:val="22"/>
                <w:szCs w:val="22"/>
              </w:rPr>
            </w:pPr>
            <w:r>
              <w:rPr>
                <w:b/>
                <w:bCs/>
                <w:color w:val="000000"/>
                <w:kern w:val="0"/>
                <w:sz w:val="22"/>
                <w:szCs w:val="22"/>
              </w:rPr>
              <w:t>权重</w:t>
            </w:r>
          </w:p>
        </w:tc>
        <w:tc>
          <w:tcPr>
            <w:tcW w:w="537" w:type="pct"/>
            <w:shd w:val="clear" w:color="auto" w:fill="FFFFFF"/>
            <w:vAlign w:val="center"/>
          </w:tcPr>
          <w:p w14:paraId="7A00BFBE">
            <w:pPr>
              <w:widowControl/>
              <w:spacing w:line="0" w:lineRule="atLeast"/>
              <w:jc w:val="center"/>
              <w:rPr>
                <w:b/>
                <w:bCs/>
                <w:color w:val="000000"/>
                <w:kern w:val="0"/>
                <w:sz w:val="22"/>
                <w:szCs w:val="22"/>
              </w:rPr>
            </w:pPr>
            <w:r>
              <w:rPr>
                <w:b/>
                <w:bCs/>
                <w:color w:val="000000"/>
                <w:kern w:val="0"/>
                <w:sz w:val="22"/>
                <w:szCs w:val="22"/>
              </w:rPr>
              <w:t>得分</w:t>
            </w:r>
          </w:p>
        </w:tc>
      </w:tr>
      <w:tr w14:paraId="6562F0A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318" w:hRule="atLeast"/>
          <w:jc w:val="center"/>
        </w:trPr>
        <w:tc>
          <w:tcPr>
            <w:tcW w:w="331" w:type="pct"/>
            <w:vMerge w:val="restart"/>
            <w:shd w:val="clear" w:color="auto" w:fill="FFFFFF"/>
            <w:vAlign w:val="center"/>
          </w:tcPr>
          <w:p w14:paraId="17085AA9">
            <w:pPr>
              <w:widowControl/>
              <w:spacing w:line="0" w:lineRule="atLeast"/>
              <w:jc w:val="center"/>
              <w:rPr>
                <w:color w:val="000000"/>
                <w:kern w:val="0"/>
                <w:sz w:val="22"/>
                <w:szCs w:val="22"/>
              </w:rPr>
            </w:pPr>
            <w:r>
              <w:rPr>
                <w:color w:val="000000"/>
                <w:kern w:val="0"/>
                <w:sz w:val="22"/>
                <w:szCs w:val="22"/>
              </w:rPr>
              <w:t>决策　</w:t>
            </w:r>
          </w:p>
          <w:p w14:paraId="0837D0CD">
            <w:pPr>
              <w:widowControl/>
              <w:spacing w:line="0" w:lineRule="atLeast"/>
              <w:jc w:val="center"/>
              <w:rPr>
                <w:color w:val="000000"/>
                <w:kern w:val="0"/>
                <w:sz w:val="22"/>
                <w:szCs w:val="22"/>
              </w:rPr>
            </w:pPr>
            <w:r>
              <w:rPr>
                <w:color w:val="000000"/>
                <w:kern w:val="0"/>
                <w:sz w:val="22"/>
                <w:szCs w:val="22"/>
              </w:rPr>
              <w:t>　</w:t>
            </w:r>
          </w:p>
          <w:p w14:paraId="252548C2">
            <w:pPr>
              <w:spacing w:line="0" w:lineRule="atLeast"/>
              <w:jc w:val="center"/>
              <w:rPr>
                <w:color w:val="000000"/>
                <w:kern w:val="0"/>
                <w:sz w:val="22"/>
                <w:szCs w:val="22"/>
              </w:rPr>
            </w:pPr>
            <w:r>
              <w:rPr>
                <w:color w:val="000000"/>
                <w:kern w:val="0"/>
                <w:sz w:val="22"/>
                <w:szCs w:val="22"/>
              </w:rPr>
              <w:t>　</w:t>
            </w:r>
          </w:p>
        </w:tc>
        <w:tc>
          <w:tcPr>
            <w:tcW w:w="302" w:type="pct"/>
            <w:vMerge w:val="restart"/>
            <w:shd w:val="clear" w:color="auto" w:fill="FFFFFF"/>
            <w:vAlign w:val="center"/>
          </w:tcPr>
          <w:p w14:paraId="0A2E068D">
            <w:pPr>
              <w:widowControl/>
              <w:spacing w:line="0" w:lineRule="atLeast"/>
              <w:jc w:val="center"/>
              <w:rPr>
                <w:color w:val="000000"/>
                <w:kern w:val="0"/>
                <w:sz w:val="22"/>
                <w:szCs w:val="22"/>
              </w:rPr>
            </w:pPr>
            <w:r>
              <w:rPr>
                <w:color w:val="000000"/>
                <w:kern w:val="0"/>
                <w:sz w:val="22"/>
                <w:szCs w:val="22"/>
              </w:rPr>
              <w:t>项目立项　</w:t>
            </w:r>
          </w:p>
        </w:tc>
        <w:tc>
          <w:tcPr>
            <w:tcW w:w="344" w:type="pct"/>
            <w:shd w:val="clear" w:color="auto" w:fill="FFFFFF"/>
            <w:vAlign w:val="center"/>
          </w:tcPr>
          <w:p w14:paraId="0FCC3EBE">
            <w:pPr>
              <w:widowControl/>
              <w:spacing w:line="0" w:lineRule="atLeast"/>
              <w:jc w:val="center"/>
              <w:rPr>
                <w:color w:val="000000"/>
                <w:kern w:val="0"/>
                <w:sz w:val="22"/>
                <w:szCs w:val="22"/>
              </w:rPr>
            </w:pPr>
            <w:r>
              <w:rPr>
                <w:color w:val="000000"/>
                <w:kern w:val="0"/>
                <w:sz w:val="22"/>
                <w:szCs w:val="22"/>
              </w:rPr>
              <w:t>立项依据</w:t>
            </w:r>
          </w:p>
          <w:p w14:paraId="4504965C">
            <w:pPr>
              <w:widowControl/>
              <w:spacing w:line="0" w:lineRule="atLeast"/>
              <w:jc w:val="center"/>
              <w:rPr>
                <w:color w:val="000000"/>
                <w:kern w:val="0"/>
                <w:sz w:val="22"/>
                <w:szCs w:val="22"/>
              </w:rPr>
            </w:pPr>
            <w:r>
              <w:rPr>
                <w:color w:val="000000"/>
                <w:kern w:val="0"/>
                <w:sz w:val="22"/>
                <w:szCs w:val="22"/>
              </w:rPr>
              <w:t>充分性</w:t>
            </w:r>
          </w:p>
        </w:tc>
        <w:tc>
          <w:tcPr>
            <w:tcW w:w="927" w:type="pct"/>
            <w:shd w:val="clear" w:color="auto" w:fill="FFFFFF"/>
            <w:vAlign w:val="center"/>
          </w:tcPr>
          <w:p w14:paraId="1229CCC8">
            <w:pPr>
              <w:widowControl/>
              <w:spacing w:line="0" w:lineRule="atLeast"/>
              <w:rPr>
                <w:color w:val="000000"/>
                <w:kern w:val="0"/>
                <w:sz w:val="22"/>
                <w:szCs w:val="22"/>
              </w:rPr>
            </w:pPr>
            <w:r>
              <w:rPr>
                <w:color w:val="000000"/>
                <w:kern w:val="0"/>
                <w:sz w:val="22"/>
                <w:szCs w:val="22"/>
              </w:rPr>
              <w:t>项目立项是否符合法律法规、相关政策、发展规划以及部门职责，用以反映和考核项目立项依据情况。</w:t>
            </w:r>
          </w:p>
        </w:tc>
        <w:tc>
          <w:tcPr>
            <w:tcW w:w="2044" w:type="pct"/>
            <w:shd w:val="clear" w:color="auto" w:fill="FFFFFF"/>
            <w:vAlign w:val="center"/>
          </w:tcPr>
          <w:p w14:paraId="40A93B4A">
            <w:pPr>
              <w:widowControl/>
              <w:spacing w:line="0" w:lineRule="atLeast"/>
              <w:jc w:val="lef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①项目立项是否符合国家法律法规、国民经济发展规划和相关政策；</w:t>
            </w:r>
            <w:r>
              <w:rPr>
                <w:color w:val="000000"/>
                <w:kern w:val="0"/>
                <w:sz w:val="22"/>
                <w:szCs w:val="22"/>
              </w:rPr>
              <w:br w:type="textWrapping"/>
            </w:r>
            <w:r>
              <w:rPr>
                <w:color w:val="000000"/>
                <w:kern w:val="0"/>
                <w:sz w:val="22"/>
                <w:szCs w:val="22"/>
              </w:rPr>
              <w:t>②项目立项是否符合行业发展规划和政策要求；</w:t>
            </w:r>
            <w:r>
              <w:rPr>
                <w:color w:val="000000"/>
                <w:kern w:val="0"/>
                <w:sz w:val="22"/>
                <w:szCs w:val="22"/>
              </w:rPr>
              <w:br w:type="textWrapping"/>
            </w:r>
            <w:r>
              <w:rPr>
                <w:color w:val="000000"/>
                <w:kern w:val="0"/>
                <w:sz w:val="22"/>
                <w:szCs w:val="22"/>
              </w:rPr>
              <w:t>③项目立项是否与部门职责范围相符，属于部门履职所需；</w:t>
            </w:r>
            <w:r>
              <w:rPr>
                <w:color w:val="000000"/>
                <w:kern w:val="0"/>
                <w:sz w:val="22"/>
                <w:szCs w:val="22"/>
              </w:rPr>
              <w:br w:type="textWrapping"/>
            </w:r>
            <w:r>
              <w:rPr>
                <w:color w:val="000000"/>
                <w:kern w:val="0"/>
                <w:sz w:val="22"/>
                <w:szCs w:val="22"/>
              </w:rPr>
              <w:t>④项目是否属于公共财政支持范围，是否符合中央、地方事权支出责任划分原则；</w:t>
            </w:r>
            <w:r>
              <w:rPr>
                <w:color w:val="000000"/>
                <w:kern w:val="0"/>
                <w:sz w:val="22"/>
                <w:szCs w:val="22"/>
              </w:rPr>
              <w:br w:type="textWrapping"/>
            </w:r>
            <w:r>
              <w:rPr>
                <w:color w:val="000000"/>
                <w:kern w:val="0"/>
                <w:sz w:val="22"/>
                <w:szCs w:val="22"/>
              </w:rPr>
              <w:t>⑤项目是否与相关部门同类项目或部门内部相关项目重复。</w:t>
            </w:r>
          </w:p>
        </w:tc>
        <w:tc>
          <w:tcPr>
            <w:tcW w:w="512" w:type="pct"/>
            <w:shd w:val="clear" w:color="auto" w:fill="FFFFFF"/>
            <w:vAlign w:val="center"/>
          </w:tcPr>
          <w:p w14:paraId="7924CE90">
            <w:pPr>
              <w:widowControl/>
              <w:spacing w:line="0" w:lineRule="atLeast"/>
              <w:jc w:val="center"/>
              <w:rPr>
                <w:b/>
                <w:bCs/>
                <w:color w:val="000000"/>
                <w:kern w:val="0"/>
                <w:sz w:val="22"/>
                <w:szCs w:val="22"/>
              </w:rPr>
            </w:pPr>
            <w:r>
              <w:rPr>
                <w:rFonts w:hint="eastAsia"/>
                <w:b/>
                <w:bCs/>
                <w:color w:val="000000"/>
                <w:kern w:val="0"/>
                <w:sz w:val="22"/>
                <w:szCs w:val="22"/>
              </w:rPr>
              <w:t>3</w:t>
            </w:r>
          </w:p>
        </w:tc>
        <w:tc>
          <w:tcPr>
            <w:tcW w:w="537" w:type="pct"/>
            <w:shd w:val="clear" w:color="auto" w:fill="FFFFFF"/>
            <w:vAlign w:val="center"/>
          </w:tcPr>
          <w:p w14:paraId="66B6EA2E">
            <w:pPr>
              <w:widowControl/>
              <w:spacing w:line="0" w:lineRule="atLeast"/>
              <w:jc w:val="center"/>
              <w:rPr>
                <w:rFonts w:hint="eastAsia" w:eastAsia="宋体"/>
                <w:b/>
                <w:bCs/>
                <w:color w:val="000000"/>
                <w:kern w:val="0"/>
                <w:sz w:val="22"/>
                <w:szCs w:val="22"/>
                <w:highlight w:val="none"/>
                <w:lang w:eastAsia="zh-CN"/>
              </w:rPr>
            </w:pPr>
            <w:r>
              <w:rPr>
                <w:rFonts w:hint="eastAsia"/>
                <w:b/>
                <w:bCs/>
                <w:color w:val="000000"/>
                <w:kern w:val="0"/>
                <w:sz w:val="22"/>
                <w:szCs w:val="22"/>
                <w:highlight w:val="none"/>
                <w:lang w:val="en-US" w:eastAsia="zh-CN"/>
              </w:rPr>
              <w:t>3</w:t>
            </w:r>
          </w:p>
        </w:tc>
      </w:tr>
      <w:tr w14:paraId="1C66F45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640" w:hRule="atLeast"/>
          <w:jc w:val="center"/>
        </w:trPr>
        <w:tc>
          <w:tcPr>
            <w:tcW w:w="331" w:type="pct"/>
            <w:vMerge w:val="continue"/>
            <w:shd w:val="clear" w:color="auto" w:fill="FFFFFF"/>
            <w:vAlign w:val="center"/>
          </w:tcPr>
          <w:p w14:paraId="318995EB">
            <w:pPr>
              <w:spacing w:line="0" w:lineRule="atLeast"/>
              <w:jc w:val="center"/>
              <w:rPr>
                <w:color w:val="000000"/>
                <w:kern w:val="0"/>
                <w:sz w:val="22"/>
                <w:szCs w:val="22"/>
              </w:rPr>
            </w:pPr>
          </w:p>
        </w:tc>
        <w:tc>
          <w:tcPr>
            <w:tcW w:w="302" w:type="pct"/>
            <w:vMerge w:val="continue"/>
            <w:shd w:val="clear" w:color="auto" w:fill="FFFFFF"/>
            <w:vAlign w:val="center"/>
          </w:tcPr>
          <w:p w14:paraId="25683B4D">
            <w:pPr>
              <w:widowControl/>
              <w:spacing w:line="0" w:lineRule="atLeast"/>
              <w:jc w:val="center"/>
              <w:rPr>
                <w:color w:val="000000"/>
                <w:kern w:val="0"/>
                <w:sz w:val="22"/>
                <w:szCs w:val="22"/>
              </w:rPr>
            </w:pPr>
          </w:p>
        </w:tc>
        <w:tc>
          <w:tcPr>
            <w:tcW w:w="344" w:type="pct"/>
            <w:shd w:val="clear" w:color="auto" w:fill="FFFFFF"/>
            <w:vAlign w:val="center"/>
          </w:tcPr>
          <w:p w14:paraId="0AD1550E">
            <w:pPr>
              <w:widowControl/>
              <w:spacing w:line="0" w:lineRule="atLeast"/>
              <w:jc w:val="center"/>
              <w:rPr>
                <w:color w:val="000000"/>
                <w:kern w:val="0"/>
                <w:sz w:val="22"/>
                <w:szCs w:val="22"/>
              </w:rPr>
            </w:pPr>
            <w:r>
              <w:rPr>
                <w:color w:val="000000"/>
                <w:kern w:val="0"/>
                <w:sz w:val="22"/>
                <w:szCs w:val="22"/>
              </w:rPr>
              <w:t>立项程序</w:t>
            </w:r>
          </w:p>
          <w:p w14:paraId="3B2BD8B9">
            <w:pPr>
              <w:widowControl/>
              <w:spacing w:line="0" w:lineRule="atLeast"/>
              <w:jc w:val="center"/>
              <w:rPr>
                <w:color w:val="000000"/>
                <w:kern w:val="0"/>
                <w:sz w:val="22"/>
                <w:szCs w:val="22"/>
              </w:rPr>
            </w:pPr>
            <w:r>
              <w:rPr>
                <w:color w:val="000000"/>
                <w:kern w:val="0"/>
                <w:sz w:val="22"/>
                <w:szCs w:val="22"/>
              </w:rPr>
              <w:t>规范性</w:t>
            </w:r>
          </w:p>
        </w:tc>
        <w:tc>
          <w:tcPr>
            <w:tcW w:w="927" w:type="pct"/>
            <w:shd w:val="clear" w:color="auto" w:fill="FFFFFF"/>
            <w:vAlign w:val="center"/>
          </w:tcPr>
          <w:p w14:paraId="7F523342">
            <w:pPr>
              <w:widowControl/>
              <w:spacing w:line="0" w:lineRule="atLeast"/>
              <w:rPr>
                <w:color w:val="000000"/>
                <w:kern w:val="0"/>
                <w:sz w:val="22"/>
                <w:szCs w:val="22"/>
              </w:rPr>
            </w:pPr>
            <w:r>
              <w:rPr>
                <w:color w:val="000000"/>
                <w:kern w:val="0"/>
                <w:sz w:val="22"/>
                <w:szCs w:val="22"/>
              </w:rPr>
              <w:t>项目申请、设立过程是否符合相关要求，用以反映和考核项目立项的规范情况。</w:t>
            </w:r>
          </w:p>
        </w:tc>
        <w:tc>
          <w:tcPr>
            <w:tcW w:w="2044" w:type="pct"/>
            <w:shd w:val="clear" w:color="auto" w:fill="FFFFFF"/>
            <w:vAlign w:val="center"/>
          </w:tcPr>
          <w:p w14:paraId="0F78F9A8">
            <w:pPr>
              <w:widowControl/>
              <w:spacing w:line="0" w:lineRule="atLeast"/>
              <w:jc w:val="lef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①项目是否按照规定的程序申请设立；</w:t>
            </w:r>
            <w:r>
              <w:rPr>
                <w:color w:val="000000"/>
                <w:kern w:val="0"/>
                <w:sz w:val="22"/>
                <w:szCs w:val="22"/>
              </w:rPr>
              <w:br w:type="textWrapping"/>
            </w:r>
            <w:r>
              <w:rPr>
                <w:color w:val="000000"/>
                <w:kern w:val="0"/>
                <w:sz w:val="22"/>
                <w:szCs w:val="22"/>
              </w:rPr>
              <w:t>②审批文件、材料是否符合相关要求；</w:t>
            </w:r>
            <w:r>
              <w:rPr>
                <w:color w:val="000000"/>
                <w:kern w:val="0"/>
                <w:sz w:val="22"/>
                <w:szCs w:val="22"/>
              </w:rPr>
              <w:br w:type="textWrapping"/>
            </w:r>
            <w:r>
              <w:rPr>
                <w:color w:val="000000"/>
                <w:kern w:val="0"/>
                <w:sz w:val="22"/>
                <w:szCs w:val="22"/>
              </w:rPr>
              <w:t>③事前是否已经过必要的可行性研究、专家论证、风险评估、绩效评估、集体决策。</w:t>
            </w:r>
          </w:p>
        </w:tc>
        <w:tc>
          <w:tcPr>
            <w:tcW w:w="512" w:type="pct"/>
            <w:shd w:val="clear" w:color="auto" w:fill="FFFFFF"/>
            <w:vAlign w:val="center"/>
          </w:tcPr>
          <w:p w14:paraId="286CCBC1">
            <w:pPr>
              <w:widowControl/>
              <w:spacing w:line="0" w:lineRule="atLeast"/>
              <w:jc w:val="center"/>
              <w:rPr>
                <w:b/>
                <w:bCs/>
                <w:color w:val="000000"/>
                <w:kern w:val="0"/>
                <w:sz w:val="22"/>
                <w:szCs w:val="22"/>
              </w:rPr>
            </w:pPr>
            <w:r>
              <w:rPr>
                <w:rFonts w:hint="eastAsia"/>
                <w:b/>
                <w:bCs/>
                <w:color w:val="000000"/>
                <w:kern w:val="0"/>
                <w:sz w:val="22"/>
                <w:szCs w:val="22"/>
              </w:rPr>
              <w:t>3</w:t>
            </w:r>
          </w:p>
        </w:tc>
        <w:tc>
          <w:tcPr>
            <w:tcW w:w="537" w:type="pct"/>
            <w:shd w:val="clear" w:color="auto" w:fill="FFFFFF"/>
            <w:vAlign w:val="center"/>
          </w:tcPr>
          <w:p w14:paraId="6EAE6BF0">
            <w:pPr>
              <w:widowControl/>
              <w:spacing w:line="0" w:lineRule="atLeast"/>
              <w:jc w:val="center"/>
              <w:rPr>
                <w:rFonts w:hint="eastAsia" w:eastAsia="宋体"/>
                <w:b/>
                <w:bCs/>
                <w:color w:val="000000"/>
                <w:kern w:val="0"/>
                <w:sz w:val="22"/>
                <w:szCs w:val="22"/>
                <w:highlight w:val="none"/>
                <w:lang w:eastAsia="zh-CN"/>
              </w:rPr>
            </w:pPr>
            <w:r>
              <w:rPr>
                <w:rFonts w:hint="eastAsia"/>
                <w:b/>
                <w:bCs/>
                <w:color w:val="000000"/>
                <w:kern w:val="0"/>
                <w:sz w:val="22"/>
                <w:szCs w:val="22"/>
                <w:highlight w:val="none"/>
                <w:lang w:val="en-US" w:eastAsia="zh-CN"/>
              </w:rPr>
              <w:t>3</w:t>
            </w:r>
          </w:p>
        </w:tc>
      </w:tr>
      <w:tr w14:paraId="7200412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9" w:hRule="atLeast"/>
          <w:jc w:val="center"/>
        </w:trPr>
        <w:tc>
          <w:tcPr>
            <w:tcW w:w="331" w:type="pct"/>
            <w:vMerge w:val="continue"/>
            <w:shd w:val="clear" w:color="auto" w:fill="FFFFFF"/>
            <w:vAlign w:val="center"/>
          </w:tcPr>
          <w:p w14:paraId="11854454">
            <w:pPr>
              <w:spacing w:line="0" w:lineRule="atLeast"/>
              <w:jc w:val="center"/>
              <w:rPr>
                <w:color w:val="000000"/>
                <w:kern w:val="0"/>
                <w:sz w:val="22"/>
                <w:szCs w:val="22"/>
              </w:rPr>
            </w:pPr>
          </w:p>
        </w:tc>
        <w:tc>
          <w:tcPr>
            <w:tcW w:w="302" w:type="pct"/>
            <w:shd w:val="clear" w:color="auto" w:fill="FFFFFF"/>
            <w:vAlign w:val="center"/>
          </w:tcPr>
          <w:p w14:paraId="745A7AA8">
            <w:pPr>
              <w:widowControl/>
              <w:spacing w:line="0" w:lineRule="atLeast"/>
              <w:jc w:val="center"/>
              <w:rPr>
                <w:color w:val="000000"/>
                <w:kern w:val="0"/>
                <w:sz w:val="22"/>
                <w:szCs w:val="22"/>
              </w:rPr>
            </w:pPr>
            <w:r>
              <w:rPr>
                <w:color w:val="000000"/>
                <w:kern w:val="0"/>
                <w:sz w:val="22"/>
                <w:szCs w:val="22"/>
              </w:rPr>
              <w:t>绩效目标　</w:t>
            </w:r>
          </w:p>
        </w:tc>
        <w:tc>
          <w:tcPr>
            <w:tcW w:w="344" w:type="pct"/>
            <w:shd w:val="clear" w:color="auto" w:fill="FFFFFF"/>
            <w:vAlign w:val="center"/>
          </w:tcPr>
          <w:p w14:paraId="1515FC03">
            <w:pPr>
              <w:widowControl/>
              <w:spacing w:line="0" w:lineRule="atLeast"/>
              <w:jc w:val="center"/>
              <w:rPr>
                <w:color w:val="000000"/>
                <w:kern w:val="0"/>
                <w:sz w:val="22"/>
                <w:szCs w:val="22"/>
              </w:rPr>
            </w:pPr>
            <w:r>
              <w:rPr>
                <w:color w:val="000000"/>
                <w:kern w:val="0"/>
                <w:sz w:val="22"/>
                <w:szCs w:val="22"/>
              </w:rPr>
              <w:t>绩效目标</w:t>
            </w:r>
          </w:p>
          <w:p w14:paraId="25D4A8AC">
            <w:pPr>
              <w:widowControl/>
              <w:spacing w:line="0" w:lineRule="atLeast"/>
              <w:jc w:val="center"/>
              <w:rPr>
                <w:color w:val="000000"/>
                <w:kern w:val="0"/>
                <w:sz w:val="22"/>
                <w:szCs w:val="22"/>
              </w:rPr>
            </w:pPr>
            <w:r>
              <w:rPr>
                <w:color w:val="000000"/>
                <w:kern w:val="0"/>
                <w:sz w:val="22"/>
                <w:szCs w:val="22"/>
              </w:rPr>
              <w:t>合理性</w:t>
            </w:r>
          </w:p>
        </w:tc>
        <w:tc>
          <w:tcPr>
            <w:tcW w:w="927" w:type="pct"/>
            <w:shd w:val="clear" w:color="000000" w:fill="FFFFFF"/>
            <w:vAlign w:val="center"/>
          </w:tcPr>
          <w:p w14:paraId="69AB7603">
            <w:pPr>
              <w:widowControl/>
              <w:spacing w:line="0" w:lineRule="atLeast"/>
              <w:rPr>
                <w:color w:val="000000"/>
                <w:kern w:val="0"/>
                <w:sz w:val="22"/>
                <w:szCs w:val="22"/>
              </w:rPr>
            </w:pPr>
            <w:r>
              <w:rPr>
                <w:color w:val="000000"/>
                <w:kern w:val="0"/>
                <w:sz w:val="22"/>
                <w:szCs w:val="22"/>
              </w:rPr>
              <w:t>项目所设定的绩效目标是否依据充分，是否符合客观实际，用以反映和考核项目绩效目标与项目实施的相符情况。</w:t>
            </w:r>
          </w:p>
        </w:tc>
        <w:tc>
          <w:tcPr>
            <w:tcW w:w="2044" w:type="pct"/>
            <w:shd w:val="clear" w:color="000000" w:fill="FFFFFF"/>
            <w:vAlign w:val="center"/>
          </w:tcPr>
          <w:p w14:paraId="39692D58">
            <w:pPr>
              <w:widowControl/>
              <w:spacing w:line="0" w:lineRule="atLeast"/>
              <w:jc w:val="lef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（如未设定预算绩效目标，也可考核其他工作任务目标）</w:t>
            </w:r>
            <w:r>
              <w:rPr>
                <w:color w:val="000000"/>
                <w:kern w:val="0"/>
                <w:sz w:val="22"/>
                <w:szCs w:val="22"/>
              </w:rPr>
              <w:br w:type="textWrapping"/>
            </w:r>
            <w:r>
              <w:rPr>
                <w:color w:val="000000"/>
                <w:kern w:val="0"/>
                <w:sz w:val="22"/>
                <w:szCs w:val="22"/>
              </w:rPr>
              <w:t>①项目是否有绩效目标；</w:t>
            </w:r>
            <w:r>
              <w:rPr>
                <w:color w:val="000000"/>
                <w:kern w:val="0"/>
                <w:sz w:val="22"/>
                <w:szCs w:val="22"/>
              </w:rPr>
              <w:br w:type="textWrapping"/>
            </w:r>
            <w:r>
              <w:rPr>
                <w:color w:val="000000"/>
                <w:kern w:val="0"/>
                <w:sz w:val="22"/>
                <w:szCs w:val="22"/>
              </w:rPr>
              <w:t>②项目绩效目标与实际工作内容是否具有相关性；</w:t>
            </w:r>
            <w:r>
              <w:rPr>
                <w:color w:val="000000"/>
                <w:kern w:val="0"/>
                <w:sz w:val="22"/>
                <w:szCs w:val="22"/>
              </w:rPr>
              <w:br w:type="textWrapping"/>
            </w:r>
            <w:r>
              <w:rPr>
                <w:color w:val="000000"/>
                <w:kern w:val="0"/>
                <w:sz w:val="22"/>
                <w:szCs w:val="22"/>
              </w:rPr>
              <w:t>③项目预期产出效益和效果是否符合正常的业绩水平；</w:t>
            </w:r>
          </w:p>
          <w:p w14:paraId="7D6A6BD1">
            <w:pPr>
              <w:widowControl/>
              <w:spacing w:line="0" w:lineRule="atLeast"/>
              <w:jc w:val="left"/>
              <w:rPr>
                <w:color w:val="000000"/>
                <w:kern w:val="0"/>
                <w:sz w:val="22"/>
                <w:szCs w:val="22"/>
              </w:rPr>
            </w:pPr>
            <w:r>
              <w:rPr>
                <w:color w:val="000000"/>
                <w:kern w:val="0"/>
                <w:sz w:val="22"/>
                <w:szCs w:val="22"/>
              </w:rPr>
              <w:t>④是否与预算确定的项目投资额或资金量相匹配。</w:t>
            </w:r>
          </w:p>
        </w:tc>
        <w:tc>
          <w:tcPr>
            <w:tcW w:w="512" w:type="pct"/>
            <w:shd w:val="clear" w:color="000000" w:fill="FFFFFF"/>
            <w:vAlign w:val="center"/>
          </w:tcPr>
          <w:p w14:paraId="7CC1E782">
            <w:pPr>
              <w:widowControl/>
              <w:spacing w:line="0" w:lineRule="atLeast"/>
              <w:jc w:val="center"/>
              <w:rPr>
                <w:b/>
                <w:bCs/>
                <w:color w:val="000000"/>
                <w:kern w:val="0"/>
                <w:sz w:val="22"/>
                <w:szCs w:val="22"/>
              </w:rPr>
            </w:pPr>
            <w:r>
              <w:rPr>
                <w:rFonts w:hint="eastAsia"/>
                <w:b/>
                <w:bCs/>
                <w:color w:val="000000"/>
                <w:kern w:val="0"/>
                <w:sz w:val="22"/>
                <w:szCs w:val="22"/>
              </w:rPr>
              <w:t>4</w:t>
            </w:r>
          </w:p>
        </w:tc>
        <w:tc>
          <w:tcPr>
            <w:tcW w:w="537" w:type="pct"/>
            <w:shd w:val="clear" w:color="000000" w:fill="FFFFFF"/>
            <w:vAlign w:val="center"/>
          </w:tcPr>
          <w:p w14:paraId="7C103301">
            <w:pPr>
              <w:widowControl/>
              <w:spacing w:line="0" w:lineRule="atLeast"/>
              <w:jc w:val="center"/>
              <w:rPr>
                <w:rFonts w:hint="eastAsia" w:eastAsia="宋体"/>
                <w:b/>
                <w:bCs/>
                <w:color w:val="000000"/>
                <w:kern w:val="0"/>
                <w:sz w:val="22"/>
                <w:szCs w:val="22"/>
                <w:highlight w:val="none"/>
                <w:lang w:eastAsia="zh-CN"/>
              </w:rPr>
            </w:pPr>
            <w:r>
              <w:rPr>
                <w:rFonts w:hint="eastAsia"/>
                <w:b/>
                <w:bCs/>
                <w:color w:val="000000"/>
                <w:kern w:val="0"/>
                <w:sz w:val="22"/>
                <w:szCs w:val="22"/>
                <w:highlight w:val="none"/>
                <w:lang w:val="en-US" w:eastAsia="zh-CN"/>
              </w:rPr>
              <w:t>4</w:t>
            </w:r>
          </w:p>
        </w:tc>
      </w:tr>
      <w:tr w14:paraId="74D0C66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64" w:hRule="atLeast"/>
          <w:jc w:val="center"/>
        </w:trPr>
        <w:tc>
          <w:tcPr>
            <w:tcW w:w="331" w:type="pct"/>
            <w:vMerge w:val="restart"/>
            <w:shd w:val="clear" w:color="auto" w:fill="FFFFFF"/>
            <w:vAlign w:val="center"/>
          </w:tcPr>
          <w:p w14:paraId="419D1FBA">
            <w:pPr>
              <w:widowControl/>
              <w:spacing w:line="0" w:lineRule="atLeast"/>
              <w:jc w:val="center"/>
              <w:rPr>
                <w:color w:val="000000"/>
                <w:kern w:val="0"/>
                <w:sz w:val="22"/>
                <w:szCs w:val="22"/>
              </w:rPr>
            </w:pPr>
            <w:r>
              <w:rPr>
                <w:color w:val="000000"/>
                <w:kern w:val="0"/>
                <w:sz w:val="22"/>
                <w:szCs w:val="22"/>
              </w:rPr>
              <w:t>决策　</w:t>
            </w:r>
          </w:p>
        </w:tc>
        <w:tc>
          <w:tcPr>
            <w:tcW w:w="302" w:type="pct"/>
            <w:shd w:val="clear" w:color="auto" w:fill="FFFFFF"/>
            <w:vAlign w:val="center"/>
          </w:tcPr>
          <w:p w14:paraId="24B2333D">
            <w:pPr>
              <w:widowControl/>
              <w:spacing w:line="0" w:lineRule="atLeast"/>
              <w:jc w:val="center"/>
              <w:rPr>
                <w:color w:val="000000"/>
                <w:kern w:val="0"/>
                <w:sz w:val="22"/>
                <w:szCs w:val="22"/>
              </w:rPr>
            </w:pPr>
            <w:r>
              <w:rPr>
                <w:color w:val="000000"/>
                <w:kern w:val="0"/>
                <w:sz w:val="22"/>
                <w:szCs w:val="22"/>
              </w:rPr>
              <w:t>绩效目标</w:t>
            </w:r>
          </w:p>
        </w:tc>
        <w:tc>
          <w:tcPr>
            <w:tcW w:w="344" w:type="pct"/>
            <w:shd w:val="clear" w:color="auto" w:fill="FFFFFF"/>
            <w:vAlign w:val="center"/>
          </w:tcPr>
          <w:p w14:paraId="79599730">
            <w:pPr>
              <w:widowControl/>
              <w:spacing w:line="0" w:lineRule="atLeast"/>
              <w:jc w:val="center"/>
              <w:rPr>
                <w:color w:val="000000"/>
                <w:kern w:val="0"/>
                <w:sz w:val="22"/>
                <w:szCs w:val="22"/>
              </w:rPr>
            </w:pPr>
            <w:r>
              <w:rPr>
                <w:color w:val="000000"/>
                <w:kern w:val="0"/>
                <w:sz w:val="22"/>
                <w:szCs w:val="22"/>
              </w:rPr>
              <w:t>绩效指标</w:t>
            </w:r>
          </w:p>
          <w:p w14:paraId="4EFBCFB6">
            <w:pPr>
              <w:widowControl/>
              <w:spacing w:line="0" w:lineRule="atLeast"/>
              <w:jc w:val="center"/>
              <w:rPr>
                <w:color w:val="000000"/>
                <w:kern w:val="0"/>
                <w:sz w:val="22"/>
                <w:szCs w:val="22"/>
              </w:rPr>
            </w:pPr>
            <w:r>
              <w:rPr>
                <w:color w:val="000000"/>
                <w:kern w:val="0"/>
                <w:sz w:val="22"/>
                <w:szCs w:val="22"/>
              </w:rPr>
              <w:t>明确性</w:t>
            </w:r>
          </w:p>
        </w:tc>
        <w:tc>
          <w:tcPr>
            <w:tcW w:w="927" w:type="pct"/>
            <w:shd w:val="clear" w:color="000000" w:fill="FFFFFF"/>
            <w:vAlign w:val="center"/>
          </w:tcPr>
          <w:p w14:paraId="71A0954F">
            <w:pPr>
              <w:widowControl/>
              <w:spacing w:line="0" w:lineRule="atLeast"/>
              <w:rPr>
                <w:color w:val="000000"/>
                <w:kern w:val="0"/>
                <w:sz w:val="22"/>
                <w:szCs w:val="22"/>
              </w:rPr>
            </w:pPr>
            <w:r>
              <w:rPr>
                <w:color w:val="000000"/>
                <w:kern w:val="0"/>
                <w:sz w:val="22"/>
                <w:szCs w:val="22"/>
              </w:rPr>
              <w:t>依据绩效目标设定的绩效指标是否清晰、细化、可衡量等，用以反映和考核项目绩效目标的明细化情况。</w:t>
            </w:r>
          </w:p>
        </w:tc>
        <w:tc>
          <w:tcPr>
            <w:tcW w:w="2044" w:type="pct"/>
            <w:shd w:val="clear" w:color="000000" w:fill="FFFFFF"/>
            <w:vAlign w:val="center"/>
          </w:tcPr>
          <w:p w14:paraId="430F31A0">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①是否将项目绩效目标细化分解为具体的绩效指标；</w:t>
            </w:r>
            <w:r>
              <w:rPr>
                <w:color w:val="000000"/>
                <w:kern w:val="0"/>
                <w:sz w:val="22"/>
                <w:szCs w:val="22"/>
              </w:rPr>
              <w:br w:type="textWrapping"/>
            </w:r>
            <w:r>
              <w:rPr>
                <w:color w:val="000000"/>
                <w:kern w:val="0"/>
                <w:sz w:val="22"/>
                <w:szCs w:val="22"/>
              </w:rPr>
              <w:t>②是否通过清晰、可衡量的指标值予以体现；</w:t>
            </w:r>
            <w:r>
              <w:rPr>
                <w:color w:val="000000"/>
                <w:kern w:val="0"/>
                <w:sz w:val="22"/>
                <w:szCs w:val="22"/>
              </w:rPr>
              <w:br w:type="textWrapping"/>
            </w:r>
            <w:r>
              <w:rPr>
                <w:color w:val="000000"/>
                <w:kern w:val="0"/>
                <w:sz w:val="22"/>
                <w:szCs w:val="22"/>
              </w:rPr>
              <w:t>③是否与项目目标任务数或计划数相对应。</w:t>
            </w:r>
            <w:r>
              <w:rPr>
                <w:color w:val="000000"/>
                <w:kern w:val="0"/>
                <w:sz w:val="22"/>
                <w:szCs w:val="22"/>
              </w:rPr>
              <w:br w:type="textWrapping"/>
            </w:r>
          </w:p>
        </w:tc>
        <w:tc>
          <w:tcPr>
            <w:tcW w:w="512" w:type="pct"/>
            <w:shd w:val="clear" w:color="000000" w:fill="FFFFFF"/>
            <w:vAlign w:val="center"/>
          </w:tcPr>
          <w:p w14:paraId="54B40804">
            <w:pPr>
              <w:widowControl/>
              <w:spacing w:line="0" w:lineRule="atLeast"/>
              <w:jc w:val="center"/>
              <w:rPr>
                <w:b/>
                <w:bCs/>
                <w:color w:val="000000"/>
                <w:kern w:val="0"/>
                <w:sz w:val="22"/>
                <w:szCs w:val="22"/>
              </w:rPr>
            </w:pPr>
            <w:r>
              <w:rPr>
                <w:rFonts w:hint="eastAsia"/>
                <w:b/>
                <w:bCs/>
                <w:color w:val="000000"/>
                <w:kern w:val="0"/>
                <w:sz w:val="22"/>
                <w:szCs w:val="22"/>
              </w:rPr>
              <w:t>3</w:t>
            </w:r>
          </w:p>
        </w:tc>
        <w:tc>
          <w:tcPr>
            <w:tcW w:w="537" w:type="pct"/>
            <w:shd w:val="clear" w:color="000000" w:fill="FFFFFF"/>
            <w:vAlign w:val="center"/>
          </w:tcPr>
          <w:p w14:paraId="5369B804">
            <w:pPr>
              <w:widowControl/>
              <w:spacing w:line="0" w:lineRule="atLeast"/>
              <w:jc w:val="center"/>
              <w:rPr>
                <w:rFonts w:hint="eastAsia" w:eastAsia="宋体"/>
                <w:b/>
                <w:bCs/>
                <w:color w:val="000000"/>
                <w:kern w:val="0"/>
                <w:sz w:val="22"/>
                <w:szCs w:val="22"/>
                <w:highlight w:val="none"/>
                <w:lang w:eastAsia="zh-CN"/>
              </w:rPr>
            </w:pPr>
            <w:r>
              <w:rPr>
                <w:rFonts w:hint="eastAsia"/>
                <w:b/>
                <w:bCs/>
                <w:color w:val="000000"/>
                <w:kern w:val="0"/>
                <w:sz w:val="22"/>
                <w:szCs w:val="22"/>
                <w:highlight w:val="none"/>
                <w:lang w:val="en-US" w:eastAsia="zh-CN"/>
              </w:rPr>
              <w:t>3</w:t>
            </w:r>
          </w:p>
        </w:tc>
      </w:tr>
      <w:tr w14:paraId="32D8667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42" w:hRule="atLeast"/>
          <w:jc w:val="center"/>
        </w:trPr>
        <w:tc>
          <w:tcPr>
            <w:tcW w:w="331" w:type="pct"/>
            <w:vMerge w:val="continue"/>
            <w:shd w:val="clear" w:color="auto" w:fill="FFFFFF"/>
            <w:vAlign w:val="center"/>
          </w:tcPr>
          <w:p w14:paraId="752404ED">
            <w:pPr>
              <w:spacing w:line="0" w:lineRule="atLeast"/>
              <w:jc w:val="center"/>
              <w:rPr>
                <w:color w:val="000000"/>
                <w:kern w:val="0"/>
                <w:sz w:val="22"/>
                <w:szCs w:val="22"/>
              </w:rPr>
            </w:pPr>
          </w:p>
        </w:tc>
        <w:tc>
          <w:tcPr>
            <w:tcW w:w="302" w:type="pct"/>
            <w:vMerge w:val="restart"/>
            <w:shd w:val="clear" w:color="auto" w:fill="FFFFFF"/>
            <w:vAlign w:val="center"/>
          </w:tcPr>
          <w:p w14:paraId="430EC460">
            <w:pPr>
              <w:widowControl/>
              <w:spacing w:line="0" w:lineRule="atLeast"/>
              <w:jc w:val="center"/>
              <w:rPr>
                <w:color w:val="000000"/>
                <w:kern w:val="0"/>
                <w:sz w:val="22"/>
                <w:szCs w:val="22"/>
              </w:rPr>
            </w:pPr>
            <w:r>
              <w:rPr>
                <w:color w:val="000000"/>
                <w:kern w:val="0"/>
                <w:sz w:val="22"/>
                <w:szCs w:val="22"/>
              </w:rPr>
              <w:t>资金投入</w:t>
            </w:r>
          </w:p>
          <w:p w14:paraId="6E8E6B85">
            <w:pPr>
              <w:spacing w:line="0" w:lineRule="atLeast"/>
              <w:jc w:val="center"/>
              <w:rPr>
                <w:color w:val="000000"/>
                <w:kern w:val="0"/>
                <w:sz w:val="22"/>
                <w:szCs w:val="22"/>
              </w:rPr>
            </w:pPr>
            <w:r>
              <w:rPr>
                <w:color w:val="000000"/>
                <w:kern w:val="0"/>
                <w:sz w:val="22"/>
                <w:szCs w:val="22"/>
              </w:rPr>
              <w:t>　</w:t>
            </w:r>
          </w:p>
        </w:tc>
        <w:tc>
          <w:tcPr>
            <w:tcW w:w="344" w:type="pct"/>
            <w:shd w:val="clear" w:color="auto" w:fill="FFFFFF"/>
            <w:vAlign w:val="center"/>
          </w:tcPr>
          <w:p w14:paraId="525F97EE">
            <w:pPr>
              <w:widowControl/>
              <w:spacing w:line="0" w:lineRule="atLeast"/>
              <w:jc w:val="center"/>
              <w:rPr>
                <w:color w:val="000000"/>
                <w:kern w:val="0"/>
                <w:sz w:val="22"/>
                <w:szCs w:val="22"/>
              </w:rPr>
            </w:pPr>
            <w:r>
              <w:rPr>
                <w:color w:val="000000"/>
                <w:kern w:val="0"/>
                <w:sz w:val="22"/>
                <w:szCs w:val="22"/>
              </w:rPr>
              <w:t>预算编制</w:t>
            </w:r>
          </w:p>
          <w:p w14:paraId="77CCAEBC">
            <w:pPr>
              <w:widowControl/>
              <w:spacing w:line="0" w:lineRule="atLeast"/>
              <w:jc w:val="center"/>
              <w:rPr>
                <w:color w:val="000000"/>
                <w:kern w:val="0"/>
                <w:sz w:val="22"/>
                <w:szCs w:val="22"/>
              </w:rPr>
            </w:pPr>
            <w:r>
              <w:rPr>
                <w:color w:val="000000"/>
                <w:kern w:val="0"/>
                <w:sz w:val="22"/>
                <w:szCs w:val="22"/>
              </w:rPr>
              <w:t>科学性</w:t>
            </w:r>
          </w:p>
        </w:tc>
        <w:tc>
          <w:tcPr>
            <w:tcW w:w="927" w:type="pct"/>
            <w:shd w:val="clear" w:color="auto" w:fill="FFFFFF"/>
            <w:vAlign w:val="center"/>
          </w:tcPr>
          <w:p w14:paraId="7B5CBA17">
            <w:pPr>
              <w:widowControl/>
              <w:spacing w:line="0" w:lineRule="atLeast"/>
              <w:rPr>
                <w:color w:val="000000"/>
                <w:kern w:val="0"/>
                <w:sz w:val="22"/>
                <w:szCs w:val="22"/>
              </w:rPr>
            </w:pPr>
            <w:r>
              <w:rPr>
                <w:color w:val="000000"/>
                <w:kern w:val="0"/>
                <w:sz w:val="22"/>
                <w:szCs w:val="22"/>
              </w:rPr>
              <w:t>项目预算编制是否经过科学论证、有明确标准，资金额度与年度目标是否相适应，用以反映和考核项目预算编制的科学性、合理性情况。</w:t>
            </w:r>
          </w:p>
        </w:tc>
        <w:tc>
          <w:tcPr>
            <w:tcW w:w="2044" w:type="pct"/>
            <w:shd w:val="clear" w:color="auto" w:fill="FFFFFF"/>
            <w:vAlign w:val="center"/>
          </w:tcPr>
          <w:p w14:paraId="3495C9B2">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①预算编制是否经过科学论证；</w:t>
            </w:r>
            <w:r>
              <w:rPr>
                <w:color w:val="000000"/>
                <w:kern w:val="0"/>
                <w:sz w:val="22"/>
                <w:szCs w:val="22"/>
              </w:rPr>
              <w:br w:type="textWrapping"/>
            </w:r>
            <w:r>
              <w:rPr>
                <w:color w:val="000000"/>
                <w:kern w:val="0"/>
                <w:sz w:val="22"/>
                <w:szCs w:val="22"/>
              </w:rPr>
              <w:t>②预算内容与项目内容是否匹配；</w:t>
            </w:r>
            <w:r>
              <w:rPr>
                <w:color w:val="000000"/>
                <w:kern w:val="0"/>
                <w:sz w:val="22"/>
                <w:szCs w:val="22"/>
              </w:rPr>
              <w:br w:type="textWrapping"/>
            </w:r>
            <w:r>
              <w:rPr>
                <w:color w:val="000000"/>
                <w:kern w:val="0"/>
                <w:sz w:val="22"/>
                <w:szCs w:val="22"/>
              </w:rPr>
              <w:t>③预算额度测算依据是否充分，是否按照标准编制；</w:t>
            </w:r>
            <w:r>
              <w:rPr>
                <w:color w:val="000000"/>
                <w:kern w:val="0"/>
                <w:sz w:val="22"/>
                <w:szCs w:val="22"/>
              </w:rPr>
              <w:br w:type="textWrapping"/>
            </w:r>
            <w:r>
              <w:rPr>
                <w:color w:val="000000"/>
                <w:kern w:val="0"/>
                <w:sz w:val="22"/>
                <w:szCs w:val="22"/>
              </w:rPr>
              <w:t>④预算确定的项目投资额或资金量是否与工作任务相匹配。</w:t>
            </w:r>
          </w:p>
        </w:tc>
        <w:tc>
          <w:tcPr>
            <w:tcW w:w="512" w:type="pct"/>
            <w:shd w:val="clear" w:color="auto" w:fill="FFFFFF"/>
            <w:vAlign w:val="center"/>
          </w:tcPr>
          <w:p w14:paraId="5DD37229">
            <w:pPr>
              <w:widowControl/>
              <w:spacing w:line="0" w:lineRule="atLeast"/>
              <w:jc w:val="center"/>
              <w:rPr>
                <w:b/>
                <w:bCs/>
                <w:color w:val="000000"/>
                <w:kern w:val="0"/>
                <w:sz w:val="22"/>
                <w:szCs w:val="22"/>
              </w:rPr>
            </w:pPr>
            <w:r>
              <w:rPr>
                <w:rFonts w:hint="eastAsia"/>
                <w:b/>
                <w:bCs/>
                <w:color w:val="000000"/>
                <w:kern w:val="0"/>
                <w:sz w:val="22"/>
                <w:szCs w:val="22"/>
              </w:rPr>
              <w:t>4</w:t>
            </w:r>
          </w:p>
        </w:tc>
        <w:tc>
          <w:tcPr>
            <w:tcW w:w="537" w:type="pct"/>
            <w:shd w:val="clear" w:color="auto" w:fill="FFFFFF"/>
            <w:vAlign w:val="center"/>
          </w:tcPr>
          <w:p w14:paraId="0400E24E">
            <w:pPr>
              <w:widowControl/>
              <w:spacing w:line="0" w:lineRule="atLeast"/>
              <w:jc w:val="center"/>
              <w:rPr>
                <w:rFonts w:hint="eastAsia" w:eastAsia="宋体"/>
                <w:b/>
                <w:bCs/>
                <w:color w:val="000000"/>
                <w:kern w:val="0"/>
                <w:sz w:val="22"/>
                <w:szCs w:val="22"/>
                <w:highlight w:val="none"/>
                <w:lang w:eastAsia="zh-CN"/>
              </w:rPr>
            </w:pPr>
            <w:r>
              <w:rPr>
                <w:rFonts w:hint="eastAsia"/>
                <w:b/>
                <w:bCs/>
                <w:color w:val="000000"/>
                <w:kern w:val="0"/>
                <w:sz w:val="22"/>
                <w:szCs w:val="22"/>
                <w:highlight w:val="none"/>
                <w:lang w:val="en-US" w:eastAsia="zh-CN"/>
              </w:rPr>
              <w:t>4</w:t>
            </w:r>
          </w:p>
        </w:tc>
      </w:tr>
      <w:tr w14:paraId="06B1F45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06" w:hRule="atLeast"/>
          <w:jc w:val="center"/>
        </w:trPr>
        <w:tc>
          <w:tcPr>
            <w:tcW w:w="331" w:type="pct"/>
            <w:vMerge w:val="continue"/>
            <w:shd w:val="clear" w:color="auto" w:fill="FFFFFF"/>
            <w:vAlign w:val="center"/>
          </w:tcPr>
          <w:p w14:paraId="6B953309">
            <w:pPr>
              <w:widowControl/>
              <w:spacing w:line="0" w:lineRule="atLeast"/>
              <w:jc w:val="center"/>
              <w:rPr>
                <w:color w:val="000000"/>
                <w:kern w:val="0"/>
                <w:sz w:val="22"/>
                <w:szCs w:val="22"/>
              </w:rPr>
            </w:pPr>
          </w:p>
        </w:tc>
        <w:tc>
          <w:tcPr>
            <w:tcW w:w="302" w:type="pct"/>
            <w:vMerge w:val="continue"/>
            <w:shd w:val="clear" w:color="auto" w:fill="FFFFFF"/>
            <w:vAlign w:val="center"/>
          </w:tcPr>
          <w:p w14:paraId="393C7743">
            <w:pPr>
              <w:widowControl/>
              <w:spacing w:line="0" w:lineRule="atLeast"/>
              <w:jc w:val="center"/>
              <w:rPr>
                <w:color w:val="000000"/>
                <w:kern w:val="0"/>
                <w:sz w:val="22"/>
                <w:szCs w:val="22"/>
              </w:rPr>
            </w:pPr>
          </w:p>
        </w:tc>
        <w:tc>
          <w:tcPr>
            <w:tcW w:w="344" w:type="pct"/>
            <w:shd w:val="clear" w:color="auto" w:fill="FFFFFF"/>
            <w:vAlign w:val="center"/>
          </w:tcPr>
          <w:p w14:paraId="77567C49">
            <w:pPr>
              <w:widowControl/>
              <w:spacing w:line="0" w:lineRule="atLeast"/>
              <w:jc w:val="center"/>
              <w:rPr>
                <w:color w:val="000000"/>
                <w:kern w:val="0"/>
                <w:sz w:val="22"/>
                <w:szCs w:val="22"/>
              </w:rPr>
            </w:pPr>
            <w:r>
              <w:rPr>
                <w:color w:val="000000"/>
                <w:kern w:val="0"/>
                <w:sz w:val="22"/>
                <w:szCs w:val="22"/>
              </w:rPr>
              <w:t>资金分配</w:t>
            </w:r>
          </w:p>
          <w:p w14:paraId="6A5506AC">
            <w:pPr>
              <w:widowControl/>
              <w:spacing w:line="0" w:lineRule="atLeast"/>
              <w:jc w:val="center"/>
              <w:rPr>
                <w:color w:val="000000"/>
                <w:kern w:val="0"/>
                <w:sz w:val="22"/>
                <w:szCs w:val="22"/>
              </w:rPr>
            </w:pPr>
            <w:r>
              <w:rPr>
                <w:color w:val="000000"/>
                <w:kern w:val="0"/>
                <w:sz w:val="22"/>
                <w:szCs w:val="22"/>
              </w:rPr>
              <w:t>合理性</w:t>
            </w:r>
          </w:p>
        </w:tc>
        <w:tc>
          <w:tcPr>
            <w:tcW w:w="927" w:type="pct"/>
            <w:shd w:val="clear" w:color="auto" w:fill="FFFFFF"/>
            <w:vAlign w:val="center"/>
          </w:tcPr>
          <w:p w14:paraId="46C4E2DE">
            <w:pPr>
              <w:widowControl/>
              <w:spacing w:line="0" w:lineRule="atLeast"/>
              <w:rPr>
                <w:color w:val="000000"/>
                <w:kern w:val="0"/>
                <w:sz w:val="22"/>
                <w:szCs w:val="22"/>
              </w:rPr>
            </w:pPr>
            <w:r>
              <w:rPr>
                <w:color w:val="000000"/>
                <w:kern w:val="0"/>
                <w:sz w:val="22"/>
                <w:szCs w:val="22"/>
              </w:rPr>
              <w:t>项目预算资金分配是否有测算依据，与补助单位或地方实际是否相适应，用以反映和考核项目预算资金分配的科学性、合理性情况。</w:t>
            </w:r>
          </w:p>
        </w:tc>
        <w:tc>
          <w:tcPr>
            <w:tcW w:w="2044" w:type="pct"/>
            <w:shd w:val="clear" w:color="auto" w:fill="FFFFFF"/>
            <w:vAlign w:val="center"/>
          </w:tcPr>
          <w:p w14:paraId="06CF093C">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①预算资金分配依据是否充分；</w:t>
            </w:r>
            <w:r>
              <w:rPr>
                <w:color w:val="000000"/>
                <w:kern w:val="0"/>
                <w:sz w:val="22"/>
                <w:szCs w:val="22"/>
              </w:rPr>
              <w:br w:type="textWrapping"/>
            </w:r>
            <w:r>
              <w:rPr>
                <w:color w:val="000000"/>
                <w:kern w:val="0"/>
                <w:sz w:val="22"/>
                <w:szCs w:val="22"/>
              </w:rPr>
              <w:t>②资金分配额度是否合理，与项目单位或地方实际是否相适应。</w:t>
            </w:r>
          </w:p>
        </w:tc>
        <w:tc>
          <w:tcPr>
            <w:tcW w:w="512" w:type="pct"/>
            <w:shd w:val="clear" w:color="auto" w:fill="FFFFFF"/>
            <w:vAlign w:val="center"/>
          </w:tcPr>
          <w:p w14:paraId="7533220D">
            <w:pPr>
              <w:widowControl/>
              <w:spacing w:line="0" w:lineRule="atLeast"/>
              <w:jc w:val="center"/>
              <w:rPr>
                <w:b/>
                <w:bCs/>
                <w:color w:val="000000"/>
                <w:kern w:val="0"/>
                <w:sz w:val="22"/>
                <w:szCs w:val="22"/>
              </w:rPr>
            </w:pPr>
            <w:r>
              <w:rPr>
                <w:rFonts w:hint="eastAsia"/>
                <w:b/>
                <w:bCs/>
                <w:color w:val="000000"/>
                <w:kern w:val="0"/>
                <w:sz w:val="22"/>
                <w:szCs w:val="22"/>
              </w:rPr>
              <w:t>3</w:t>
            </w:r>
          </w:p>
        </w:tc>
        <w:tc>
          <w:tcPr>
            <w:tcW w:w="537" w:type="pct"/>
            <w:shd w:val="clear" w:color="auto" w:fill="FFFFFF"/>
            <w:vAlign w:val="center"/>
          </w:tcPr>
          <w:p w14:paraId="036F34B5">
            <w:pPr>
              <w:widowControl/>
              <w:spacing w:line="0" w:lineRule="atLeast"/>
              <w:jc w:val="center"/>
              <w:rPr>
                <w:rFonts w:hint="eastAsia" w:eastAsia="宋体"/>
                <w:b/>
                <w:bCs/>
                <w:color w:val="000000"/>
                <w:kern w:val="0"/>
                <w:sz w:val="22"/>
                <w:szCs w:val="22"/>
                <w:highlight w:val="none"/>
                <w:lang w:eastAsia="zh-CN"/>
              </w:rPr>
            </w:pPr>
            <w:r>
              <w:rPr>
                <w:rFonts w:hint="eastAsia"/>
                <w:b/>
                <w:bCs/>
                <w:color w:val="000000"/>
                <w:kern w:val="0"/>
                <w:sz w:val="22"/>
                <w:szCs w:val="22"/>
                <w:highlight w:val="none"/>
                <w:lang w:val="en-US" w:eastAsia="zh-CN"/>
              </w:rPr>
              <w:t>3</w:t>
            </w:r>
          </w:p>
        </w:tc>
      </w:tr>
      <w:tr w14:paraId="5E5016E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15" w:hRule="atLeast"/>
          <w:jc w:val="center"/>
        </w:trPr>
        <w:tc>
          <w:tcPr>
            <w:tcW w:w="331" w:type="pct"/>
            <w:vMerge w:val="restart"/>
            <w:shd w:val="clear" w:color="auto" w:fill="FFFFFF"/>
            <w:vAlign w:val="center"/>
          </w:tcPr>
          <w:p w14:paraId="7FB02374">
            <w:pPr>
              <w:spacing w:line="0" w:lineRule="atLeast"/>
              <w:jc w:val="center"/>
              <w:rPr>
                <w:color w:val="000000"/>
                <w:kern w:val="0"/>
                <w:sz w:val="22"/>
                <w:szCs w:val="22"/>
              </w:rPr>
            </w:pPr>
            <w:r>
              <w:rPr>
                <w:color w:val="000000"/>
                <w:kern w:val="0"/>
                <w:sz w:val="22"/>
                <w:szCs w:val="22"/>
              </w:rPr>
              <w:t>过程</w:t>
            </w:r>
          </w:p>
        </w:tc>
        <w:tc>
          <w:tcPr>
            <w:tcW w:w="302" w:type="pct"/>
            <w:vMerge w:val="restart"/>
            <w:shd w:val="clear" w:color="auto" w:fill="FFFFFF"/>
            <w:vAlign w:val="center"/>
          </w:tcPr>
          <w:p w14:paraId="3414520E">
            <w:pPr>
              <w:widowControl/>
              <w:spacing w:line="0" w:lineRule="atLeast"/>
              <w:jc w:val="center"/>
              <w:rPr>
                <w:color w:val="000000"/>
                <w:kern w:val="0"/>
                <w:sz w:val="22"/>
                <w:szCs w:val="22"/>
              </w:rPr>
            </w:pPr>
            <w:r>
              <w:rPr>
                <w:color w:val="000000"/>
                <w:kern w:val="0"/>
                <w:sz w:val="22"/>
                <w:szCs w:val="22"/>
              </w:rPr>
              <w:t>资金管理</w:t>
            </w:r>
          </w:p>
        </w:tc>
        <w:tc>
          <w:tcPr>
            <w:tcW w:w="344" w:type="pct"/>
            <w:shd w:val="clear" w:color="auto" w:fill="FFFFFF"/>
            <w:vAlign w:val="center"/>
          </w:tcPr>
          <w:p w14:paraId="65BF3ABC">
            <w:pPr>
              <w:widowControl/>
              <w:spacing w:line="0" w:lineRule="atLeast"/>
              <w:jc w:val="center"/>
              <w:rPr>
                <w:color w:val="000000"/>
                <w:kern w:val="0"/>
                <w:sz w:val="22"/>
                <w:szCs w:val="22"/>
              </w:rPr>
            </w:pPr>
            <w:r>
              <w:rPr>
                <w:color w:val="000000"/>
                <w:kern w:val="0"/>
                <w:sz w:val="22"/>
                <w:szCs w:val="22"/>
              </w:rPr>
              <w:t>资金到位率</w:t>
            </w:r>
          </w:p>
        </w:tc>
        <w:tc>
          <w:tcPr>
            <w:tcW w:w="927" w:type="pct"/>
            <w:shd w:val="clear" w:color="000000" w:fill="FFFFFF"/>
            <w:vAlign w:val="center"/>
          </w:tcPr>
          <w:p w14:paraId="211D01F2">
            <w:pPr>
              <w:widowControl/>
              <w:spacing w:line="0" w:lineRule="atLeast"/>
              <w:rPr>
                <w:color w:val="000000"/>
                <w:kern w:val="0"/>
                <w:sz w:val="22"/>
                <w:szCs w:val="22"/>
              </w:rPr>
            </w:pPr>
            <w:r>
              <w:rPr>
                <w:color w:val="000000"/>
                <w:kern w:val="0"/>
                <w:sz w:val="22"/>
                <w:szCs w:val="22"/>
              </w:rPr>
              <w:t>实际到位资金与预算资金的比率，用以反映和考核资金落实情况对项目实施的总体保障程度。</w:t>
            </w:r>
          </w:p>
        </w:tc>
        <w:tc>
          <w:tcPr>
            <w:tcW w:w="2044" w:type="pct"/>
            <w:shd w:val="clear" w:color="000000" w:fill="FFFFFF"/>
            <w:vAlign w:val="center"/>
          </w:tcPr>
          <w:p w14:paraId="0F1026F4">
            <w:pPr>
              <w:widowControl/>
              <w:spacing w:line="0" w:lineRule="atLeast"/>
              <w:rPr>
                <w:color w:val="000000"/>
                <w:kern w:val="0"/>
                <w:sz w:val="22"/>
                <w:szCs w:val="22"/>
              </w:rPr>
            </w:pPr>
            <w:r>
              <w:rPr>
                <w:color w:val="000000"/>
                <w:kern w:val="0"/>
                <w:sz w:val="22"/>
                <w:szCs w:val="22"/>
              </w:rPr>
              <w:t>资金到位率=（实际到位资金/预算资金）×100%。</w:t>
            </w:r>
          </w:p>
          <w:p w14:paraId="47E32265">
            <w:pPr>
              <w:widowControl/>
              <w:spacing w:line="0" w:lineRule="atLeast"/>
              <w:rPr>
                <w:color w:val="000000"/>
                <w:kern w:val="0"/>
                <w:sz w:val="22"/>
                <w:szCs w:val="22"/>
              </w:rPr>
            </w:pPr>
            <w:r>
              <w:rPr>
                <w:color w:val="000000"/>
                <w:kern w:val="0"/>
                <w:sz w:val="22"/>
                <w:szCs w:val="22"/>
              </w:rPr>
              <w:t>实际到位资金：一定时期（本年度或项目期）内落实到具体项目的资金。</w:t>
            </w:r>
          </w:p>
          <w:p w14:paraId="597C56A9">
            <w:pPr>
              <w:widowControl/>
              <w:spacing w:line="0" w:lineRule="atLeast"/>
              <w:rPr>
                <w:color w:val="000000"/>
                <w:kern w:val="0"/>
                <w:sz w:val="22"/>
                <w:szCs w:val="22"/>
              </w:rPr>
            </w:pPr>
            <w:r>
              <w:rPr>
                <w:color w:val="000000"/>
                <w:kern w:val="0"/>
                <w:sz w:val="22"/>
                <w:szCs w:val="22"/>
              </w:rPr>
              <w:t>预算资金：一定时期（本年度或项目期）内预算安排到具体项目的资金。</w:t>
            </w:r>
          </w:p>
        </w:tc>
        <w:tc>
          <w:tcPr>
            <w:tcW w:w="512" w:type="pct"/>
            <w:shd w:val="clear" w:color="000000" w:fill="FFFFFF"/>
            <w:vAlign w:val="center"/>
          </w:tcPr>
          <w:p w14:paraId="13E815E3">
            <w:pPr>
              <w:widowControl/>
              <w:spacing w:line="0" w:lineRule="atLeast"/>
              <w:jc w:val="center"/>
              <w:rPr>
                <w:b/>
                <w:bCs/>
                <w:color w:val="000000"/>
                <w:kern w:val="0"/>
                <w:sz w:val="22"/>
                <w:szCs w:val="22"/>
              </w:rPr>
            </w:pPr>
            <w:r>
              <w:rPr>
                <w:rFonts w:hint="eastAsia"/>
                <w:b/>
                <w:bCs/>
                <w:color w:val="000000"/>
                <w:kern w:val="0"/>
                <w:sz w:val="22"/>
                <w:szCs w:val="22"/>
              </w:rPr>
              <w:t>4</w:t>
            </w:r>
          </w:p>
        </w:tc>
        <w:tc>
          <w:tcPr>
            <w:tcW w:w="537" w:type="pct"/>
            <w:shd w:val="clear" w:color="000000" w:fill="FFFFFF"/>
            <w:vAlign w:val="center"/>
          </w:tcPr>
          <w:p w14:paraId="12F56FE3">
            <w:pPr>
              <w:widowControl/>
              <w:spacing w:line="0" w:lineRule="atLeast"/>
              <w:jc w:val="center"/>
              <w:rPr>
                <w:rFonts w:hint="eastAsia" w:eastAsia="宋体"/>
                <w:b/>
                <w:bCs/>
                <w:color w:val="000000"/>
                <w:kern w:val="0"/>
                <w:sz w:val="22"/>
                <w:szCs w:val="22"/>
                <w:highlight w:val="none"/>
                <w:lang w:eastAsia="zh-CN"/>
              </w:rPr>
            </w:pPr>
            <w:r>
              <w:rPr>
                <w:rFonts w:hint="eastAsia"/>
                <w:b/>
                <w:bCs/>
                <w:color w:val="000000"/>
                <w:kern w:val="0"/>
                <w:sz w:val="22"/>
                <w:szCs w:val="22"/>
                <w:highlight w:val="none"/>
                <w:lang w:val="en-US" w:eastAsia="zh-CN"/>
              </w:rPr>
              <w:t>4</w:t>
            </w:r>
          </w:p>
        </w:tc>
      </w:tr>
      <w:tr w14:paraId="6222F48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320" w:hRule="atLeast"/>
          <w:jc w:val="center"/>
        </w:trPr>
        <w:tc>
          <w:tcPr>
            <w:tcW w:w="331" w:type="pct"/>
            <w:vMerge w:val="continue"/>
            <w:shd w:val="clear" w:color="auto" w:fill="FFFFFF"/>
            <w:vAlign w:val="center"/>
          </w:tcPr>
          <w:p w14:paraId="0A9B8247">
            <w:pPr>
              <w:spacing w:line="0" w:lineRule="atLeast"/>
              <w:jc w:val="center"/>
              <w:rPr>
                <w:color w:val="000000"/>
                <w:kern w:val="0"/>
                <w:sz w:val="22"/>
                <w:szCs w:val="22"/>
              </w:rPr>
            </w:pPr>
          </w:p>
        </w:tc>
        <w:tc>
          <w:tcPr>
            <w:tcW w:w="302" w:type="pct"/>
            <w:vMerge w:val="continue"/>
            <w:shd w:val="clear" w:color="auto" w:fill="FFFFFF"/>
            <w:vAlign w:val="center"/>
          </w:tcPr>
          <w:p w14:paraId="44B197E0">
            <w:pPr>
              <w:spacing w:line="0" w:lineRule="atLeast"/>
              <w:jc w:val="center"/>
              <w:rPr>
                <w:color w:val="000000"/>
                <w:kern w:val="0"/>
                <w:sz w:val="22"/>
                <w:szCs w:val="22"/>
              </w:rPr>
            </w:pPr>
          </w:p>
        </w:tc>
        <w:tc>
          <w:tcPr>
            <w:tcW w:w="344" w:type="pct"/>
            <w:shd w:val="clear" w:color="auto" w:fill="FFFFFF"/>
            <w:vAlign w:val="center"/>
          </w:tcPr>
          <w:p w14:paraId="68EC1B0A">
            <w:pPr>
              <w:widowControl/>
              <w:spacing w:line="0" w:lineRule="atLeast"/>
              <w:jc w:val="center"/>
              <w:rPr>
                <w:color w:val="000000"/>
                <w:kern w:val="0"/>
                <w:sz w:val="22"/>
                <w:szCs w:val="22"/>
              </w:rPr>
            </w:pPr>
            <w:r>
              <w:rPr>
                <w:color w:val="000000"/>
                <w:kern w:val="0"/>
                <w:sz w:val="22"/>
                <w:szCs w:val="22"/>
              </w:rPr>
              <w:t>预算执行率</w:t>
            </w:r>
          </w:p>
        </w:tc>
        <w:tc>
          <w:tcPr>
            <w:tcW w:w="927" w:type="pct"/>
            <w:shd w:val="clear" w:color="auto" w:fill="FFFFFF"/>
            <w:vAlign w:val="center"/>
          </w:tcPr>
          <w:p w14:paraId="6993FB0B">
            <w:pPr>
              <w:widowControl/>
              <w:spacing w:line="0" w:lineRule="atLeast"/>
              <w:rPr>
                <w:color w:val="000000"/>
                <w:kern w:val="0"/>
                <w:sz w:val="22"/>
                <w:szCs w:val="22"/>
              </w:rPr>
            </w:pPr>
            <w:r>
              <w:rPr>
                <w:color w:val="000000"/>
                <w:kern w:val="0"/>
                <w:sz w:val="22"/>
                <w:szCs w:val="22"/>
              </w:rPr>
              <w:t>项目预算资金是否按照计划执行，用以反映或考核项目预算执行情况。</w:t>
            </w:r>
          </w:p>
        </w:tc>
        <w:tc>
          <w:tcPr>
            <w:tcW w:w="2044" w:type="pct"/>
            <w:shd w:val="clear" w:color="auto" w:fill="FFFFFF"/>
            <w:vAlign w:val="center"/>
          </w:tcPr>
          <w:p w14:paraId="44AFD104">
            <w:pPr>
              <w:widowControl/>
              <w:spacing w:line="0" w:lineRule="atLeast"/>
              <w:rPr>
                <w:color w:val="000000"/>
                <w:kern w:val="0"/>
                <w:sz w:val="22"/>
                <w:szCs w:val="22"/>
              </w:rPr>
            </w:pPr>
            <w:r>
              <w:rPr>
                <w:color w:val="000000"/>
                <w:kern w:val="0"/>
                <w:sz w:val="22"/>
                <w:szCs w:val="22"/>
              </w:rPr>
              <w:t>预算执行率=（实际支出资金/实际到位资金）×100%。</w:t>
            </w:r>
            <w:r>
              <w:rPr>
                <w:color w:val="000000"/>
                <w:kern w:val="0"/>
                <w:sz w:val="22"/>
                <w:szCs w:val="22"/>
              </w:rPr>
              <w:br w:type="textWrapping"/>
            </w:r>
            <w:r>
              <w:rPr>
                <w:color w:val="000000"/>
                <w:kern w:val="0"/>
                <w:sz w:val="22"/>
                <w:szCs w:val="22"/>
              </w:rPr>
              <w:t>实际支出资金：一定时期（本年度或项目期）内项目实际拨付的资金。</w:t>
            </w:r>
          </w:p>
        </w:tc>
        <w:tc>
          <w:tcPr>
            <w:tcW w:w="512" w:type="pct"/>
            <w:shd w:val="clear" w:color="auto" w:fill="FFFFFF"/>
            <w:vAlign w:val="center"/>
          </w:tcPr>
          <w:p w14:paraId="0BA53053">
            <w:pPr>
              <w:widowControl/>
              <w:spacing w:line="0" w:lineRule="atLeast"/>
              <w:jc w:val="center"/>
              <w:rPr>
                <w:b/>
                <w:bCs/>
                <w:color w:val="000000"/>
                <w:kern w:val="0"/>
                <w:sz w:val="22"/>
                <w:szCs w:val="22"/>
              </w:rPr>
            </w:pPr>
            <w:r>
              <w:rPr>
                <w:rFonts w:hint="eastAsia"/>
                <w:b/>
                <w:bCs/>
                <w:color w:val="000000"/>
                <w:kern w:val="0"/>
                <w:sz w:val="22"/>
                <w:szCs w:val="22"/>
              </w:rPr>
              <w:t>4</w:t>
            </w:r>
          </w:p>
        </w:tc>
        <w:tc>
          <w:tcPr>
            <w:tcW w:w="537" w:type="pct"/>
            <w:shd w:val="clear" w:color="auto" w:fill="FFFFFF"/>
            <w:vAlign w:val="center"/>
          </w:tcPr>
          <w:p w14:paraId="608EE439">
            <w:pPr>
              <w:widowControl/>
              <w:spacing w:line="0" w:lineRule="atLeast"/>
              <w:jc w:val="center"/>
              <w:rPr>
                <w:rFonts w:hint="eastAsia" w:eastAsia="宋体"/>
                <w:b/>
                <w:bCs/>
                <w:color w:val="000000"/>
                <w:kern w:val="0"/>
                <w:sz w:val="22"/>
                <w:szCs w:val="22"/>
                <w:highlight w:val="none"/>
                <w:lang w:eastAsia="zh-CN"/>
              </w:rPr>
            </w:pPr>
            <w:r>
              <w:rPr>
                <w:rFonts w:hint="eastAsia"/>
                <w:b/>
                <w:bCs/>
                <w:color w:val="000000"/>
                <w:kern w:val="0"/>
                <w:sz w:val="22"/>
                <w:szCs w:val="22"/>
                <w:highlight w:val="none"/>
                <w:lang w:val="en-US" w:eastAsia="zh-CN"/>
              </w:rPr>
              <w:t>3</w:t>
            </w:r>
          </w:p>
        </w:tc>
      </w:tr>
      <w:tr w14:paraId="1C3F5DC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331" w:type="pct"/>
            <w:vMerge w:val="restart"/>
            <w:shd w:val="clear" w:color="auto" w:fill="FFFFFF"/>
            <w:vAlign w:val="center"/>
          </w:tcPr>
          <w:p w14:paraId="0DDA81C3">
            <w:pPr>
              <w:widowControl/>
              <w:spacing w:line="0" w:lineRule="atLeast"/>
              <w:jc w:val="center"/>
              <w:rPr>
                <w:color w:val="000000"/>
                <w:kern w:val="0"/>
                <w:sz w:val="22"/>
                <w:szCs w:val="22"/>
              </w:rPr>
            </w:pPr>
            <w:r>
              <w:rPr>
                <w:color w:val="000000"/>
                <w:kern w:val="0"/>
                <w:sz w:val="22"/>
                <w:szCs w:val="22"/>
              </w:rPr>
              <w:t>　</w:t>
            </w:r>
          </w:p>
          <w:p w14:paraId="0A40ED23">
            <w:pPr>
              <w:spacing w:line="0" w:lineRule="atLeast"/>
              <w:jc w:val="center"/>
              <w:rPr>
                <w:color w:val="000000"/>
                <w:kern w:val="0"/>
                <w:sz w:val="22"/>
                <w:szCs w:val="22"/>
              </w:rPr>
            </w:pPr>
            <w:r>
              <w:rPr>
                <w:color w:val="000000"/>
                <w:kern w:val="0"/>
                <w:sz w:val="22"/>
                <w:szCs w:val="22"/>
              </w:rPr>
              <w:t>过程　</w:t>
            </w:r>
          </w:p>
        </w:tc>
        <w:tc>
          <w:tcPr>
            <w:tcW w:w="302" w:type="pct"/>
            <w:shd w:val="clear" w:color="auto" w:fill="FFFFFF"/>
            <w:vAlign w:val="center"/>
          </w:tcPr>
          <w:p w14:paraId="245D42BF">
            <w:pPr>
              <w:widowControl/>
              <w:spacing w:line="0" w:lineRule="atLeast"/>
              <w:jc w:val="center"/>
              <w:rPr>
                <w:color w:val="000000"/>
                <w:kern w:val="0"/>
                <w:sz w:val="22"/>
                <w:szCs w:val="22"/>
              </w:rPr>
            </w:pPr>
            <w:r>
              <w:rPr>
                <w:color w:val="000000"/>
                <w:kern w:val="0"/>
                <w:sz w:val="22"/>
                <w:szCs w:val="22"/>
              </w:rPr>
              <w:t>资金管理</w:t>
            </w:r>
          </w:p>
        </w:tc>
        <w:tc>
          <w:tcPr>
            <w:tcW w:w="344" w:type="pct"/>
            <w:shd w:val="clear" w:color="auto" w:fill="FFFFFF"/>
            <w:vAlign w:val="center"/>
          </w:tcPr>
          <w:p w14:paraId="21A93D18">
            <w:pPr>
              <w:widowControl/>
              <w:spacing w:line="0" w:lineRule="atLeast"/>
              <w:jc w:val="center"/>
              <w:rPr>
                <w:color w:val="000000"/>
                <w:kern w:val="0"/>
                <w:sz w:val="22"/>
                <w:szCs w:val="22"/>
              </w:rPr>
            </w:pPr>
            <w:r>
              <w:rPr>
                <w:color w:val="000000"/>
                <w:kern w:val="0"/>
                <w:sz w:val="22"/>
                <w:szCs w:val="22"/>
              </w:rPr>
              <w:t>资金使用</w:t>
            </w:r>
          </w:p>
          <w:p w14:paraId="6009E6F6">
            <w:pPr>
              <w:widowControl/>
              <w:spacing w:line="0" w:lineRule="atLeast"/>
              <w:jc w:val="center"/>
              <w:rPr>
                <w:color w:val="000000"/>
                <w:kern w:val="0"/>
                <w:sz w:val="22"/>
                <w:szCs w:val="22"/>
              </w:rPr>
            </w:pPr>
            <w:r>
              <w:rPr>
                <w:color w:val="000000"/>
                <w:kern w:val="0"/>
                <w:sz w:val="22"/>
                <w:szCs w:val="22"/>
              </w:rPr>
              <w:t>合规性</w:t>
            </w:r>
          </w:p>
        </w:tc>
        <w:tc>
          <w:tcPr>
            <w:tcW w:w="927" w:type="pct"/>
            <w:shd w:val="clear" w:color="000000" w:fill="FFFFFF"/>
            <w:vAlign w:val="center"/>
          </w:tcPr>
          <w:p w14:paraId="2C21D18D">
            <w:pPr>
              <w:widowControl/>
              <w:spacing w:line="0" w:lineRule="atLeast"/>
              <w:rPr>
                <w:color w:val="000000"/>
                <w:kern w:val="0"/>
                <w:sz w:val="22"/>
                <w:szCs w:val="22"/>
              </w:rPr>
            </w:pPr>
            <w:r>
              <w:rPr>
                <w:color w:val="000000"/>
                <w:kern w:val="0"/>
                <w:sz w:val="22"/>
                <w:szCs w:val="22"/>
              </w:rPr>
              <w:t>项目资金使用是否符合相关的财务管理制度规定，用以反映和考核项目资金的规范运行情况。</w:t>
            </w:r>
          </w:p>
        </w:tc>
        <w:tc>
          <w:tcPr>
            <w:tcW w:w="2044" w:type="pct"/>
            <w:shd w:val="clear" w:color="000000" w:fill="FFFFFF"/>
            <w:vAlign w:val="center"/>
          </w:tcPr>
          <w:p w14:paraId="44A64ABA">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①是否符合国家财经法规和财务管理制度以及有关专项资金管理办法的规定；</w:t>
            </w:r>
            <w:r>
              <w:rPr>
                <w:color w:val="000000"/>
                <w:kern w:val="0"/>
                <w:sz w:val="22"/>
                <w:szCs w:val="22"/>
              </w:rPr>
              <w:br w:type="textWrapping"/>
            </w:r>
            <w:r>
              <w:rPr>
                <w:color w:val="000000"/>
                <w:kern w:val="0"/>
                <w:sz w:val="22"/>
                <w:szCs w:val="22"/>
              </w:rPr>
              <w:t>②资金的拨付是否有完整的审批程序和手续；</w:t>
            </w:r>
            <w:r>
              <w:rPr>
                <w:color w:val="000000"/>
                <w:kern w:val="0"/>
                <w:sz w:val="22"/>
                <w:szCs w:val="22"/>
              </w:rPr>
              <w:br w:type="textWrapping"/>
            </w:r>
            <w:r>
              <w:rPr>
                <w:color w:val="000000"/>
                <w:kern w:val="0"/>
                <w:sz w:val="22"/>
                <w:szCs w:val="22"/>
              </w:rPr>
              <w:t>③是否符合项目预算批复或合同规定的用途；</w:t>
            </w:r>
            <w:r>
              <w:rPr>
                <w:color w:val="000000"/>
                <w:kern w:val="0"/>
                <w:sz w:val="22"/>
                <w:szCs w:val="22"/>
              </w:rPr>
              <w:br w:type="textWrapping"/>
            </w:r>
            <w:r>
              <w:rPr>
                <w:color w:val="000000"/>
                <w:kern w:val="0"/>
                <w:sz w:val="22"/>
                <w:szCs w:val="22"/>
              </w:rPr>
              <w:t>④是否存在截留、挤占、挪用、虚列支出等情况。</w:t>
            </w:r>
          </w:p>
        </w:tc>
        <w:tc>
          <w:tcPr>
            <w:tcW w:w="512" w:type="pct"/>
            <w:shd w:val="clear" w:color="000000" w:fill="FFFFFF"/>
            <w:vAlign w:val="center"/>
          </w:tcPr>
          <w:p w14:paraId="77ECB683">
            <w:pPr>
              <w:widowControl/>
              <w:spacing w:line="0" w:lineRule="atLeast"/>
              <w:jc w:val="center"/>
              <w:rPr>
                <w:b/>
                <w:bCs/>
                <w:color w:val="000000"/>
                <w:kern w:val="0"/>
                <w:sz w:val="22"/>
                <w:szCs w:val="22"/>
              </w:rPr>
            </w:pPr>
            <w:r>
              <w:rPr>
                <w:rFonts w:hint="eastAsia"/>
                <w:b/>
                <w:bCs/>
                <w:color w:val="000000"/>
                <w:kern w:val="0"/>
                <w:sz w:val="22"/>
                <w:szCs w:val="22"/>
              </w:rPr>
              <w:t>4</w:t>
            </w:r>
          </w:p>
        </w:tc>
        <w:tc>
          <w:tcPr>
            <w:tcW w:w="537" w:type="pct"/>
            <w:shd w:val="clear" w:color="000000" w:fill="FFFFFF"/>
            <w:vAlign w:val="center"/>
          </w:tcPr>
          <w:p w14:paraId="4BE672D2">
            <w:pPr>
              <w:widowControl/>
              <w:spacing w:line="0" w:lineRule="atLeast"/>
              <w:jc w:val="center"/>
              <w:rPr>
                <w:rFonts w:hint="eastAsia" w:eastAsia="宋体"/>
                <w:b/>
                <w:bCs/>
                <w:color w:val="000000"/>
                <w:kern w:val="0"/>
                <w:sz w:val="22"/>
                <w:szCs w:val="22"/>
                <w:highlight w:val="none"/>
                <w:lang w:eastAsia="zh-CN"/>
              </w:rPr>
            </w:pPr>
            <w:r>
              <w:rPr>
                <w:rFonts w:hint="eastAsia"/>
                <w:b/>
                <w:bCs/>
                <w:color w:val="000000"/>
                <w:kern w:val="0"/>
                <w:sz w:val="22"/>
                <w:szCs w:val="22"/>
                <w:highlight w:val="none"/>
                <w:lang w:val="en-US" w:eastAsia="zh-CN"/>
              </w:rPr>
              <w:t>4</w:t>
            </w:r>
          </w:p>
        </w:tc>
      </w:tr>
      <w:tr w14:paraId="5299EA1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97" w:hRule="atLeast"/>
          <w:jc w:val="center"/>
        </w:trPr>
        <w:tc>
          <w:tcPr>
            <w:tcW w:w="331" w:type="pct"/>
            <w:vMerge w:val="continue"/>
            <w:shd w:val="clear" w:color="auto" w:fill="FFFFFF"/>
            <w:vAlign w:val="center"/>
          </w:tcPr>
          <w:p w14:paraId="4FAB8776">
            <w:pPr>
              <w:spacing w:line="0" w:lineRule="atLeast"/>
              <w:jc w:val="center"/>
              <w:rPr>
                <w:color w:val="000000"/>
                <w:kern w:val="0"/>
                <w:sz w:val="22"/>
                <w:szCs w:val="22"/>
              </w:rPr>
            </w:pPr>
          </w:p>
        </w:tc>
        <w:tc>
          <w:tcPr>
            <w:tcW w:w="302" w:type="pct"/>
            <w:vMerge w:val="restart"/>
            <w:shd w:val="clear" w:color="auto" w:fill="FFFFFF"/>
            <w:vAlign w:val="center"/>
          </w:tcPr>
          <w:p w14:paraId="76C5B36C">
            <w:pPr>
              <w:widowControl/>
              <w:spacing w:line="0" w:lineRule="atLeast"/>
              <w:jc w:val="center"/>
              <w:rPr>
                <w:color w:val="000000"/>
                <w:kern w:val="0"/>
                <w:sz w:val="22"/>
                <w:szCs w:val="22"/>
              </w:rPr>
            </w:pPr>
            <w:r>
              <w:rPr>
                <w:color w:val="000000"/>
                <w:kern w:val="0"/>
                <w:sz w:val="22"/>
                <w:szCs w:val="22"/>
              </w:rPr>
              <w:t>组织实施</w:t>
            </w:r>
          </w:p>
          <w:p w14:paraId="3FEC591D">
            <w:pPr>
              <w:spacing w:line="0" w:lineRule="atLeast"/>
              <w:jc w:val="center"/>
              <w:rPr>
                <w:color w:val="000000"/>
                <w:kern w:val="0"/>
                <w:sz w:val="22"/>
                <w:szCs w:val="22"/>
              </w:rPr>
            </w:pPr>
            <w:r>
              <w:rPr>
                <w:color w:val="000000"/>
                <w:kern w:val="0"/>
                <w:sz w:val="22"/>
                <w:szCs w:val="22"/>
              </w:rPr>
              <w:t>　</w:t>
            </w:r>
          </w:p>
        </w:tc>
        <w:tc>
          <w:tcPr>
            <w:tcW w:w="344" w:type="pct"/>
            <w:shd w:val="clear" w:color="auto" w:fill="FFFFFF"/>
            <w:vAlign w:val="center"/>
          </w:tcPr>
          <w:p w14:paraId="2C354C07">
            <w:pPr>
              <w:widowControl/>
              <w:spacing w:line="0" w:lineRule="atLeast"/>
              <w:jc w:val="center"/>
              <w:rPr>
                <w:color w:val="000000"/>
                <w:kern w:val="0"/>
                <w:sz w:val="22"/>
                <w:szCs w:val="22"/>
              </w:rPr>
            </w:pPr>
            <w:r>
              <w:rPr>
                <w:color w:val="000000"/>
                <w:kern w:val="0"/>
                <w:sz w:val="22"/>
                <w:szCs w:val="22"/>
              </w:rPr>
              <w:t>管理制度</w:t>
            </w:r>
          </w:p>
          <w:p w14:paraId="1244469B">
            <w:pPr>
              <w:widowControl/>
              <w:spacing w:line="0" w:lineRule="atLeast"/>
              <w:jc w:val="center"/>
              <w:rPr>
                <w:color w:val="000000"/>
                <w:kern w:val="0"/>
                <w:sz w:val="22"/>
                <w:szCs w:val="22"/>
              </w:rPr>
            </w:pPr>
            <w:r>
              <w:rPr>
                <w:color w:val="000000"/>
                <w:kern w:val="0"/>
                <w:sz w:val="22"/>
                <w:szCs w:val="22"/>
              </w:rPr>
              <w:t>健全性</w:t>
            </w:r>
          </w:p>
        </w:tc>
        <w:tc>
          <w:tcPr>
            <w:tcW w:w="927" w:type="pct"/>
            <w:shd w:val="clear" w:color="000000" w:fill="FFFFFF"/>
            <w:vAlign w:val="center"/>
          </w:tcPr>
          <w:p w14:paraId="211E0E51">
            <w:pPr>
              <w:widowControl/>
              <w:spacing w:line="0" w:lineRule="atLeast"/>
              <w:rPr>
                <w:color w:val="000000"/>
                <w:kern w:val="0"/>
                <w:sz w:val="22"/>
                <w:szCs w:val="22"/>
              </w:rPr>
            </w:pPr>
            <w:r>
              <w:rPr>
                <w:color w:val="000000"/>
                <w:kern w:val="0"/>
                <w:sz w:val="22"/>
                <w:szCs w:val="22"/>
              </w:rPr>
              <w:t>项目实施单位的财务和业务管理制度是否健全，用以反映和考核财务和业务管理制度对项目顺利实施的保障情况。</w:t>
            </w:r>
          </w:p>
        </w:tc>
        <w:tc>
          <w:tcPr>
            <w:tcW w:w="2044" w:type="pct"/>
            <w:shd w:val="clear" w:color="000000" w:fill="FFFFFF"/>
            <w:vAlign w:val="center"/>
          </w:tcPr>
          <w:p w14:paraId="64AD5431">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①是否已制定或具有相应的财务和业务管理制度；</w:t>
            </w:r>
            <w:r>
              <w:rPr>
                <w:color w:val="000000"/>
                <w:kern w:val="0"/>
                <w:sz w:val="22"/>
                <w:szCs w:val="22"/>
              </w:rPr>
              <w:br w:type="textWrapping"/>
            </w:r>
            <w:r>
              <w:rPr>
                <w:color w:val="000000"/>
                <w:kern w:val="0"/>
                <w:sz w:val="22"/>
                <w:szCs w:val="22"/>
              </w:rPr>
              <w:t>②财务和业务管理制度是否合法、合规、完整。</w:t>
            </w:r>
          </w:p>
        </w:tc>
        <w:tc>
          <w:tcPr>
            <w:tcW w:w="512" w:type="pct"/>
            <w:shd w:val="clear" w:color="000000" w:fill="FFFFFF"/>
            <w:vAlign w:val="center"/>
          </w:tcPr>
          <w:p w14:paraId="28B782F9">
            <w:pPr>
              <w:widowControl/>
              <w:spacing w:line="0" w:lineRule="atLeast"/>
              <w:jc w:val="center"/>
              <w:rPr>
                <w:b/>
                <w:bCs/>
                <w:color w:val="000000"/>
                <w:kern w:val="0"/>
                <w:sz w:val="22"/>
                <w:szCs w:val="22"/>
              </w:rPr>
            </w:pPr>
            <w:r>
              <w:rPr>
                <w:rFonts w:hint="eastAsia"/>
                <w:b/>
                <w:bCs/>
                <w:color w:val="000000"/>
                <w:kern w:val="0"/>
                <w:sz w:val="22"/>
                <w:szCs w:val="22"/>
              </w:rPr>
              <w:t>4</w:t>
            </w:r>
          </w:p>
        </w:tc>
        <w:tc>
          <w:tcPr>
            <w:tcW w:w="537" w:type="pct"/>
            <w:shd w:val="clear" w:color="000000" w:fill="FFFFFF"/>
            <w:vAlign w:val="center"/>
          </w:tcPr>
          <w:p w14:paraId="05551BB2">
            <w:pPr>
              <w:widowControl/>
              <w:spacing w:line="0" w:lineRule="atLeast"/>
              <w:jc w:val="center"/>
              <w:rPr>
                <w:rFonts w:hint="eastAsia" w:eastAsia="宋体"/>
                <w:b/>
                <w:bCs/>
                <w:color w:val="000000"/>
                <w:kern w:val="0"/>
                <w:sz w:val="22"/>
                <w:szCs w:val="22"/>
                <w:highlight w:val="none"/>
                <w:lang w:eastAsia="zh-CN"/>
              </w:rPr>
            </w:pPr>
            <w:r>
              <w:rPr>
                <w:rFonts w:hint="eastAsia"/>
                <w:b/>
                <w:bCs/>
                <w:color w:val="000000"/>
                <w:kern w:val="0"/>
                <w:sz w:val="22"/>
                <w:szCs w:val="22"/>
                <w:highlight w:val="none"/>
                <w:lang w:val="en-US" w:eastAsia="zh-CN"/>
              </w:rPr>
              <w:t>4</w:t>
            </w:r>
          </w:p>
        </w:tc>
      </w:tr>
      <w:tr w14:paraId="58430BD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69" w:hRule="atLeast"/>
          <w:jc w:val="center"/>
        </w:trPr>
        <w:tc>
          <w:tcPr>
            <w:tcW w:w="331" w:type="pct"/>
            <w:vMerge w:val="continue"/>
            <w:shd w:val="clear" w:color="auto" w:fill="FFFFFF"/>
            <w:vAlign w:val="center"/>
          </w:tcPr>
          <w:p w14:paraId="0F30691C">
            <w:pPr>
              <w:widowControl/>
              <w:spacing w:line="0" w:lineRule="atLeast"/>
              <w:jc w:val="center"/>
              <w:rPr>
                <w:color w:val="000000"/>
                <w:kern w:val="0"/>
                <w:sz w:val="22"/>
                <w:szCs w:val="22"/>
              </w:rPr>
            </w:pPr>
          </w:p>
        </w:tc>
        <w:tc>
          <w:tcPr>
            <w:tcW w:w="302" w:type="pct"/>
            <w:vMerge w:val="continue"/>
            <w:shd w:val="clear" w:color="auto" w:fill="FFFFFF"/>
            <w:vAlign w:val="center"/>
          </w:tcPr>
          <w:p w14:paraId="321A09D9">
            <w:pPr>
              <w:widowControl/>
              <w:spacing w:line="0" w:lineRule="atLeast"/>
              <w:jc w:val="center"/>
              <w:rPr>
                <w:color w:val="000000"/>
                <w:kern w:val="0"/>
                <w:sz w:val="22"/>
                <w:szCs w:val="22"/>
              </w:rPr>
            </w:pPr>
          </w:p>
        </w:tc>
        <w:tc>
          <w:tcPr>
            <w:tcW w:w="344" w:type="pct"/>
            <w:shd w:val="clear" w:color="auto" w:fill="FFFFFF"/>
            <w:vAlign w:val="center"/>
          </w:tcPr>
          <w:p w14:paraId="2AC38DD4">
            <w:pPr>
              <w:widowControl/>
              <w:spacing w:line="0" w:lineRule="atLeast"/>
              <w:jc w:val="center"/>
              <w:rPr>
                <w:color w:val="000000"/>
                <w:kern w:val="0"/>
                <w:sz w:val="22"/>
                <w:szCs w:val="22"/>
              </w:rPr>
            </w:pPr>
            <w:r>
              <w:rPr>
                <w:color w:val="000000"/>
                <w:kern w:val="0"/>
                <w:sz w:val="22"/>
                <w:szCs w:val="22"/>
              </w:rPr>
              <w:t>制度执行</w:t>
            </w:r>
          </w:p>
          <w:p w14:paraId="0491DB93">
            <w:pPr>
              <w:widowControl/>
              <w:spacing w:line="0" w:lineRule="atLeast"/>
              <w:jc w:val="center"/>
              <w:rPr>
                <w:color w:val="000000"/>
                <w:kern w:val="0"/>
                <w:sz w:val="22"/>
                <w:szCs w:val="22"/>
              </w:rPr>
            </w:pPr>
            <w:r>
              <w:rPr>
                <w:color w:val="000000"/>
                <w:kern w:val="0"/>
                <w:sz w:val="22"/>
                <w:szCs w:val="22"/>
              </w:rPr>
              <w:t>有效性</w:t>
            </w:r>
          </w:p>
        </w:tc>
        <w:tc>
          <w:tcPr>
            <w:tcW w:w="927" w:type="pct"/>
            <w:shd w:val="clear" w:color="000000" w:fill="FFFFFF"/>
            <w:vAlign w:val="center"/>
          </w:tcPr>
          <w:p w14:paraId="69F17C39">
            <w:pPr>
              <w:widowControl/>
              <w:spacing w:line="0" w:lineRule="atLeast"/>
              <w:rPr>
                <w:color w:val="000000"/>
                <w:kern w:val="0"/>
                <w:sz w:val="22"/>
                <w:szCs w:val="22"/>
              </w:rPr>
            </w:pPr>
            <w:r>
              <w:rPr>
                <w:color w:val="000000"/>
                <w:kern w:val="0"/>
                <w:sz w:val="22"/>
                <w:szCs w:val="22"/>
              </w:rPr>
              <w:t>项目实施是否符合相关管理规定，用以反映和考核相关管理制度的有效执行情况。</w:t>
            </w:r>
          </w:p>
        </w:tc>
        <w:tc>
          <w:tcPr>
            <w:tcW w:w="2044" w:type="pct"/>
            <w:shd w:val="clear" w:color="000000" w:fill="FFFFFF"/>
            <w:vAlign w:val="center"/>
          </w:tcPr>
          <w:p w14:paraId="1ADB5221">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①是否遵守相关法律法规和相关管理规定；</w:t>
            </w:r>
            <w:r>
              <w:rPr>
                <w:color w:val="000000"/>
                <w:kern w:val="0"/>
                <w:sz w:val="22"/>
                <w:szCs w:val="22"/>
              </w:rPr>
              <w:br w:type="textWrapping"/>
            </w:r>
            <w:r>
              <w:rPr>
                <w:color w:val="000000"/>
                <w:kern w:val="0"/>
                <w:sz w:val="22"/>
                <w:szCs w:val="22"/>
              </w:rPr>
              <w:t>②项目调整及支出调整手续是否完备；</w:t>
            </w:r>
            <w:r>
              <w:rPr>
                <w:color w:val="000000"/>
                <w:kern w:val="0"/>
                <w:sz w:val="22"/>
                <w:szCs w:val="22"/>
              </w:rPr>
              <w:br w:type="textWrapping"/>
            </w:r>
            <w:r>
              <w:rPr>
                <w:color w:val="000000"/>
                <w:kern w:val="0"/>
                <w:sz w:val="22"/>
                <w:szCs w:val="22"/>
              </w:rPr>
              <w:t>③项目合同书、验收报告、技术鉴定等资料是否齐全并及时归档；</w:t>
            </w:r>
            <w:r>
              <w:rPr>
                <w:color w:val="000000"/>
                <w:kern w:val="0"/>
                <w:sz w:val="22"/>
                <w:szCs w:val="22"/>
              </w:rPr>
              <w:br w:type="textWrapping"/>
            </w:r>
            <w:r>
              <w:rPr>
                <w:color w:val="000000"/>
                <w:kern w:val="0"/>
                <w:sz w:val="22"/>
                <w:szCs w:val="22"/>
              </w:rPr>
              <w:t>④项目实施的人员条件、场地设备、信息支撑等是否落实到位。</w:t>
            </w:r>
          </w:p>
        </w:tc>
        <w:tc>
          <w:tcPr>
            <w:tcW w:w="512" w:type="pct"/>
            <w:shd w:val="clear" w:color="000000" w:fill="FFFFFF"/>
            <w:vAlign w:val="center"/>
          </w:tcPr>
          <w:p w14:paraId="1025A831">
            <w:pPr>
              <w:widowControl/>
              <w:spacing w:line="0" w:lineRule="atLeast"/>
              <w:jc w:val="center"/>
              <w:rPr>
                <w:b/>
                <w:bCs/>
                <w:color w:val="000000"/>
                <w:kern w:val="0"/>
                <w:sz w:val="22"/>
                <w:szCs w:val="22"/>
              </w:rPr>
            </w:pPr>
            <w:r>
              <w:rPr>
                <w:rFonts w:hint="eastAsia"/>
                <w:b/>
                <w:bCs/>
                <w:color w:val="000000"/>
                <w:kern w:val="0"/>
                <w:sz w:val="22"/>
                <w:szCs w:val="22"/>
              </w:rPr>
              <w:t>4</w:t>
            </w:r>
          </w:p>
        </w:tc>
        <w:tc>
          <w:tcPr>
            <w:tcW w:w="537" w:type="pct"/>
            <w:shd w:val="clear" w:color="000000" w:fill="FFFFFF"/>
            <w:vAlign w:val="center"/>
          </w:tcPr>
          <w:p w14:paraId="3663BCBA">
            <w:pPr>
              <w:widowControl/>
              <w:spacing w:line="0" w:lineRule="atLeast"/>
              <w:jc w:val="center"/>
              <w:rPr>
                <w:rFonts w:hint="eastAsia" w:eastAsia="宋体"/>
                <w:b/>
                <w:bCs/>
                <w:color w:val="000000"/>
                <w:kern w:val="0"/>
                <w:sz w:val="22"/>
                <w:szCs w:val="22"/>
                <w:highlight w:val="none"/>
                <w:lang w:eastAsia="zh-CN"/>
              </w:rPr>
            </w:pPr>
            <w:r>
              <w:rPr>
                <w:rFonts w:hint="eastAsia"/>
                <w:b/>
                <w:bCs/>
                <w:color w:val="000000"/>
                <w:kern w:val="0"/>
                <w:sz w:val="22"/>
                <w:szCs w:val="22"/>
                <w:highlight w:val="none"/>
                <w:lang w:val="en-US" w:eastAsia="zh-CN"/>
              </w:rPr>
              <w:t>4</w:t>
            </w:r>
          </w:p>
        </w:tc>
      </w:tr>
      <w:tr w14:paraId="26AEEB8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7" w:hRule="atLeast"/>
          <w:jc w:val="center"/>
        </w:trPr>
        <w:tc>
          <w:tcPr>
            <w:tcW w:w="331" w:type="pct"/>
            <w:shd w:val="clear" w:color="auto" w:fill="FFFFFF"/>
            <w:vAlign w:val="center"/>
          </w:tcPr>
          <w:p w14:paraId="27A3392A">
            <w:pPr>
              <w:widowControl/>
              <w:spacing w:line="0" w:lineRule="atLeast"/>
              <w:jc w:val="center"/>
              <w:rPr>
                <w:color w:val="000000"/>
                <w:kern w:val="0"/>
                <w:sz w:val="22"/>
                <w:szCs w:val="22"/>
              </w:rPr>
            </w:pPr>
            <w:r>
              <w:rPr>
                <w:color w:val="000000"/>
                <w:kern w:val="0"/>
                <w:sz w:val="22"/>
                <w:szCs w:val="22"/>
              </w:rPr>
              <w:t>产出</w:t>
            </w:r>
          </w:p>
        </w:tc>
        <w:tc>
          <w:tcPr>
            <w:tcW w:w="302" w:type="pct"/>
            <w:shd w:val="clear" w:color="auto" w:fill="FFFFFF"/>
            <w:vAlign w:val="center"/>
          </w:tcPr>
          <w:p w14:paraId="734C8CAC">
            <w:pPr>
              <w:widowControl/>
              <w:spacing w:line="0" w:lineRule="atLeast"/>
              <w:jc w:val="center"/>
              <w:rPr>
                <w:color w:val="000000"/>
                <w:kern w:val="0"/>
                <w:sz w:val="22"/>
                <w:szCs w:val="22"/>
              </w:rPr>
            </w:pPr>
            <w:r>
              <w:rPr>
                <w:color w:val="000000"/>
                <w:kern w:val="0"/>
                <w:sz w:val="22"/>
                <w:szCs w:val="22"/>
              </w:rPr>
              <w:t>产出数量</w:t>
            </w:r>
          </w:p>
        </w:tc>
        <w:tc>
          <w:tcPr>
            <w:tcW w:w="344" w:type="pct"/>
            <w:shd w:val="clear" w:color="auto" w:fill="FFFFFF"/>
            <w:vAlign w:val="center"/>
          </w:tcPr>
          <w:p w14:paraId="22F4CEE1">
            <w:pPr>
              <w:widowControl/>
              <w:spacing w:line="0" w:lineRule="atLeast"/>
              <w:jc w:val="center"/>
              <w:rPr>
                <w:color w:val="000000"/>
                <w:kern w:val="0"/>
                <w:sz w:val="22"/>
                <w:szCs w:val="22"/>
              </w:rPr>
            </w:pPr>
            <w:r>
              <w:rPr>
                <w:color w:val="000000"/>
                <w:kern w:val="0"/>
                <w:sz w:val="22"/>
                <w:szCs w:val="22"/>
              </w:rPr>
              <w:t>实际完成率</w:t>
            </w:r>
          </w:p>
        </w:tc>
        <w:tc>
          <w:tcPr>
            <w:tcW w:w="927" w:type="pct"/>
            <w:shd w:val="clear" w:color="000000" w:fill="FFFFFF"/>
            <w:vAlign w:val="center"/>
          </w:tcPr>
          <w:p w14:paraId="4A654704">
            <w:pPr>
              <w:widowControl/>
              <w:spacing w:line="0" w:lineRule="atLeast"/>
              <w:rPr>
                <w:color w:val="000000"/>
                <w:kern w:val="0"/>
                <w:sz w:val="22"/>
                <w:szCs w:val="22"/>
              </w:rPr>
            </w:pPr>
            <w:r>
              <w:rPr>
                <w:color w:val="000000"/>
                <w:kern w:val="0"/>
                <w:sz w:val="22"/>
                <w:szCs w:val="22"/>
              </w:rPr>
              <w:t>项目实施的实际产出数与计划产出数的比率，用以反映和考核项目产出数量目标的实现程度。</w:t>
            </w:r>
          </w:p>
        </w:tc>
        <w:tc>
          <w:tcPr>
            <w:tcW w:w="2044" w:type="pct"/>
            <w:shd w:val="clear" w:color="000000" w:fill="FFFFFF"/>
            <w:vAlign w:val="center"/>
          </w:tcPr>
          <w:p w14:paraId="43BEB5FD">
            <w:pPr>
              <w:widowControl/>
              <w:spacing w:line="0" w:lineRule="atLeast"/>
              <w:rPr>
                <w:color w:val="000000"/>
                <w:kern w:val="0"/>
                <w:sz w:val="22"/>
                <w:szCs w:val="22"/>
              </w:rPr>
            </w:pPr>
            <w:r>
              <w:rPr>
                <w:color w:val="000000"/>
                <w:kern w:val="0"/>
                <w:sz w:val="22"/>
                <w:szCs w:val="22"/>
              </w:rPr>
              <w:t>实际完成率=（实际产出数/计划产出数）×100%。</w:t>
            </w:r>
            <w:r>
              <w:rPr>
                <w:color w:val="000000"/>
                <w:kern w:val="0"/>
                <w:sz w:val="22"/>
                <w:szCs w:val="22"/>
              </w:rPr>
              <w:br w:type="textWrapping"/>
            </w:r>
            <w:r>
              <w:rPr>
                <w:color w:val="000000"/>
                <w:kern w:val="0"/>
                <w:sz w:val="22"/>
                <w:szCs w:val="22"/>
              </w:rPr>
              <w:t>实际产出数：一定时期（本年度或项目期）内项目实际产出的产品或提供的服务数量。</w:t>
            </w:r>
            <w:r>
              <w:rPr>
                <w:color w:val="000000"/>
                <w:kern w:val="0"/>
                <w:sz w:val="22"/>
                <w:szCs w:val="22"/>
              </w:rPr>
              <w:br w:type="textWrapping"/>
            </w:r>
            <w:r>
              <w:rPr>
                <w:color w:val="000000"/>
                <w:kern w:val="0"/>
                <w:sz w:val="22"/>
                <w:szCs w:val="22"/>
              </w:rPr>
              <w:t>计划产出数：项目绩效目标确定的在一定时期（本年度或项目期）内计划产出的产品或提供的服务数量。</w:t>
            </w:r>
          </w:p>
        </w:tc>
        <w:tc>
          <w:tcPr>
            <w:tcW w:w="512" w:type="pct"/>
            <w:shd w:val="clear" w:color="000000" w:fill="FFFFFF"/>
            <w:vAlign w:val="center"/>
          </w:tcPr>
          <w:p w14:paraId="58AAB5AF">
            <w:pPr>
              <w:widowControl/>
              <w:spacing w:line="0" w:lineRule="atLeast"/>
              <w:jc w:val="center"/>
              <w:rPr>
                <w:b/>
                <w:bCs/>
                <w:color w:val="000000"/>
                <w:kern w:val="0"/>
                <w:sz w:val="22"/>
                <w:szCs w:val="22"/>
              </w:rPr>
            </w:pPr>
            <w:r>
              <w:rPr>
                <w:b/>
                <w:bCs/>
                <w:color w:val="000000"/>
                <w:kern w:val="0"/>
                <w:sz w:val="22"/>
                <w:szCs w:val="22"/>
              </w:rPr>
              <w:t>1</w:t>
            </w:r>
            <w:r>
              <w:rPr>
                <w:rFonts w:hint="eastAsia"/>
                <w:b/>
                <w:bCs/>
                <w:color w:val="000000"/>
                <w:kern w:val="0"/>
                <w:sz w:val="22"/>
                <w:szCs w:val="22"/>
              </w:rPr>
              <w:t>0</w:t>
            </w:r>
          </w:p>
        </w:tc>
        <w:tc>
          <w:tcPr>
            <w:tcW w:w="537" w:type="pct"/>
            <w:shd w:val="clear" w:color="000000" w:fill="FFFFFF"/>
            <w:vAlign w:val="center"/>
          </w:tcPr>
          <w:p w14:paraId="147B3E08">
            <w:pPr>
              <w:widowControl/>
              <w:spacing w:line="0" w:lineRule="atLeast"/>
              <w:jc w:val="center"/>
              <w:rPr>
                <w:rFonts w:hint="eastAsia" w:eastAsia="宋体"/>
                <w:b/>
                <w:bCs/>
                <w:color w:val="000000"/>
                <w:kern w:val="0"/>
                <w:sz w:val="22"/>
                <w:szCs w:val="22"/>
                <w:highlight w:val="none"/>
                <w:lang w:eastAsia="zh-CN"/>
              </w:rPr>
            </w:pPr>
            <w:r>
              <w:rPr>
                <w:rFonts w:hint="eastAsia"/>
                <w:b/>
                <w:bCs/>
                <w:color w:val="000000"/>
                <w:kern w:val="0"/>
                <w:sz w:val="22"/>
                <w:szCs w:val="22"/>
                <w:highlight w:val="none"/>
                <w:lang w:val="en-US" w:eastAsia="zh-CN"/>
              </w:rPr>
              <w:t>8</w:t>
            </w:r>
          </w:p>
        </w:tc>
      </w:tr>
      <w:tr w14:paraId="7F09F4C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18" w:hRule="atLeast"/>
          <w:jc w:val="center"/>
        </w:trPr>
        <w:tc>
          <w:tcPr>
            <w:tcW w:w="331" w:type="pct"/>
            <w:vMerge w:val="restart"/>
            <w:shd w:val="clear" w:color="auto" w:fill="FFFFFF"/>
            <w:vAlign w:val="center"/>
          </w:tcPr>
          <w:p w14:paraId="217334D1">
            <w:pPr>
              <w:widowControl/>
              <w:spacing w:line="0" w:lineRule="atLeast"/>
              <w:jc w:val="center"/>
              <w:rPr>
                <w:color w:val="000000"/>
                <w:kern w:val="0"/>
                <w:sz w:val="22"/>
                <w:szCs w:val="22"/>
              </w:rPr>
            </w:pPr>
            <w:r>
              <w:rPr>
                <w:color w:val="000000"/>
                <w:kern w:val="0"/>
                <w:sz w:val="22"/>
                <w:szCs w:val="22"/>
              </w:rPr>
              <w:t>产出</w:t>
            </w:r>
          </w:p>
        </w:tc>
        <w:tc>
          <w:tcPr>
            <w:tcW w:w="302" w:type="pct"/>
            <w:shd w:val="clear" w:color="auto" w:fill="FFFFFF"/>
            <w:vAlign w:val="center"/>
          </w:tcPr>
          <w:p w14:paraId="44819957">
            <w:pPr>
              <w:widowControl/>
              <w:spacing w:line="0" w:lineRule="atLeast"/>
              <w:jc w:val="center"/>
              <w:rPr>
                <w:color w:val="000000"/>
                <w:kern w:val="0"/>
                <w:sz w:val="22"/>
                <w:szCs w:val="22"/>
              </w:rPr>
            </w:pPr>
            <w:r>
              <w:rPr>
                <w:color w:val="000000"/>
                <w:kern w:val="0"/>
                <w:sz w:val="22"/>
                <w:szCs w:val="22"/>
              </w:rPr>
              <w:t>产出质量</w:t>
            </w:r>
          </w:p>
        </w:tc>
        <w:tc>
          <w:tcPr>
            <w:tcW w:w="344" w:type="pct"/>
            <w:shd w:val="clear" w:color="auto" w:fill="FFFFFF"/>
            <w:vAlign w:val="center"/>
          </w:tcPr>
          <w:p w14:paraId="0847EF12">
            <w:pPr>
              <w:widowControl/>
              <w:spacing w:line="0" w:lineRule="atLeast"/>
              <w:jc w:val="center"/>
              <w:rPr>
                <w:color w:val="000000"/>
                <w:kern w:val="0"/>
                <w:sz w:val="22"/>
                <w:szCs w:val="22"/>
              </w:rPr>
            </w:pPr>
            <w:r>
              <w:rPr>
                <w:color w:val="000000"/>
                <w:kern w:val="0"/>
                <w:sz w:val="22"/>
                <w:szCs w:val="22"/>
              </w:rPr>
              <w:t>质量达标率</w:t>
            </w:r>
          </w:p>
        </w:tc>
        <w:tc>
          <w:tcPr>
            <w:tcW w:w="927" w:type="pct"/>
            <w:shd w:val="clear" w:color="000000" w:fill="FFFFFF"/>
            <w:vAlign w:val="center"/>
          </w:tcPr>
          <w:p w14:paraId="7DC7EF4F">
            <w:pPr>
              <w:widowControl/>
              <w:spacing w:line="0" w:lineRule="atLeast"/>
              <w:rPr>
                <w:color w:val="000000"/>
                <w:kern w:val="0"/>
                <w:sz w:val="22"/>
                <w:szCs w:val="22"/>
              </w:rPr>
            </w:pPr>
            <w:r>
              <w:rPr>
                <w:color w:val="000000"/>
                <w:kern w:val="0"/>
                <w:sz w:val="22"/>
                <w:szCs w:val="22"/>
              </w:rPr>
              <w:t>项目完成的质量达标产出数与实际产出数的比率，用以反映和考核项目产出质量目标的实现程度。</w:t>
            </w:r>
          </w:p>
        </w:tc>
        <w:tc>
          <w:tcPr>
            <w:tcW w:w="2044" w:type="pct"/>
            <w:shd w:val="clear" w:color="000000" w:fill="FFFFFF"/>
            <w:vAlign w:val="center"/>
          </w:tcPr>
          <w:p w14:paraId="3D28F0F5">
            <w:pPr>
              <w:widowControl/>
              <w:spacing w:line="0" w:lineRule="atLeast"/>
              <w:rPr>
                <w:color w:val="000000"/>
                <w:kern w:val="0"/>
                <w:sz w:val="22"/>
                <w:szCs w:val="22"/>
              </w:rPr>
            </w:pPr>
            <w:r>
              <w:rPr>
                <w:color w:val="000000"/>
                <w:kern w:val="0"/>
                <w:sz w:val="22"/>
                <w:szCs w:val="22"/>
              </w:rPr>
              <w:t>质量达标率=（质量达标产出数/实际产出数）×100%。</w:t>
            </w:r>
          </w:p>
          <w:p w14:paraId="3E6E6F71">
            <w:pPr>
              <w:widowControl/>
              <w:spacing w:line="0" w:lineRule="atLeast"/>
              <w:rPr>
                <w:color w:val="000000"/>
                <w:kern w:val="0"/>
                <w:sz w:val="22"/>
                <w:szCs w:val="22"/>
              </w:rPr>
            </w:pPr>
            <w:r>
              <w:rPr>
                <w:color w:val="000000"/>
                <w:kern w:val="0"/>
                <w:sz w:val="22"/>
                <w:szCs w:val="22"/>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512" w:type="pct"/>
            <w:shd w:val="clear" w:color="000000" w:fill="FFFFFF"/>
            <w:vAlign w:val="center"/>
          </w:tcPr>
          <w:p w14:paraId="6928CC51">
            <w:pPr>
              <w:widowControl/>
              <w:spacing w:line="0" w:lineRule="atLeast"/>
              <w:jc w:val="center"/>
              <w:rPr>
                <w:b/>
                <w:bCs/>
                <w:color w:val="000000"/>
                <w:kern w:val="0"/>
                <w:sz w:val="22"/>
                <w:szCs w:val="22"/>
              </w:rPr>
            </w:pPr>
            <w:r>
              <w:rPr>
                <w:b/>
                <w:bCs/>
                <w:color w:val="000000"/>
                <w:kern w:val="0"/>
                <w:sz w:val="22"/>
                <w:szCs w:val="22"/>
              </w:rPr>
              <w:t>10</w:t>
            </w:r>
          </w:p>
        </w:tc>
        <w:tc>
          <w:tcPr>
            <w:tcW w:w="537" w:type="pct"/>
            <w:shd w:val="clear" w:color="000000" w:fill="FFFFFF"/>
            <w:vAlign w:val="center"/>
          </w:tcPr>
          <w:p w14:paraId="166BC3BA">
            <w:pPr>
              <w:widowControl/>
              <w:spacing w:line="0" w:lineRule="atLeast"/>
              <w:jc w:val="center"/>
              <w:rPr>
                <w:rFonts w:hint="default" w:eastAsia="宋体"/>
                <w:b/>
                <w:bCs/>
                <w:color w:val="000000"/>
                <w:kern w:val="0"/>
                <w:sz w:val="22"/>
                <w:szCs w:val="22"/>
                <w:highlight w:val="none"/>
                <w:lang w:val="en-US" w:eastAsia="zh-CN"/>
              </w:rPr>
            </w:pPr>
            <w:r>
              <w:rPr>
                <w:rFonts w:hint="eastAsia"/>
                <w:b/>
                <w:bCs/>
                <w:color w:val="000000"/>
                <w:kern w:val="0"/>
                <w:sz w:val="22"/>
                <w:szCs w:val="22"/>
                <w:highlight w:val="none"/>
                <w:lang w:val="en-US" w:eastAsia="zh-CN"/>
              </w:rPr>
              <w:t>10</w:t>
            </w:r>
          </w:p>
        </w:tc>
      </w:tr>
      <w:tr w14:paraId="49F1D51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06" w:hRule="atLeast"/>
          <w:jc w:val="center"/>
        </w:trPr>
        <w:tc>
          <w:tcPr>
            <w:tcW w:w="331" w:type="pct"/>
            <w:vMerge w:val="continue"/>
            <w:shd w:val="clear" w:color="auto" w:fill="FFFFFF"/>
            <w:vAlign w:val="center"/>
          </w:tcPr>
          <w:p w14:paraId="4F863C98">
            <w:pPr>
              <w:spacing w:line="0" w:lineRule="atLeast"/>
              <w:jc w:val="center"/>
              <w:rPr>
                <w:color w:val="000000"/>
                <w:kern w:val="0"/>
                <w:sz w:val="22"/>
                <w:szCs w:val="22"/>
              </w:rPr>
            </w:pPr>
          </w:p>
        </w:tc>
        <w:tc>
          <w:tcPr>
            <w:tcW w:w="302" w:type="pct"/>
            <w:shd w:val="clear" w:color="auto" w:fill="FFFFFF"/>
            <w:vAlign w:val="center"/>
          </w:tcPr>
          <w:p w14:paraId="0A9679E4">
            <w:pPr>
              <w:spacing w:line="0" w:lineRule="atLeast"/>
              <w:jc w:val="center"/>
              <w:rPr>
                <w:color w:val="000000"/>
                <w:kern w:val="0"/>
                <w:sz w:val="22"/>
                <w:szCs w:val="22"/>
              </w:rPr>
            </w:pPr>
            <w:r>
              <w:rPr>
                <w:color w:val="000000"/>
                <w:kern w:val="0"/>
                <w:sz w:val="22"/>
                <w:szCs w:val="22"/>
              </w:rPr>
              <w:t>产出时效</w:t>
            </w:r>
          </w:p>
        </w:tc>
        <w:tc>
          <w:tcPr>
            <w:tcW w:w="344" w:type="pct"/>
            <w:shd w:val="clear" w:color="auto" w:fill="FFFFFF"/>
            <w:vAlign w:val="center"/>
          </w:tcPr>
          <w:p w14:paraId="42080D8B">
            <w:pPr>
              <w:widowControl/>
              <w:spacing w:line="0" w:lineRule="atLeast"/>
              <w:jc w:val="center"/>
              <w:rPr>
                <w:color w:val="000000"/>
                <w:kern w:val="0"/>
                <w:sz w:val="22"/>
                <w:szCs w:val="22"/>
              </w:rPr>
            </w:pPr>
            <w:r>
              <w:rPr>
                <w:color w:val="000000"/>
                <w:kern w:val="0"/>
                <w:sz w:val="22"/>
                <w:szCs w:val="22"/>
              </w:rPr>
              <w:t>完成及时性</w:t>
            </w:r>
          </w:p>
        </w:tc>
        <w:tc>
          <w:tcPr>
            <w:tcW w:w="927" w:type="pct"/>
            <w:shd w:val="clear" w:color="000000" w:fill="FFFFFF"/>
            <w:vAlign w:val="center"/>
          </w:tcPr>
          <w:p w14:paraId="231BD249">
            <w:pPr>
              <w:widowControl/>
              <w:spacing w:line="0" w:lineRule="atLeast"/>
              <w:rPr>
                <w:color w:val="000000"/>
                <w:kern w:val="0"/>
                <w:sz w:val="22"/>
                <w:szCs w:val="22"/>
              </w:rPr>
            </w:pPr>
            <w:r>
              <w:rPr>
                <w:color w:val="000000"/>
                <w:kern w:val="0"/>
                <w:sz w:val="22"/>
                <w:szCs w:val="22"/>
              </w:rPr>
              <w:t>项目实际完成时间与计划完成时间的比较，用以反映和考核项目产出时效目标的实现程度。</w:t>
            </w:r>
          </w:p>
        </w:tc>
        <w:tc>
          <w:tcPr>
            <w:tcW w:w="2044" w:type="pct"/>
            <w:shd w:val="clear" w:color="000000" w:fill="FFFFFF"/>
            <w:vAlign w:val="center"/>
          </w:tcPr>
          <w:p w14:paraId="73623EB9">
            <w:pPr>
              <w:widowControl/>
              <w:spacing w:line="0" w:lineRule="atLeast"/>
              <w:rPr>
                <w:color w:val="000000"/>
                <w:kern w:val="0"/>
                <w:sz w:val="22"/>
                <w:szCs w:val="22"/>
              </w:rPr>
            </w:pPr>
            <w:r>
              <w:rPr>
                <w:color w:val="000000"/>
                <w:kern w:val="0"/>
                <w:sz w:val="22"/>
                <w:szCs w:val="22"/>
              </w:rPr>
              <w:t>实际完成时间：项目实施单位完成该项目实际所耗用的时间。</w:t>
            </w:r>
            <w:r>
              <w:rPr>
                <w:color w:val="000000"/>
                <w:kern w:val="0"/>
                <w:sz w:val="22"/>
                <w:szCs w:val="22"/>
              </w:rPr>
              <w:br w:type="textWrapping"/>
            </w:r>
            <w:r>
              <w:rPr>
                <w:color w:val="000000"/>
                <w:kern w:val="0"/>
                <w:sz w:val="22"/>
                <w:szCs w:val="22"/>
              </w:rPr>
              <w:t>计划完成时间：按照项目实施计划或相关规定完成该项目所需的时间。</w:t>
            </w:r>
          </w:p>
        </w:tc>
        <w:tc>
          <w:tcPr>
            <w:tcW w:w="512" w:type="pct"/>
            <w:shd w:val="clear" w:color="000000" w:fill="FFFFFF"/>
            <w:vAlign w:val="center"/>
          </w:tcPr>
          <w:p w14:paraId="5D7EDB2D">
            <w:pPr>
              <w:widowControl/>
              <w:spacing w:line="0" w:lineRule="atLeast"/>
              <w:jc w:val="center"/>
              <w:rPr>
                <w:b/>
                <w:bCs/>
                <w:color w:val="000000"/>
                <w:kern w:val="0"/>
                <w:sz w:val="22"/>
                <w:szCs w:val="22"/>
              </w:rPr>
            </w:pPr>
            <w:r>
              <w:rPr>
                <w:b/>
                <w:bCs/>
                <w:color w:val="000000"/>
                <w:kern w:val="0"/>
                <w:sz w:val="22"/>
                <w:szCs w:val="22"/>
              </w:rPr>
              <w:t>1</w:t>
            </w:r>
            <w:r>
              <w:rPr>
                <w:rFonts w:hint="eastAsia"/>
                <w:b/>
                <w:bCs/>
                <w:color w:val="000000"/>
                <w:kern w:val="0"/>
                <w:sz w:val="22"/>
                <w:szCs w:val="22"/>
              </w:rPr>
              <w:t>0</w:t>
            </w:r>
          </w:p>
        </w:tc>
        <w:tc>
          <w:tcPr>
            <w:tcW w:w="537" w:type="pct"/>
            <w:shd w:val="clear" w:color="000000" w:fill="FFFFFF"/>
            <w:vAlign w:val="center"/>
          </w:tcPr>
          <w:p w14:paraId="32A8361F">
            <w:pPr>
              <w:widowControl/>
              <w:spacing w:line="0" w:lineRule="atLeast"/>
              <w:jc w:val="center"/>
              <w:rPr>
                <w:rFonts w:hint="default" w:eastAsia="宋体"/>
                <w:b/>
                <w:bCs/>
                <w:color w:val="000000"/>
                <w:kern w:val="0"/>
                <w:sz w:val="22"/>
                <w:szCs w:val="22"/>
                <w:highlight w:val="none"/>
                <w:lang w:val="en-US" w:eastAsia="zh-CN"/>
              </w:rPr>
            </w:pPr>
            <w:r>
              <w:rPr>
                <w:rFonts w:hint="eastAsia"/>
                <w:b/>
                <w:bCs/>
                <w:color w:val="000000"/>
                <w:kern w:val="0"/>
                <w:sz w:val="22"/>
                <w:szCs w:val="22"/>
                <w:highlight w:val="none"/>
                <w:lang w:val="en-US" w:eastAsia="zh-CN"/>
              </w:rPr>
              <w:t>10</w:t>
            </w:r>
          </w:p>
        </w:tc>
      </w:tr>
      <w:tr w14:paraId="2F45955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331" w:type="pct"/>
            <w:vMerge w:val="continue"/>
            <w:shd w:val="clear" w:color="auto" w:fill="FFFFFF"/>
            <w:vAlign w:val="center"/>
          </w:tcPr>
          <w:p w14:paraId="73E68979">
            <w:pPr>
              <w:widowControl/>
              <w:spacing w:line="0" w:lineRule="atLeast"/>
              <w:jc w:val="center"/>
              <w:rPr>
                <w:color w:val="000000"/>
                <w:kern w:val="0"/>
                <w:sz w:val="22"/>
                <w:szCs w:val="22"/>
              </w:rPr>
            </w:pPr>
          </w:p>
        </w:tc>
        <w:tc>
          <w:tcPr>
            <w:tcW w:w="302" w:type="pct"/>
            <w:shd w:val="clear" w:color="auto" w:fill="FFFFFF"/>
            <w:vAlign w:val="center"/>
          </w:tcPr>
          <w:p w14:paraId="43C87175">
            <w:pPr>
              <w:widowControl/>
              <w:spacing w:line="0" w:lineRule="atLeast"/>
              <w:jc w:val="center"/>
              <w:rPr>
                <w:color w:val="000000"/>
                <w:kern w:val="0"/>
                <w:sz w:val="22"/>
                <w:szCs w:val="22"/>
              </w:rPr>
            </w:pPr>
            <w:r>
              <w:rPr>
                <w:color w:val="000000"/>
                <w:kern w:val="0"/>
                <w:sz w:val="22"/>
                <w:szCs w:val="22"/>
              </w:rPr>
              <w:t>产出成本</w:t>
            </w:r>
          </w:p>
        </w:tc>
        <w:tc>
          <w:tcPr>
            <w:tcW w:w="344" w:type="pct"/>
            <w:shd w:val="clear" w:color="auto" w:fill="FFFFFF"/>
            <w:vAlign w:val="center"/>
          </w:tcPr>
          <w:p w14:paraId="72C1A426">
            <w:pPr>
              <w:widowControl/>
              <w:spacing w:line="0" w:lineRule="atLeast"/>
              <w:jc w:val="center"/>
              <w:rPr>
                <w:color w:val="000000"/>
                <w:kern w:val="0"/>
                <w:sz w:val="22"/>
                <w:szCs w:val="22"/>
              </w:rPr>
            </w:pPr>
            <w:r>
              <w:rPr>
                <w:color w:val="000000"/>
                <w:kern w:val="0"/>
                <w:sz w:val="22"/>
                <w:szCs w:val="22"/>
              </w:rPr>
              <w:t>成本节约率</w:t>
            </w:r>
          </w:p>
        </w:tc>
        <w:tc>
          <w:tcPr>
            <w:tcW w:w="927" w:type="pct"/>
            <w:shd w:val="clear" w:color="000000" w:fill="FFFFFF"/>
            <w:vAlign w:val="center"/>
          </w:tcPr>
          <w:p w14:paraId="2C89A3B8">
            <w:pPr>
              <w:widowControl/>
              <w:spacing w:line="0" w:lineRule="atLeast"/>
              <w:rPr>
                <w:color w:val="000000"/>
                <w:kern w:val="0"/>
                <w:sz w:val="22"/>
                <w:szCs w:val="22"/>
              </w:rPr>
            </w:pPr>
            <w:r>
              <w:rPr>
                <w:color w:val="000000"/>
                <w:kern w:val="0"/>
                <w:sz w:val="22"/>
                <w:szCs w:val="22"/>
              </w:rPr>
              <w:t>完成项目计划工作目标的实际节约成本与计划成本的比率，用以反映和考核项目的成本节约程度。</w:t>
            </w:r>
          </w:p>
        </w:tc>
        <w:tc>
          <w:tcPr>
            <w:tcW w:w="2044" w:type="pct"/>
            <w:shd w:val="clear" w:color="000000" w:fill="FFFFFF"/>
            <w:vAlign w:val="center"/>
          </w:tcPr>
          <w:p w14:paraId="2B25AB5A">
            <w:pPr>
              <w:widowControl/>
              <w:spacing w:line="0" w:lineRule="atLeast"/>
              <w:rPr>
                <w:color w:val="000000"/>
                <w:kern w:val="0"/>
                <w:sz w:val="22"/>
                <w:szCs w:val="22"/>
              </w:rPr>
            </w:pPr>
            <w:r>
              <w:rPr>
                <w:color w:val="000000"/>
                <w:kern w:val="0"/>
                <w:sz w:val="22"/>
                <w:szCs w:val="22"/>
              </w:rPr>
              <w:br w:type="textWrapping"/>
            </w:r>
            <w:r>
              <w:rPr>
                <w:color w:val="000000"/>
                <w:kern w:val="0"/>
                <w:sz w:val="22"/>
                <w:szCs w:val="22"/>
              </w:rPr>
              <w:t>成本节约率=[（计划成本-实际成本）/计划成本]×100%。</w:t>
            </w:r>
            <w:r>
              <w:rPr>
                <w:color w:val="000000"/>
                <w:kern w:val="0"/>
                <w:sz w:val="22"/>
                <w:szCs w:val="22"/>
              </w:rPr>
              <w:br w:type="textWrapping"/>
            </w:r>
            <w:r>
              <w:rPr>
                <w:color w:val="000000"/>
                <w:kern w:val="0"/>
                <w:sz w:val="22"/>
                <w:szCs w:val="22"/>
              </w:rPr>
              <w:t>实际成本：项目实施单位如期、保质、保量完成既定工作目标实际所耗费的支出。</w:t>
            </w:r>
            <w:r>
              <w:rPr>
                <w:color w:val="000000"/>
                <w:kern w:val="0"/>
                <w:sz w:val="22"/>
                <w:szCs w:val="22"/>
              </w:rPr>
              <w:br w:type="textWrapping"/>
            </w:r>
            <w:r>
              <w:rPr>
                <w:color w:val="000000"/>
                <w:kern w:val="0"/>
                <w:sz w:val="22"/>
                <w:szCs w:val="22"/>
              </w:rPr>
              <w:t>计划成本：项目实施单位为完成工作目标计划安排的支出，一般以项目预算为参考。</w:t>
            </w:r>
          </w:p>
        </w:tc>
        <w:tc>
          <w:tcPr>
            <w:tcW w:w="512" w:type="pct"/>
            <w:shd w:val="clear" w:color="000000" w:fill="FFFFFF"/>
            <w:vAlign w:val="center"/>
          </w:tcPr>
          <w:p w14:paraId="3232C64C">
            <w:pPr>
              <w:widowControl/>
              <w:spacing w:line="0" w:lineRule="atLeast"/>
              <w:jc w:val="center"/>
              <w:rPr>
                <w:b/>
                <w:bCs/>
                <w:color w:val="000000"/>
                <w:kern w:val="0"/>
                <w:sz w:val="22"/>
                <w:szCs w:val="22"/>
              </w:rPr>
            </w:pPr>
            <w:r>
              <w:rPr>
                <w:b/>
                <w:bCs/>
                <w:color w:val="000000"/>
                <w:kern w:val="0"/>
                <w:sz w:val="22"/>
                <w:szCs w:val="22"/>
              </w:rPr>
              <w:t>10</w:t>
            </w:r>
          </w:p>
        </w:tc>
        <w:tc>
          <w:tcPr>
            <w:tcW w:w="537" w:type="pct"/>
            <w:shd w:val="clear" w:color="000000" w:fill="FFFFFF"/>
            <w:vAlign w:val="center"/>
          </w:tcPr>
          <w:p w14:paraId="34C25058">
            <w:pPr>
              <w:widowControl/>
              <w:spacing w:line="0" w:lineRule="atLeast"/>
              <w:jc w:val="center"/>
              <w:rPr>
                <w:rFonts w:hint="default" w:eastAsia="宋体"/>
                <w:b/>
                <w:bCs/>
                <w:color w:val="000000"/>
                <w:kern w:val="0"/>
                <w:sz w:val="22"/>
                <w:szCs w:val="22"/>
                <w:highlight w:val="none"/>
                <w:lang w:val="en-US" w:eastAsia="zh-CN"/>
              </w:rPr>
            </w:pPr>
            <w:r>
              <w:rPr>
                <w:rFonts w:hint="eastAsia"/>
                <w:b/>
                <w:bCs/>
                <w:color w:val="000000"/>
                <w:kern w:val="0"/>
                <w:sz w:val="22"/>
                <w:szCs w:val="22"/>
                <w:highlight w:val="none"/>
                <w:lang w:val="en-US" w:eastAsia="zh-CN"/>
              </w:rPr>
              <w:t>10</w:t>
            </w:r>
          </w:p>
        </w:tc>
      </w:tr>
      <w:tr w14:paraId="37FE11E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889" w:hRule="atLeast"/>
          <w:jc w:val="center"/>
        </w:trPr>
        <w:tc>
          <w:tcPr>
            <w:tcW w:w="331" w:type="pct"/>
            <w:vMerge w:val="restart"/>
            <w:shd w:val="clear" w:color="auto" w:fill="FFFFFF"/>
            <w:vAlign w:val="center"/>
          </w:tcPr>
          <w:p w14:paraId="5080FDF7">
            <w:pPr>
              <w:widowControl/>
              <w:spacing w:line="0" w:lineRule="atLeast"/>
              <w:jc w:val="center"/>
              <w:rPr>
                <w:color w:val="000000"/>
                <w:kern w:val="0"/>
                <w:sz w:val="22"/>
                <w:szCs w:val="22"/>
              </w:rPr>
            </w:pPr>
            <w:r>
              <w:rPr>
                <w:color w:val="000000"/>
                <w:kern w:val="0"/>
                <w:sz w:val="22"/>
                <w:szCs w:val="22"/>
              </w:rPr>
              <w:t>效益　</w:t>
            </w:r>
          </w:p>
        </w:tc>
        <w:tc>
          <w:tcPr>
            <w:tcW w:w="302" w:type="pct"/>
            <w:vMerge w:val="restart"/>
            <w:shd w:val="clear" w:color="auto" w:fill="FFFFFF"/>
            <w:vAlign w:val="center"/>
          </w:tcPr>
          <w:p w14:paraId="43749EB4">
            <w:pPr>
              <w:widowControl/>
              <w:spacing w:line="0" w:lineRule="atLeast"/>
              <w:jc w:val="center"/>
              <w:rPr>
                <w:color w:val="000000"/>
                <w:kern w:val="0"/>
                <w:sz w:val="22"/>
                <w:szCs w:val="22"/>
              </w:rPr>
            </w:pPr>
            <w:r>
              <w:rPr>
                <w:color w:val="000000"/>
                <w:kern w:val="0"/>
                <w:sz w:val="22"/>
                <w:szCs w:val="22"/>
              </w:rPr>
              <w:t>项目效益　</w:t>
            </w:r>
          </w:p>
        </w:tc>
        <w:tc>
          <w:tcPr>
            <w:tcW w:w="344" w:type="pct"/>
            <w:shd w:val="clear" w:color="auto" w:fill="FFFFFF"/>
            <w:vAlign w:val="center"/>
          </w:tcPr>
          <w:p w14:paraId="19848DC5">
            <w:pPr>
              <w:widowControl/>
              <w:spacing w:line="0" w:lineRule="atLeast"/>
              <w:jc w:val="center"/>
              <w:rPr>
                <w:color w:val="000000"/>
                <w:kern w:val="0"/>
                <w:sz w:val="22"/>
                <w:szCs w:val="22"/>
              </w:rPr>
            </w:pPr>
            <w:r>
              <w:rPr>
                <w:color w:val="000000"/>
                <w:kern w:val="0"/>
                <w:sz w:val="22"/>
                <w:szCs w:val="22"/>
              </w:rPr>
              <w:t>实施效益</w:t>
            </w:r>
          </w:p>
        </w:tc>
        <w:tc>
          <w:tcPr>
            <w:tcW w:w="927" w:type="pct"/>
            <w:shd w:val="clear" w:color="auto" w:fill="FFFFFF"/>
            <w:vAlign w:val="center"/>
          </w:tcPr>
          <w:p w14:paraId="0A2818CC">
            <w:pPr>
              <w:widowControl/>
              <w:spacing w:line="0" w:lineRule="atLeast"/>
              <w:jc w:val="left"/>
              <w:rPr>
                <w:color w:val="000000"/>
                <w:kern w:val="0"/>
                <w:sz w:val="22"/>
                <w:szCs w:val="22"/>
              </w:rPr>
            </w:pPr>
            <w:r>
              <w:rPr>
                <w:color w:val="000000"/>
                <w:kern w:val="0"/>
                <w:sz w:val="22"/>
                <w:szCs w:val="22"/>
              </w:rPr>
              <w:t>项目实施所产生的效益。</w:t>
            </w:r>
          </w:p>
        </w:tc>
        <w:tc>
          <w:tcPr>
            <w:tcW w:w="2044" w:type="pct"/>
            <w:shd w:val="clear" w:color="auto" w:fill="FFFFFF"/>
            <w:vAlign w:val="center"/>
          </w:tcPr>
          <w:p w14:paraId="282FC66B">
            <w:pPr>
              <w:widowControl/>
              <w:spacing w:line="0" w:lineRule="atLeast"/>
              <w:rPr>
                <w:color w:val="000000"/>
                <w:kern w:val="0"/>
                <w:sz w:val="22"/>
                <w:szCs w:val="22"/>
              </w:rPr>
            </w:pPr>
            <w:r>
              <w:rPr>
                <w:color w:val="000000"/>
                <w:kern w:val="0"/>
                <w:sz w:val="22"/>
                <w:szCs w:val="22"/>
              </w:rPr>
              <w:t>项目实施所产生的社会效益、经济效益、生态效益、可持续影响等。可根据项目实际情况有选择地设置和细化。</w:t>
            </w:r>
          </w:p>
        </w:tc>
        <w:tc>
          <w:tcPr>
            <w:tcW w:w="512" w:type="pct"/>
            <w:shd w:val="clear" w:color="auto" w:fill="FFFFFF"/>
            <w:vAlign w:val="center"/>
          </w:tcPr>
          <w:p w14:paraId="2ACE8F08">
            <w:pPr>
              <w:widowControl/>
              <w:spacing w:line="0" w:lineRule="atLeast"/>
              <w:jc w:val="center"/>
              <w:rPr>
                <w:b/>
                <w:bCs/>
                <w:color w:val="000000"/>
                <w:kern w:val="0"/>
                <w:sz w:val="22"/>
                <w:szCs w:val="22"/>
              </w:rPr>
            </w:pPr>
            <w:r>
              <w:rPr>
                <w:rFonts w:hint="eastAsia"/>
                <w:b/>
                <w:bCs/>
                <w:color w:val="000000"/>
                <w:kern w:val="0"/>
                <w:sz w:val="22"/>
                <w:szCs w:val="22"/>
              </w:rPr>
              <w:t>15</w:t>
            </w:r>
          </w:p>
        </w:tc>
        <w:tc>
          <w:tcPr>
            <w:tcW w:w="537" w:type="pct"/>
            <w:shd w:val="clear" w:color="auto" w:fill="FFFFFF"/>
            <w:vAlign w:val="center"/>
          </w:tcPr>
          <w:p w14:paraId="78B7BBC5">
            <w:pPr>
              <w:widowControl/>
              <w:spacing w:line="0" w:lineRule="atLeast"/>
              <w:jc w:val="center"/>
              <w:rPr>
                <w:rFonts w:hint="default" w:eastAsia="宋体"/>
                <w:b/>
                <w:bCs/>
                <w:color w:val="000000"/>
                <w:kern w:val="0"/>
                <w:sz w:val="22"/>
                <w:szCs w:val="22"/>
                <w:highlight w:val="none"/>
                <w:lang w:val="en-US" w:eastAsia="zh-CN"/>
              </w:rPr>
            </w:pPr>
            <w:r>
              <w:rPr>
                <w:rFonts w:hint="eastAsia"/>
                <w:b/>
                <w:bCs/>
                <w:color w:val="000000"/>
                <w:kern w:val="0"/>
                <w:sz w:val="22"/>
                <w:szCs w:val="22"/>
                <w:highlight w:val="none"/>
                <w:lang w:val="en-US" w:eastAsia="zh-CN"/>
              </w:rPr>
              <w:t>15</w:t>
            </w:r>
          </w:p>
        </w:tc>
      </w:tr>
      <w:tr w14:paraId="70B0C8F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137" w:hRule="atLeast"/>
          <w:jc w:val="center"/>
        </w:trPr>
        <w:tc>
          <w:tcPr>
            <w:tcW w:w="331" w:type="pct"/>
            <w:vMerge w:val="continue"/>
            <w:shd w:val="clear" w:color="auto" w:fill="FFFFFF"/>
            <w:vAlign w:val="center"/>
          </w:tcPr>
          <w:p w14:paraId="1CC0BE81">
            <w:pPr>
              <w:widowControl/>
              <w:spacing w:line="0" w:lineRule="atLeast"/>
              <w:jc w:val="center"/>
              <w:rPr>
                <w:color w:val="000000"/>
                <w:kern w:val="0"/>
                <w:sz w:val="22"/>
                <w:szCs w:val="22"/>
              </w:rPr>
            </w:pPr>
          </w:p>
        </w:tc>
        <w:tc>
          <w:tcPr>
            <w:tcW w:w="302" w:type="pct"/>
            <w:vMerge w:val="continue"/>
            <w:shd w:val="clear" w:color="auto" w:fill="FFFFFF"/>
            <w:vAlign w:val="center"/>
          </w:tcPr>
          <w:p w14:paraId="151E9BC6">
            <w:pPr>
              <w:widowControl/>
              <w:spacing w:line="0" w:lineRule="atLeast"/>
              <w:jc w:val="center"/>
              <w:rPr>
                <w:color w:val="000000"/>
                <w:kern w:val="0"/>
                <w:sz w:val="22"/>
                <w:szCs w:val="22"/>
              </w:rPr>
            </w:pPr>
          </w:p>
        </w:tc>
        <w:tc>
          <w:tcPr>
            <w:tcW w:w="344" w:type="pct"/>
            <w:shd w:val="clear" w:color="auto" w:fill="FFFFFF"/>
            <w:vAlign w:val="center"/>
          </w:tcPr>
          <w:p w14:paraId="7089B7A0">
            <w:pPr>
              <w:widowControl/>
              <w:spacing w:line="0" w:lineRule="atLeast"/>
              <w:jc w:val="center"/>
              <w:rPr>
                <w:color w:val="000000"/>
                <w:kern w:val="0"/>
                <w:sz w:val="22"/>
                <w:szCs w:val="22"/>
              </w:rPr>
            </w:pPr>
            <w:r>
              <w:rPr>
                <w:color w:val="000000"/>
                <w:kern w:val="0"/>
                <w:sz w:val="22"/>
                <w:szCs w:val="22"/>
              </w:rPr>
              <w:t>满意度</w:t>
            </w:r>
          </w:p>
        </w:tc>
        <w:tc>
          <w:tcPr>
            <w:tcW w:w="927" w:type="pct"/>
            <w:shd w:val="clear" w:color="000000" w:fill="FFFFFF"/>
            <w:vAlign w:val="center"/>
          </w:tcPr>
          <w:p w14:paraId="57259AD0">
            <w:pPr>
              <w:widowControl/>
              <w:spacing w:line="0" w:lineRule="atLeast"/>
              <w:rPr>
                <w:color w:val="000000"/>
                <w:kern w:val="0"/>
                <w:sz w:val="22"/>
                <w:szCs w:val="22"/>
              </w:rPr>
            </w:pPr>
            <w:r>
              <w:rPr>
                <w:color w:val="000000"/>
                <w:kern w:val="0"/>
                <w:sz w:val="22"/>
                <w:szCs w:val="22"/>
              </w:rPr>
              <w:t>社会公众或服务对象对项目实施效果的满意程度。</w:t>
            </w:r>
          </w:p>
        </w:tc>
        <w:tc>
          <w:tcPr>
            <w:tcW w:w="2044" w:type="pct"/>
            <w:shd w:val="clear" w:color="000000" w:fill="FFFFFF"/>
            <w:vAlign w:val="center"/>
          </w:tcPr>
          <w:p w14:paraId="7C310D39">
            <w:pPr>
              <w:widowControl/>
              <w:spacing w:line="0" w:lineRule="atLeast"/>
              <w:rPr>
                <w:color w:val="000000"/>
                <w:kern w:val="0"/>
                <w:sz w:val="22"/>
                <w:szCs w:val="22"/>
              </w:rPr>
            </w:pPr>
            <w:r>
              <w:rPr>
                <w:color w:val="000000"/>
                <w:kern w:val="0"/>
                <w:sz w:val="22"/>
                <w:szCs w:val="22"/>
              </w:rPr>
              <w:t>社会公众或服务对象是指因该项目实施而受到影响的部门（单位）、群体或个人。一般采取社会调查的方式。</w:t>
            </w:r>
          </w:p>
        </w:tc>
        <w:tc>
          <w:tcPr>
            <w:tcW w:w="512" w:type="pct"/>
            <w:shd w:val="clear" w:color="000000" w:fill="FFFFFF"/>
            <w:vAlign w:val="center"/>
          </w:tcPr>
          <w:p w14:paraId="75CD0EB3">
            <w:pPr>
              <w:widowControl/>
              <w:spacing w:line="0" w:lineRule="atLeast"/>
              <w:jc w:val="center"/>
              <w:rPr>
                <w:b/>
                <w:bCs/>
                <w:color w:val="000000"/>
                <w:kern w:val="0"/>
                <w:sz w:val="22"/>
                <w:szCs w:val="22"/>
              </w:rPr>
            </w:pPr>
            <w:r>
              <w:rPr>
                <w:rFonts w:hint="eastAsia"/>
                <w:b/>
                <w:bCs/>
                <w:color w:val="000000"/>
                <w:kern w:val="0"/>
                <w:sz w:val="22"/>
                <w:szCs w:val="22"/>
              </w:rPr>
              <w:t>5</w:t>
            </w:r>
          </w:p>
        </w:tc>
        <w:tc>
          <w:tcPr>
            <w:tcW w:w="537" w:type="pct"/>
            <w:shd w:val="clear" w:color="000000" w:fill="FFFFFF"/>
            <w:vAlign w:val="center"/>
          </w:tcPr>
          <w:p w14:paraId="677AF423">
            <w:pPr>
              <w:widowControl/>
              <w:spacing w:line="0" w:lineRule="atLeast"/>
              <w:jc w:val="center"/>
              <w:rPr>
                <w:rFonts w:hint="eastAsia" w:eastAsia="宋体"/>
                <w:b/>
                <w:bCs/>
                <w:color w:val="000000"/>
                <w:kern w:val="0"/>
                <w:sz w:val="22"/>
                <w:szCs w:val="22"/>
                <w:highlight w:val="none"/>
                <w:lang w:eastAsia="zh-CN"/>
              </w:rPr>
            </w:pPr>
            <w:r>
              <w:rPr>
                <w:rFonts w:hint="eastAsia"/>
                <w:b/>
                <w:bCs/>
                <w:color w:val="000000"/>
                <w:kern w:val="0"/>
                <w:sz w:val="22"/>
                <w:szCs w:val="22"/>
                <w:highlight w:val="none"/>
                <w:lang w:val="en-US" w:eastAsia="zh-CN"/>
              </w:rPr>
              <w:t>5</w:t>
            </w:r>
          </w:p>
        </w:tc>
      </w:tr>
    </w:tbl>
    <w:p w14:paraId="71FCC682">
      <w:pPr>
        <w:pStyle w:val="2"/>
        <w:rPr>
          <w:rFonts w:ascii="Times New Roman" w:hAnsi="Times New Roman"/>
        </w:rPr>
      </w:pPr>
    </w:p>
    <w:p w14:paraId="6EC090A1"/>
    <w:p w14:paraId="3198DE55">
      <w:pPr>
        <w:spacing w:line="540" w:lineRule="exact"/>
        <w:ind w:firstLine="640"/>
        <w:rPr>
          <w:rStyle w:val="23"/>
          <w:rFonts w:eastAsia="黑体"/>
          <w:bCs w:val="0"/>
          <w:spacing w:val="-4"/>
          <w:sz w:val="32"/>
          <w:szCs w:val="32"/>
        </w:rPr>
      </w:pPr>
    </w:p>
    <w:p w14:paraId="384D74E8">
      <w:pPr>
        <w:spacing w:line="540" w:lineRule="exact"/>
        <w:ind w:firstLine="640"/>
        <w:rPr>
          <w:rStyle w:val="23"/>
          <w:rFonts w:eastAsia="黑体"/>
          <w:bCs w:val="0"/>
          <w:spacing w:val="-4"/>
          <w:sz w:val="32"/>
          <w:szCs w:val="32"/>
        </w:rPr>
      </w:pPr>
    </w:p>
    <w:p w14:paraId="7869083E">
      <w:pPr>
        <w:spacing w:line="540" w:lineRule="exact"/>
        <w:ind w:firstLine="640"/>
        <w:rPr>
          <w:rStyle w:val="23"/>
          <w:rFonts w:eastAsia="黑体"/>
          <w:bCs w:val="0"/>
          <w:spacing w:val="-4"/>
          <w:sz w:val="32"/>
          <w:szCs w:val="32"/>
        </w:rPr>
      </w:pPr>
    </w:p>
    <w:p w14:paraId="3F0720F7">
      <w:pPr>
        <w:spacing w:line="540" w:lineRule="exact"/>
        <w:ind w:firstLine="640"/>
        <w:rPr>
          <w:rStyle w:val="23"/>
          <w:rFonts w:eastAsia="黑体"/>
          <w:bCs w:val="0"/>
          <w:spacing w:val="-4"/>
          <w:sz w:val="32"/>
          <w:szCs w:val="32"/>
        </w:rPr>
      </w:pPr>
    </w:p>
    <w:p w14:paraId="3A5DE156">
      <w:pPr>
        <w:spacing w:line="540" w:lineRule="exact"/>
        <w:ind w:firstLine="640"/>
        <w:rPr>
          <w:rStyle w:val="23"/>
          <w:rFonts w:eastAsia="黑体"/>
          <w:bCs w:val="0"/>
          <w:spacing w:val="-4"/>
          <w:sz w:val="32"/>
          <w:szCs w:val="32"/>
        </w:rPr>
      </w:pPr>
    </w:p>
    <w:p w14:paraId="411985F8">
      <w:pPr>
        <w:spacing w:line="540" w:lineRule="exact"/>
        <w:ind w:firstLine="640"/>
        <w:rPr>
          <w:rStyle w:val="23"/>
          <w:rFonts w:eastAsia="黑体"/>
          <w:bCs w:val="0"/>
          <w:spacing w:val="-4"/>
          <w:sz w:val="32"/>
          <w:szCs w:val="32"/>
        </w:rPr>
      </w:pPr>
    </w:p>
    <w:p w14:paraId="6C9CEFB3">
      <w:pPr>
        <w:spacing w:line="540" w:lineRule="exact"/>
        <w:rPr>
          <w:rStyle w:val="23"/>
          <w:rFonts w:eastAsia="仿宋"/>
          <w:b w:val="0"/>
          <w:spacing w:val="-4"/>
          <w:sz w:val="32"/>
          <w:szCs w:val="32"/>
        </w:rPr>
      </w:pP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9931743B-316E-4472-9256-12BAFB770273}"/>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panose1 w:val="02010609030101010101"/>
    <w:charset w:val="86"/>
    <w:family w:val="modern"/>
    <w:pitch w:val="default"/>
    <w:sig w:usb0="00000001" w:usb1="080E0000" w:usb2="00000000" w:usb3="00000000" w:csb0="00040000" w:csb1="00000000"/>
    <w:embedRegular r:id="rId2" w:fontKey="{E1932159-2004-4B9F-BAEA-CE33B367B3CF}"/>
  </w:font>
  <w:font w:name="华文中宋">
    <w:panose1 w:val="02010600040101010101"/>
    <w:charset w:val="86"/>
    <w:family w:val="auto"/>
    <w:pitch w:val="default"/>
    <w:sig w:usb0="00000287" w:usb1="080F0000" w:usb2="00000000" w:usb3="00000000" w:csb0="0004009F" w:csb1="DFD70000"/>
    <w:embedRegular r:id="rId3" w:fontKey="{A01DE2C3-FA2C-46A7-8496-F71945915DCC}"/>
  </w:font>
  <w:font w:name="方正小标宋_GBK">
    <w:panose1 w:val="03000509000000000000"/>
    <w:charset w:val="86"/>
    <w:family w:val="script"/>
    <w:pitch w:val="default"/>
    <w:sig w:usb0="00000001" w:usb1="080E0000" w:usb2="00000000" w:usb3="00000000" w:csb0="00040000" w:csb1="00000000"/>
    <w:embedRegular r:id="rId4" w:fontKey="{B721B29F-1A3E-430D-9A3F-5C07744DDD8C}"/>
  </w:font>
  <w:font w:name="楷体_GB2312">
    <w:panose1 w:val="02010609030101010101"/>
    <w:charset w:val="86"/>
    <w:family w:val="auto"/>
    <w:pitch w:val="default"/>
    <w:sig w:usb0="00000001" w:usb1="080E0000" w:usb2="00000000" w:usb3="00000000" w:csb0="00040000" w:csb1="00000000"/>
    <w:embedRegular r:id="rId5" w:fontKey="{FB3A8A31-9758-4D55-920A-323401BACA04}"/>
  </w:font>
  <w:font w:name="楷体">
    <w:panose1 w:val="02010609060101010101"/>
    <w:charset w:val="86"/>
    <w:family w:val="modern"/>
    <w:pitch w:val="default"/>
    <w:sig w:usb0="800002BF" w:usb1="38CF7CFA" w:usb2="00000016" w:usb3="00000000" w:csb0="00040001" w:csb1="00000000"/>
    <w:embedRegular r:id="rId6" w:fontKey="{E84F73E3-1D6F-499D-AE51-7A379577F24E}"/>
  </w:font>
  <w:font w:name="仿宋">
    <w:panose1 w:val="02010609060101010101"/>
    <w:charset w:val="86"/>
    <w:family w:val="modern"/>
    <w:pitch w:val="default"/>
    <w:sig w:usb0="800002BF" w:usb1="38CF7CFA" w:usb2="00000016" w:usb3="00000000" w:csb0="00040001" w:csb1="00000000"/>
    <w:embedRegular r:id="rId7" w:fontKey="{8F850E6F-6475-4F5C-90E6-514950373DE1}"/>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14:paraId="2A14E59D">
        <w:pPr>
          <w:pStyle w:val="16"/>
          <w:jc w:val="center"/>
        </w:pPr>
        <w:r>
          <w:fldChar w:fldCharType="begin"/>
        </w:r>
        <w:r>
          <w:instrText xml:space="preserve">PAGE   \* MERGEFORMAT</w:instrText>
        </w:r>
        <w:r>
          <w:fldChar w:fldCharType="separate"/>
        </w:r>
        <w:r>
          <w:rPr>
            <w:lang w:val="zh-CN"/>
          </w:rPr>
          <w:t>17</w:t>
        </w:r>
        <w:r>
          <w:fldChar w:fldCharType="end"/>
        </w:r>
      </w:p>
    </w:sdtContent>
  </w:sdt>
  <w:p w14:paraId="5BEE48D6">
    <w:pPr>
      <w:pStyle w:val="16"/>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9379A8"/>
    <w:multiLevelType w:val="singleLevel"/>
    <w:tmpl w:val="FF9379A8"/>
    <w:lvl w:ilvl="0" w:tentative="0">
      <w:start w:val="2"/>
      <w:numFmt w:val="chineseCounting"/>
      <w:suff w:val="nothing"/>
      <w:lvlText w:val="（%1）"/>
      <w:lvlJc w:val="left"/>
      <w:rPr>
        <w:rFonts w:hint="eastAsia"/>
      </w:rPr>
    </w:lvl>
  </w:abstractNum>
  <w:abstractNum w:abstractNumId="1">
    <w:nsid w:val="116B29BF"/>
    <w:multiLevelType w:val="singleLevel"/>
    <w:tmpl w:val="116B29BF"/>
    <w:lvl w:ilvl="0" w:tentative="0">
      <w:start w:val="3"/>
      <w:numFmt w:val="chineseCounting"/>
      <w:suff w:val="nothing"/>
      <w:lvlText w:val="%1、"/>
      <w:lvlJc w:val="left"/>
      <w:rPr>
        <w:rFonts w:hint="eastAsia"/>
      </w:rPr>
    </w:lvl>
  </w:abstractNum>
  <w:abstractNum w:abstractNumId="2">
    <w:nsid w:val="27813159"/>
    <w:multiLevelType w:val="singleLevel"/>
    <w:tmpl w:val="27813159"/>
    <w:lvl w:ilvl="0" w:tentative="0">
      <w:start w:val="3"/>
      <w:numFmt w:val="chineseCounting"/>
      <w:suff w:val="nothing"/>
      <w:lvlText w:val="（%1）"/>
      <w:lvlJc w:val="left"/>
      <w:rPr>
        <w:rFonts w:hint="eastAsia"/>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1"/>
  <w:bordersDoNotSurroundFooter w:val="1"/>
  <w:trackRevisions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Dg4ZTk4ZThiOTlhYTkyOGVkOWQ5NDlhNjIwNjNhNzEifQ=="/>
  </w:docVars>
  <w:rsids>
    <w:rsidRoot w:val="00CA6457"/>
    <w:rsid w:val="00056465"/>
    <w:rsid w:val="000E50F0"/>
    <w:rsid w:val="000E586C"/>
    <w:rsid w:val="00121AE4"/>
    <w:rsid w:val="00146AAD"/>
    <w:rsid w:val="001B3A40"/>
    <w:rsid w:val="00200850"/>
    <w:rsid w:val="003748BB"/>
    <w:rsid w:val="003C18BC"/>
    <w:rsid w:val="00430B95"/>
    <w:rsid w:val="004366A8"/>
    <w:rsid w:val="00464900"/>
    <w:rsid w:val="0050203C"/>
    <w:rsid w:val="00502BA7"/>
    <w:rsid w:val="005162F1"/>
    <w:rsid w:val="00535153"/>
    <w:rsid w:val="00554F82"/>
    <w:rsid w:val="0056390D"/>
    <w:rsid w:val="005719B0"/>
    <w:rsid w:val="005D10D6"/>
    <w:rsid w:val="007806A5"/>
    <w:rsid w:val="00855E3A"/>
    <w:rsid w:val="00922CB9"/>
    <w:rsid w:val="009E5CD9"/>
    <w:rsid w:val="00A26421"/>
    <w:rsid w:val="00A4293B"/>
    <w:rsid w:val="00A67D50"/>
    <w:rsid w:val="00A8691A"/>
    <w:rsid w:val="00AC1946"/>
    <w:rsid w:val="00B40063"/>
    <w:rsid w:val="00B41F61"/>
    <w:rsid w:val="00BA46E6"/>
    <w:rsid w:val="00C20F12"/>
    <w:rsid w:val="00C56C72"/>
    <w:rsid w:val="00CA6457"/>
    <w:rsid w:val="00D17F2E"/>
    <w:rsid w:val="00D30354"/>
    <w:rsid w:val="00DF42A0"/>
    <w:rsid w:val="00DF7C45"/>
    <w:rsid w:val="00E31565"/>
    <w:rsid w:val="00E46C51"/>
    <w:rsid w:val="00E659F7"/>
    <w:rsid w:val="00E769FE"/>
    <w:rsid w:val="00EA2CBE"/>
    <w:rsid w:val="00F20494"/>
    <w:rsid w:val="00F32FEE"/>
    <w:rsid w:val="00F71278"/>
    <w:rsid w:val="00FA15E9"/>
    <w:rsid w:val="00FB10BB"/>
    <w:rsid w:val="022E79EE"/>
    <w:rsid w:val="051A56F5"/>
    <w:rsid w:val="066236A0"/>
    <w:rsid w:val="066D6EAA"/>
    <w:rsid w:val="06D24F1D"/>
    <w:rsid w:val="06DC1681"/>
    <w:rsid w:val="072B7208"/>
    <w:rsid w:val="08C662D4"/>
    <w:rsid w:val="09BD4D95"/>
    <w:rsid w:val="0A6767AA"/>
    <w:rsid w:val="0B0F58D6"/>
    <w:rsid w:val="0E2879EB"/>
    <w:rsid w:val="0F8D41CB"/>
    <w:rsid w:val="0FEE2F21"/>
    <w:rsid w:val="115303D0"/>
    <w:rsid w:val="11C75270"/>
    <w:rsid w:val="12637CC3"/>
    <w:rsid w:val="12E657C5"/>
    <w:rsid w:val="13160D6D"/>
    <w:rsid w:val="133C6E2A"/>
    <w:rsid w:val="167C7687"/>
    <w:rsid w:val="168B3546"/>
    <w:rsid w:val="1A2374E0"/>
    <w:rsid w:val="1C317CE2"/>
    <w:rsid w:val="1DD45808"/>
    <w:rsid w:val="1DED42AC"/>
    <w:rsid w:val="20005763"/>
    <w:rsid w:val="20085EE1"/>
    <w:rsid w:val="20FB313D"/>
    <w:rsid w:val="220B4804"/>
    <w:rsid w:val="278B653F"/>
    <w:rsid w:val="282475E3"/>
    <w:rsid w:val="28254877"/>
    <w:rsid w:val="28E60D8A"/>
    <w:rsid w:val="29E421D9"/>
    <w:rsid w:val="2A1A6F3D"/>
    <w:rsid w:val="2BD17ACF"/>
    <w:rsid w:val="2C6100C1"/>
    <w:rsid w:val="31A57E05"/>
    <w:rsid w:val="3235157C"/>
    <w:rsid w:val="3251420F"/>
    <w:rsid w:val="3264220D"/>
    <w:rsid w:val="32A83563"/>
    <w:rsid w:val="342D478F"/>
    <w:rsid w:val="359E6C74"/>
    <w:rsid w:val="36820514"/>
    <w:rsid w:val="38872456"/>
    <w:rsid w:val="392A6A70"/>
    <w:rsid w:val="3963178C"/>
    <w:rsid w:val="3BA5236D"/>
    <w:rsid w:val="3C7F70D3"/>
    <w:rsid w:val="3CED0699"/>
    <w:rsid w:val="3D3121C8"/>
    <w:rsid w:val="3EB02FD6"/>
    <w:rsid w:val="41CC2676"/>
    <w:rsid w:val="46614BA3"/>
    <w:rsid w:val="46B21672"/>
    <w:rsid w:val="4F552460"/>
    <w:rsid w:val="4FCC6863"/>
    <w:rsid w:val="500A214A"/>
    <w:rsid w:val="518A40F8"/>
    <w:rsid w:val="522D604D"/>
    <w:rsid w:val="5297585E"/>
    <w:rsid w:val="52AD7D6F"/>
    <w:rsid w:val="549178AB"/>
    <w:rsid w:val="5549519D"/>
    <w:rsid w:val="5557596B"/>
    <w:rsid w:val="55D55E1F"/>
    <w:rsid w:val="56051FA0"/>
    <w:rsid w:val="57476891"/>
    <w:rsid w:val="581E593B"/>
    <w:rsid w:val="58AE2091"/>
    <w:rsid w:val="59A70CE5"/>
    <w:rsid w:val="5A186745"/>
    <w:rsid w:val="5B596DFC"/>
    <w:rsid w:val="5DAE6D00"/>
    <w:rsid w:val="5DC81C25"/>
    <w:rsid w:val="5DF03945"/>
    <w:rsid w:val="5F03526B"/>
    <w:rsid w:val="613F5D6A"/>
    <w:rsid w:val="61D736BC"/>
    <w:rsid w:val="62E515AF"/>
    <w:rsid w:val="637C2815"/>
    <w:rsid w:val="63C9645D"/>
    <w:rsid w:val="666B4FDC"/>
    <w:rsid w:val="675F169C"/>
    <w:rsid w:val="67FF13C8"/>
    <w:rsid w:val="682144B7"/>
    <w:rsid w:val="6AB25739"/>
    <w:rsid w:val="6B503F77"/>
    <w:rsid w:val="6E311968"/>
    <w:rsid w:val="712560CC"/>
    <w:rsid w:val="72DE12F0"/>
    <w:rsid w:val="75266E05"/>
    <w:rsid w:val="77C3215F"/>
    <w:rsid w:val="7A353D0B"/>
    <w:rsid w:val="7AE53FCA"/>
    <w:rsid w:val="7CB927D8"/>
    <w:rsid w:val="7D3A5E2F"/>
    <w:rsid w:val="7EC421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semiHidden="0"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0" w:semiHidden="0" w:name="Body Text First Indent"/>
    <w:lsdException w:qFormat="1" w:unhideWhenUsed="0"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25"/>
    <w:autoRedefine/>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4">
    <w:name w:val="heading 2"/>
    <w:basedOn w:val="1"/>
    <w:next w:val="1"/>
    <w:link w:val="26"/>
    <w:autoRedefine/>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5">
    <w:name w:val="heading 3"/>
    <w:basedOn w:val="1"/>
    <w:next w:val="1"/>
    <w:link w:val="27"/>
    <w:autoRedefine/>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6">
    <w:name w:val="heading 4"/>
    <w:basedOn w:val="1"/>
    <w:next w:val="1"/>
    <w:link w:val="28"/>
    <w:autoRedefine/>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7">
    <w:name w:val="heading 5"/>
    <w:basedOn w:val="1"/>
    <w:next w:val="1"/>
    <w:link w:val="29"/>
    <w:autoRedefine/>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8">
    <w:name w:val="heading 6"/>
    <w:basedOn w:val="1"/>
    <w:next w:val="1"/>
    <w:link w:val="30"/>
    <w:autoRedefine/>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9">
    <w:name w:val="heading 7"/>
    <w:basedOn w:val="1"/>
    <w:next w:val="1"/>
    <w:link w:val="31"/>
    <w:autoRedefine/>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10">
    <w:name w:val="heading 8"/>
    <w:basedOn w:val="1"/>
    <w:next w:val="1"/>
    <w:link w:val="32"/>
    <w:autoRedefine/>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1">
    <w:name w:val="heading 9"/>
    <w:basedOn w:val="1"/>
    <w:next w:val="1"/>
    <w:link w:val="33"/>
    <w:autoRedefine/>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22">
    <w:name w:val="Default Paragraph Font"/>
    <w:autoRedefine/>
    <w:semiHidden/>
    <w:unhideWhenUsed/>
    <w:qFormat/>
    <w:uiPriority w:val="1"/>
  </w:style>
  <w:style w:type="table" w:default="1" w:styleId="21">
    <w:name w:val="Normal Table"/>
    <w:autoRedefine/>
    <w:semiHidden/>
    <w:unhideWhenUsed/>
    <w:qFormat/>
    <w:uiPriority w:val="99"/>
    <w:tblPr>
      <w:tblCellMar>
        <w:top w:w="0" w:type="dxa"/>
        <w:left w:w="108" w:type="dxa"/>
        <w:bottom w:w="0" w:type="dxa"/>
        <w:right w:w="108" w:type="dxa"/>
      </w:tblCellMar>
    </w:tblPr>
  </w:style>
  <w:style w:type="paragraph" w:styleId="2">
    <w:name w:val="Title"/>
    <w:basedOn w:val="1"/>
    <w:next w:val="1"/>
    <w:link w:val="34"/>
    <w:autoRedefine/>
    <w:qFormat/>
    <w:uiPriority w:val="10"/>
    <w:pPr>
      <w:widowControl/>
      <w:spacing w:before="240" w:after="60"/>
      <w:jc w:val="center"/>
      <w:outlineLvl w:val="0"/>
    </w:pPr>
    <w:rPr>
      <w:rFonts w:asciiTheme="majorHAnsi" w:hAnsiTheme="majorHAnsi" w:eastAsiaTheme="majorEastAsia"/>
      <w:b/>
      <w:bCs/>
      <w:kern w:val="28"/>
      <w:sz w:val="32"/>
      <w:szCs w:val="32"/>
    </w:rPr>
  </w:style>
  <w:style w:type="paragraph" w:styleId="12">
    <w:name w:val="annotation text"/>
    <w:basedOn w:val="1"/>
    <w:autoRedefine/>
    <w:qFormat/>
    <w:uiPriority w:val="0"/>
    <w:pPr>
      <w:jc w:val="left"/>
    </w:pPr>
  </w:style>
  <w:style w:type="paragraph" w:styleId="13">
    <w:name w:val="Body Text"/>
    <w:basedOn w:val="1"/>
    <w:next w:val="1"/>
    <w:autoRedefine/>
    <w:qFormat/>
    <w:uiPriority w:val="0"/>
    <w:pPr>
      <w:spacing w:after="120"/>
    </w:pPr>
  </w:style>
  <w:style w:type="paragraph" w:styleId="14">
    <w:name w:val="Body Text Indent"/>
    <w:basedOn w:val="1"/>
    <w:autoRedefine/>
    <w:qFormat/>
    <w:uiPriority w:val="0"/>
    <w:pPr>
      <w:spacing w:after="120"/>
      <w:ind w:left="420" w:leftChars="200"/>
    </w:pPr>
    <w:rPr>
      <w:rFonts w:ascii="Calibri" w:hAnsi="Calibri"/>
    </w:rPr>
  </w:style>
  <w:style w:type="paragraph" w:styleId="15">
    <w:name w:val="Balloon Text"/>
    <w:basedOn w:val="1"/>
    <w:link w:val="50"/>
    <w:autoRedefine/>
    <w:semiHidden/>
    <w:unhideWhenUsed/>
    <w:qFormat/>
    <w:uiPriority w:val="99"/>
    <w:rPr>
      <w:sz w:val="18"/>
      <w:szCs w:val="18"/>
    </w:rPr>
  </w:style>
  <w:style w:type="paragraph" w:styleId="16">
    <w:name w:val="footer"/>
    <w:basedOn w:val="1"/>
    <w:link w:val="49"/>
    <w:autoRedefine/>
    <w:unhideWhenUsed/>
    <w:qFormat/>
    <w:uiPriority w:val="99"/>
    <w:pPr>
      <w:tabs>
        <w:tab w:val="center" w:pos="4153"/>
        <w:tab w:val="right" w:pos="8306"/>
      </w:tabs>
      <w:snapToGrid w:val="0"/>
      <w:jc w:val="left"/>
    </w:pPr>
    <w:rPr>
      <w:rFonts w:ascii="Calibri" w:hAnsi="Calibri"/>
      <w:sz w:val="18"/>
      <w:szCs w:val="18"/>
    </w:rPr>
  </w:style>
  <w:style w:type="paragraph" w:styleId="17">
    <w:name w:val="header"/>
    <w:basedOn w:val="1"/>
    <w:link w:val="48"/>
    <w:autoRedefine/>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8">
    <w:name w:val="Subtitle"/>
    <w:basedOn w:val="1"/>
    <w:next w:val="1"/>
    <w:link w:val="35"/>
    <w:autoRedefine/>
    <w:qFormat/>
    <w:uiPriority w:val="11"/>
    <w:pPr>
      <w:widowControl/>
      <w:spacing w:after="60"/>
      <w:jc w:val="center"/>
      <w:outlineLvl w:val="1"/>
    </w:pPr>
    <w:rPr>
      <w:rFonts w:asciiTheme="majorHAnsi" w:hAnsiTheme="majorHAnsi" w:eastAsiaTheme="majorEastAsia"/>
      <w:kern w:val="0"/>
      <w:sz w:val="24"/>
    </w:rPr>
  </w:style>
  <w:style w:type="paragraph" w:styleId="19">
    <w:name w:val="Body Text First Indent"/>
    <w:basedOn w:val="13"/>
    <w:autoRedefine/>
    <w:qFormat/>
    <w:uiPriority w:val="0"/>
    <w:pPr>
      <w:spacing w:after="0"/>
      <w:ind w:firstLine="200" w:firstLineChars="200"/>
    </w:pPr>
  </w:style>
  <w:style w:type="paragraph" w:styleId="20">
    <w:name w:val="Body Text First Indent 2"/>
    <w:basedOn w:val="14"/>
    <w:autoRedefine/>
    <w:qFormat/>
    <w:uiPriority w:val="0"/>
    <w:pPr>
      <w:ind w:firstLine="420" w:firstLineChars="200"/>
    </w:pPr>
  </w:style>
  <w:style w:type="character" w:styleId="23">
    <w:name w:val="Strong"/>
    <w:basedOn w:val="22"/>
    <w:autoRedefine/>
    <w:qFormat/>
    <w:uiPriority w:val="0"/>
    <w:rPr>
      <w:b/>
      <w:bCs/>
    </w:rPr>
  </w:style>
  <w:style w:type="character" w:styleId="24">
    <w:name w:val="Emphasis"/>
    <w:basedOn w:val="22"/>
    <w:autoRedefine/>
    <w:qFormat/>
    <w:uiPriority w:val="20"/>
    <w:rPr>
      <w:rFonts w:asciiTheme="minorHAnsi" w:hAnsiTheme="minorHAnsi"/>
      <w:b/>
      <w:i/>
      <w:iCs/>
    </w:rPr>
  </w:style>
  <w:style w:type="character" w:customStyle="1" w:styleId="25">
    <w:name w:val="标题 1 字符"/>
    <w:basedOn w:val="22"/>
    <w:link w:val="3"/>
    <w:autoRedefine/>
    <w:qFormat/>
    <w:uiPriority w:val="9"/>
    <w:rPr>
      <w:rFonts w:asciiTheme="majorHAnsi" w:hAnsiTheme="majorHAnsi" w:eastAsiaTheme="majorEastAsia"/>
      <w:b/>
      <w:bCs/>
      <w:kern w:val="32"/>
      <w:sz w:val="32"/>
      <w:szCs w:val="32"/>
    </w:rPr>
  </w:style>
  <w:style w:type="character" w:customStyle="1" w:styleId="26">
    <w:name w:val="标题 2 字符"/>
    <w:basedOn w:val="22"/>
    <w:link w:val="4"/>
    <w:autoRedefine/>
    <w:semiHidden/>
    <w:qFormat/>
    <w:uiPriority w:val="9"/>
    <w:rPr>
      <w:rFonts w:asciiTheme="majorHAnsi" w:hAnsiTheme="majorHAnsi" w:eastAsiaTheme="majorEastAsia"/>
      <w:b/>
      <w:bCs/>
      <w:i/>
      <w:iCs/>
      <w:sz w:val="28"/>
      <w:szCs w:val="28"/>
    </w:rPr>
  </w:style>
  <w:style w:type="character" w:customStyle="1" w:styleId="27">
    <w:name w:val="标题 3 字符"/>
    <w:basedOn w:val="22"/>
    <w:link w:val="5"/>
    <w:autoRedefine/>
    <w:semiHidden/>
    <w:qFormat/>
    <w:uiPriority w:val="9"/>
    <w:rPr>
      <w:rFonts w:asciiTheme="majorHAnsi" w:hAnsiTheme="majorHAnsi" w:eastAsiaTheme="majorEastAsia"/>
      <w:b/>
      <w:bCs/>
      <w:sz w:val="26"/>
      <w:szCs w:val="26"/>
    </w:rPr>
  </w:style>
  <w:style w:type="character" w:customStyle="1" w:styleId="28">
    <w:name w:val="标题 4 字符"/>
    <w:basedOn w:val="22"/>
    <w:link w:val="6"/>
    <w:autoRedefine/>
    <w:semiHidden/>
    <w:qFormat/>
    <w:uiPriority w:val="9"/>
    <w:rPr>
      <w:b/>
      <w:bCs/>
      <w:sz w:val="28"/>
      <w:szCs w:val="28"/>
    </w:rPr>
  </w:style>
  <w:style w:type="character" w:customStyle="1" w:styleId="29">
    <w:name w:val="标题 5 字符"/>
    <w:basedOn w:val="22"/>
    <w:link w:val="7"/>
    <w:autoRedefine/>
    <w:semiHidden/>
    <w:qFormat/>
    <w:uiPriority w:val="9"/>
    <w:rPr>
      <w:b/>
      <w:bCs/>
      <w:i/>
      <w:iCs/>
      <w:sz w:val="26"/>
      <w:szCs w:val="26"/>
    </w:rPr>
  </w:style>
  <w:style w:type="character" w:customStyle="1" w:styleId="30">
    <w:name w:val="标题 6 字符"/>
    <w:basedOn w:val="22"/>
    <w:link w:val="8"/>
    <w:autoRedefine/>
    <w:semiHidden/>
    <w:qFormat/>
    <w:uiPriority w:val="9"/>
    <w:rPr>
      <w:b/>
      <w:bCs/>
    </w:rPr>
  </w:style>
  <w:style w:type="character" w:customStyle="1" w:styleId="31">
    <w:name w:val="标题 7 字符"/>
    <w:basedOn w:val="22"/>
    <w:link w:val="9"/>
    <w:autoRedefine/>
    <w:semiHidden/>
    <w:qFormat/>
    <w:uiPriority w:val="9"/>
    <w:rPr>
      <w:sz w:val="24"/>
      <w:szCs w:val="24"/>
    </w:rPr>
  </w:style>
  <w:style w:type="character" w:customStyle="1" w:styleId="32">
    <w:name w:val="标题 8 字符"/>
    <w:basedOn w:val="22"/>
    <w:link w:val="10"/>
    <w:autoRedefine/>
    <w:semiHidden/>
    <w:qFormat/>
    <w:uiPriority w:val="9"/>
    <w:rPr>
      <w:i/>
      <w:iCs/>
      <w:sz w:val="24"/>
      <w:szCs w:val="24"/>
    </w:rPr>
  </w:style>
  <w:style w:type="character" w:customStyle="1" w:styleId="33">
    <w:name w:val="标题 9 字符"/>
    <w:basedOn w:val="22"/>
    <w:link w:val="11"/>
    <w:autoRedefine/>
    <w:semiHidden/>
    <w:qFormat/>
    <w:uiPriority w:val="9"/>
    <w:rPr>
      <w:rFonts w:asciiTheme="majorHAnsi" w:hAnsiTheme="majorHAnsi" w:eastAsiaTheme="majorEastAsia"/>
    </w:rPr>
  </w:style>
  <w:style w:type="character" w:customStyle="1" w:styleId="34">
    <w:name w:val="标题 字符"/>
    <w:basedOn w:val="22"/>
    <w:link w:val="2"/>
    <w:autoRedefine/>
    <w:qFormat/>
    <w:uiPriority w:val="10"/>
    <w:rPr>
      <w:rFonts w:asciiTheme="majorHAnsi" w:hAnsiTheme="majorHAnsi" w:eastAsiaTheme="majorEastAsia"/>
      <w:b/>
      <w:bCs/>
      <w:kern w:val="28"/>
      <w:sz w:val="32"/>
      <w:szCs w:val="32"/>
    </w:rPr>
  </w:style>
  <w:style w:type="character" w:customStyle="1" w:styleId="35">
    <w:name w:val="副标题 字符"/>
    <w:basedOn w:val="22"/>
    <w:link w:val="18"/>
    <w:autoRedefine/>
    <w:qFormat/>
    <w:uiPriority w:val="11"/>
    <w:rPr>
      <w:rFonts w:asciiTheme="majorHAnsi" w:hAnsiTheme="majorHAnsi" w:eastAsiaTheme="majorEastAsia"/>
      <w:sz w:val="24"/>
      <w:szCs w:val="24"/>
    </w:rPr>
  </w:style>
  <w:style w:type="paragraph" w:styleId="36">
    <w:name w:val="No Spacing"/>
    <w:basedOn w:val="1"/>
    <w:autoRedefine/>
    <w:qFormat/>
    <w:uiPriority w:val="1"/>
    <w:pPr>
      <w:widowControl/>
      <w:jc w:val="left"/>
    </w:pPr>
    <w:rPr>
      <w:rFonts w:asciiTheme="minorHAnsi" w:hAnsiTheme="minorHAnsi" w:eastAsiaTheme="minorEastAsia"/>
      <w:kern w:val="0"/>
      <w:sz w:val="24"/>
      <w:szCs w:val="32"/>
      <w:lang w:eastAsia="en-US" w:bidi="en-US"/>
    </w:rPr>
  </w:style>
  <w:style w:type="paragraph" w:styleId="37">
    <w:name w:val="List Paragraph"/>
    <w:basedOn w:val="1"/>
    <w:autoRedefine/>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8">
    <w:name w:val="Quote"/>
    <w:basedOn w:val="1"/>
    <w:next w:val="1"/>
    <w:link w:val="39"/>
    <w:autoRedefine/>
    <w:qFormat/>
    <w:uiPriority w:val="29"/>
    <w:pPr>
      <w:widowControl/>
      <w:jc w:val="left"/>
    </w:pPr>
    <w:rPr>
      <w:rFonts w:asciiTheme="minorHAnsi" w:hAnsiTheme="minorHAnsi" w:eastAsiaTheme="minorEastAsia"/>
      <w:i/>
      <w:kern w:val="0"/>
      <w:sz w:val="24"/>
    </w:rPr>
  </w:style>
  <w:style w:type="character" w:customStyle="1" w:styleId="39">
    <w:name w:val="引用 字符"/>
    <w:basedOn w:val="22"/>
    <w:link w:val="38"/>
    <w:autoRedefine/>
    <w:qFormat/>
    <w:uiPriority w:val="29"/>
    <w:rPr>
      <w:i/>
      <w:sz w:val="24"/>
      <w:szCs w:val="24"/>
    </w:rPr>
  </w:style>
  <w:style w:type="paragraph" w:styleId="40">
    <w:name w:val="Intense Quote"/>
    <w:basedOn w:val="1"/>
    <w:next w:val="1"/>
    <w:link w:val="41"/>
    <w:autoRedefine/>
    <w:qFormat/>
    <w:uiPriority w:val="30"/>
    <w:pPr>
      <w:widowControl/>
      <w:ind w:left="720" w:right="720"/>
      <w:jc w:val="left"/>
    </w:pPr>
    <w:rPr>
      <w:rFonts w:asciiTheme="minorHAnsi" w:hAnsiTheme="minorHAnsi" w:eastAsiaTheme="minorEastAsia"/>
      <w:b/>
      <w:i/>
      <w:kern w:val="0"/>
      <w:sz w:val="24"/>
      <w:szCs w:val="22"/>
    </w:rPr>
  </w:style>
  <w:style w:type="character" w:customStyle="1" w:styleId="41">
    <w:name w:val="明显引用 字符"/>
    <w:basedOn w:val="22"/>
    <w:link w:val="40"/>
    <w:autoRedefine/>
    <w:qFormat/>
    <w:uiPriority w:val="30"/>
    <w:rPr>
      <w:b/>
      <w:i/>
      <w:sz w:val="24"/>
    </w:rPr>
  </w:style>
  <w:style w:type="character" w:customStyle="1" w:styleId="42">
    <w:name w:val="不明显强调1"/>
    <w:autoRedefine/>
    <w:qFormat/>
    <w:uiPriority w:val="19"/>
    <w:rPr>
      <w:i/>
      <w:color w:val="595959" w:themeColor="text1" w:themeTint="A6"/>
      <w14:textFill>
        <w14:solidFill>
          <w14:schemeClr w14:val="tx1">
            <w14:lumMod w14:val="65000"/>
            <w14:lumOff w14:val="35000"/>
          </w14:schemeClr>
        </w14:solidFill>
      </w14:textFill>
    </w:rPr>
  </w:style>
  <w:style w:type="character" w:customStyle="1" w:styleId="43">
    <w:name w:val="明显强调1"/>
    <w:basedOn w:val="22"/>
    <w:autoRedefine/>
    <w:qFormat/>
    <w:uiPriority w:val="21"/>
    <w:rPr>
      <w:b/>
      <w:i/>
      <w:sz w:val="24"/>
      <w:szCs w:val="24"/>
      <w:u w:val="single"/>
    </w:rPr>
  </w:style>
  <w:style w:type="character" w:customStyle="1" w:styleId="44">
    <w:name w:val="不明显参考1"/>
    <w:basedOn w:val="22"/>
    <w:autoRedefine/>
    <w:qFormat/>
    <w:uiPriority w:val="31"/>
    <w:rPr>
      <w:sz w:val="24"/>
      <w:szCs w:val="24"/>
      <w:u w:val="single"/>
    </w:rPr>
  </w:style>
  <w:style w:type="character" w:customStyle="1" w:styleId="45">
    <w:name w:val="明显参考1"/>
    <w:basedOn w:val="22"/>
    <w:autoRedefine/>
    <w:qFormat/>
    <w:uiPriority w:val="32"/>
    <w:rPr>
      <w:b/>
      <w:sz w:val="24"/>
      <w:u w:val="single"/>
    </w:rPr>
  </w:style>
  <w:style w:type="character" w:customStyle="1" w:styleId="46">
    <w:name w:val="书籍标题1"/>
    <w:basedOn w:val="22"/>
    <w:autoRedefine/>
    <w:qFormat/>
    <w:uiPriority w:val="33"/>
    <w:rPr>
      <w:rFonts w:asciiTheme="majorHAnsi" w:hAnsiTheme="majorHAnsi" w:eastAsiaTheme="majorEastAsia"/>
      <w:b/>
      <w:i/>
      <w:sz w:val="24"/>
      <w:szCs w:val="24"/>
    </w:rPr>
  </w:style>
  <w:style w:type="paragraph" w:customStyle="1" w:styleId="47">
    <w:name w:val="TOC 标题1"/>
    <w:basedOn w:val="3"/>
    <w:next w:val="1"/>
    <w:autoRedefine/>
    <w:semiHidden/>
    <w:unhideWhenUsed/>
    <w:qFormat/>
    <w:uiPriority w:val="39"/>
    <w:pPr>
      <w:outlineLvl w:val="9"/>
    </w:pPr>
    <w:rPr>
      <w:lang w:eastAsia="en-US" w:bidi="en-US"/>
    </w:rPr>
  </w:style>
  <w:style w:type="character" w:customStyle="1" w:styleId="48">
    <w:name w:val="页眉 字符"/>
    <w:basedOn w:val="22"/>
    <w:link w:val="17"/>
    <w:autoRedefine/>
    <w:qFormat/>
    <w:uiPriority w:val="99"/>
    <w:rPr>
      <w:rFonts w:ascii="Calibri" w:hAnsi="Calibri" w:eastAsia="宋体"/>
      <w:kern w:val="2"/>
      <w:sz w:val="18"/>
      <w:szCs w:val="18"/>
    </w:rPr>
  </w:style>
  <w:style w:type="character" w:customStyle="1" w:styleId="49">
    <w:name w:val="页脚 字符"/>
    <w:basedOn w:val="22"/>
    <w:link w:val="16"/>
    <w:autoRedefine/>
    <w:qFormat/>
    <w:uiPriority w:val="99"/>
    <w:rPr>
      <w:rFonts w:ascii="Calibri" w:hAnsi="Calibri" w:eastAsia="宋体"/>
      <w:kern w:val="2"/>
      <w:sz w:val="18"/>
      <w:szCs w:val="18"/>
    </w:rPr>
  </w:style>
  <w:style w:type="character" w:customStyle="1" w:styleId="50">
    <w:name w:val="批注框文本 字符"/>
    <w:basedOn w:val="22"/>
    <w:link w:val="15"/>
    <w:autoRedefine/>
    <w:semiHidden/>
    <w:qFormat/>
    <w:uiPriority w:val="99"/>
    <w:rPr>
      <w:rFonts w:ascii="Times New Roman" w:hAnsi="Times New Roman" w:eastAsia="宋体"/>
      <w:kern w:val="2"/>
      <w:sz w:val="18"/>
      <w:szCs w:val="18"/>
    </w:rPr>
  </w:style>
  <w:style w:type="paragraph" w:customStyle="1" w:styleId="51">
    <w:name w:val="Heading2"/>
    <w:next w:val="1"/>
    <w:autoRedefine/>
    <w:qFormat/>
    <w:uiPriority w:val="0"/>
    <w:pPr>
      <w:keepNext/>
      <w:keepLines/>
      <w:widowControl w:val="0"/>
      <w:spacing w:before="260" w:after="260" w:line="413" w:lineRule="auto"/>
      <w:jc w:val="both"/>
    </w:pPr>
    <w:rPr>
      <w:rFonts w:ascii="Arial" w:hAnsi="Arial" w:eastAsia="黑体" w:cs="Times New Roman"/>
      <w:b/>
      <w:kern w:val="2"/>
      <w:sz w:val="32"/>
      <w:szCs w:val="22"/>
      <w:lang w:val="en-US" w:eastAsia="zh-CN" w:bidi="ar-SA"/>
    </w:rPr>
  </w:style>
  <w:style w:type="character" w:customStyle="1" w:styleId="52">
    <w:name w:val="fontstyle01"/>
    <w:autoRedefine/>
    <w:qFormat/>
    <w:uiPriority w:val="0"/>
    <w:rPr>
      <w:rFonts w:ascii="仿宋_GB2312" w:hAnsi="仿宋_GB2312" w:eastAsia="仿宋_GB2312" w:cs="仿宋_GB2312"/>
      <w:color w:val="000000"/>
      <w:sz w:val="32"/>
      <w:szCs w:val="32"/>
    </w:rPr>
  </w:style>
  <w:style w:type="paragraph" w:customStyle="1" w:styleId="53">
    <w:name w:val="样式 文字 + 首行缩进:  2 字符3"/>
    <w:basedOn w:val="1"/>
    <w:autoRedefine/>
    <w:qFormat/>
    <w:uiPriority w:val="0"/>
    <w:pPr>
      <w:spacing w:line="360" w:lineRule="auto"/>
      <w:ind w:firstLine="200" w:firstLineChars="200"/>
    </w:pPr>
    <w:rPr>
      <w:rFonts w:eastAsia="仿宋_GB2312" w:cs="宋体"/>
      <w:sz w:val="28"/>
      <w:szCs w:val="28"/>
    </w:rPr>
  </w:style>
  <w:style w:type="paragraph" w:customStyle="1" w:styleId="54">
    <w:name w:val="样式1"/>
    <w:basedOn w:val="1"/>
    <w:next w:val="6"/>
    <w:autoRedefine/>
    <w:qFormat/>
    <w:uiPriority w:val="0"/>
    <w:pPr>
      <w:ind w:firstLine="420"/>
    </w:pPr>
    <w:rPr>
      <w:rFonts w:ascii="宋体" w:hAnsi="宋体"/>
      <w:szCs w:val="21"/>
    </w:rPr>
  </w:style>
  <w:style w:type="paragraph" w:customStyle="1" w:styleId="55">
    <w:name w:val="闻政-正文段落文字"/>
    <w:basedOn w:val="1"/>
    <w:autoRedefine/>
    <w:qFormat/>
    <w:uiPriority w:val="3"/>
    <w:pPr>
      <w:spacing w:line="500" w:lineRule="exact"/>
      <w:ind w:firstLine="200"/>
    </w:pPr>
    <w:rPr>
      <w:kern w:val="0"/>
      <w:szCs w:val="2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25</Pages>
  <Words>12501</Words>
  <Characters>13082</Characters>
  <Lines>50</Lines>
  <Paragraphs>14</Paragraphs>
  <TotalTime>21</TotalTime>
  <ScaleCrop>false</ScaleCrop>
  <LinksUpToDate>false</LinksUpToDate>
  <CharactersWithSpaces>13104</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2020-07-04T08:35:00Z</dcterms:created>
  <dc:creator>赵 恺（预算处）</dc:creator>
  <cp:lastModifiedBy>岁月无痕</cp:lastModifiedBy>
  <cp:lastPrinted>2019-12-31T08:02:00Z</cp:lastPrinted>
  <dcterms:modified xsi:type="dcterms:W3CDTF">2024-08-30T12:09:53Z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013360FACCE1418B80C968824022A9DF</vt:lpwstr>
  </property>
  <property fmtid="{D5CDD505-2E9C-101B-9397-08002B2CF9AE}" pid="4" name="KSOSaveFontToCloudKey">
    <vt:lpwstr>0_btnclosed</vt:lpwstr>
  </property>
</Properties>
</file>