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lang w:val="en-US" w:eastAsia="zh-CN"/>
        </w:rPr>
        <w:t>2023年中国产业转移发展对接活动（新疆）服务项目</w:t>
      </w:r>
      <w:r>
        <w:rPr>
          <w:rFonts w:eastAsia="方正小标宋_GBK"/>
          <w:kern w:val="0"/>
          <w:sz w:val="48"/>
          <w:szCs w:val="48"/>
        </w:rPr>
        <w:t>资金项目支出绩效评价</w:t>
      </w:r>
    </w:p>
    <w:p>
      <w:pPr>
        <w:spacing w:line="540" w:lineRule="exact"/>
        <w:jc w:val="center"/>
        <w:rPr>
          <w:rFonts w:eastAsia="方正小标宋_GBK"/>
          <w:kern w:val="0"/>
          <w:sz w:val="48"/>
          <w:szCs w:val="48"/>
        </w:rPr>
      </w:pPr>
      <w:r>
        <w:rPr>
          <w:rFonts w:eastAsia="方正小标宋_GBK"/>
          <w:kern w:val="0"/>
          <w:sz w:val="48"/>
          <w:szCs w:val="48"/>
        </w:rPr>
        <w:t>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9"/>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left="1436" w:leftChars="684" w:firstLine="0" w:firstLineChars="0"/>
        <w:jc w:val="left"/>
        <w:rPr>
          <w:rFonts w:hint="eastAsia" w:eastAsia="仿宋_GB2312"/>
          <w:kern w:val="0"/>
          <w:sz w:val="36"/>
          <w:szCs w:val="36"/>
          <w:lang w:val="en-US" w:eastAsia="zh-CN"/>
        </w:rPr>
      </w:pPr>
      <w:r>
        <w:rPr>
          <w:rFonts w:eastAsia="仿宋_GB2312"/>
          <w:kern w:val="0"/>
          <w:sz w:val="36"/>
          <w:szCs w:val="36"/>
        </w:rPr>
        <w:t>项目名称：</w:t>
      </w:r>
      <w:r>
        <w:rPr>
          <w:rFonts w:hint="eastAsia" w:eastAsia="仿宋_GB2312"/>
          <w:kern w:val="0"/>
          <w:sz w:val="36"/>
          <w:szCs w:val="36"/>
          <w:lang w:val="en-US" w:eastAsia="zh-CN"/>
        </w:rPr>
        <w:t>2023年中国产业转移发展对接活 动（新疆）服务项目</w:t>
      </w:r>
    </w:p>
    <w:p>
      <w:pPr>
        <w:spacing w:line="700" w:lineRule="exact"/>
        <w:ind w:firstLine="1440" w:firstLineChars="4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lang w:val="en-US" w:eastAsia="zh-CN"/>
        </w:rPr>
        <w:t>产业政策处</w:t>
      </w:r>
    </w:p>
    <w:p>
      <w:pPr>
        <w:spacing w:line="700" w:lineRule="exact"/>
        <w:ind w:firstLine="1440" w:firstLineChars="400"/>
        <w:jc w:val="left"/>
        <w:rPr>
          <w:rFonts w:hint="default" w:eastAsia="仿宋_GB2312"/>
          <w:kern w:val="0"/>
          <w:sz w:val="36"/>
          <w:szCs w:val="36"/>
          <w:lang w:val="en-US" w:eastAsia="zh-CN"/>
        </w:rPr>
      </w:pPr>
      <w:r>
        <w:rPr>
          <w:rFonts w:eastAsia="仿宋_GB2312"/>
          <w:kern w:val="0"/>
          <w:sz w:val="36"/>
          <w:szCs w:val="36"/>
        </w:rPr>
        <w:t>主管部门（公章）：</w:t>
      </w:r>
      <w:r>
        <w:rPr>
          <w:rFonts w:hint="eastAsia" w:eastAsia="仿宋_GB2312"/>
          <w:kern w:val="0"/>
          <w:sz w:val="36"/>
          <w:szCs w:val="36"/>
          <w:lang w:val="en-US" w:eastAsia="zh-CN"/>
        </w:rPr>
        <w:t>自治区工业和信息化厅</w:t>
      </w:r>
    </w:p>
    <w:p>
      <w:pPr>
        <w:spacing w:line="700" w:lineRule="exact"/>
        <w:ind w:firstLine="1440" w:firstLineChars="400"/>
        <w:jc w:val="left"/>
        <w:rPr>
          <w:rFonts w:hint="default" w:eastAsia="仿宋_GB2312"/>
          <w:kern w:val="0"/>
          <w:sz w:val="36"/>
          <w:szCs w:val="36"/>
          <w:lang w:val="en-US" w:eastAsia="zh-CN"/>
        </w:rPr>
      </w:pPr>
      <w:r>
        <w:rPr>
          <w:rFonts w:eastAsia="仿宋_GB2312"/>
          <w:kern w:val="0"/>
          <w:sz w:val="36"/>
          <w:szCs w:val="36"/>
        </w:rPr>
        <w:t>项目负责人（签章）：</w:t>
      </w:r>
      <w:r>
        <w:rPr>
          <w:rFonts w:hint="eastAsia" w:eastAsia="仿宋_GB2312"/>
          <w:kern w:val="0"/>
          <w:sz w:val="36"/>
          <w:szCs w:val="36"/>
          <w:lang w:val="en-US" w:eastAsia="zh-CN"/>
        </w:rPr>
        <w:t>张磊</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5</w:t>
      </w:r>
      <w:r>
        <w:rPr>
          <w:rFonts w:eastAsia="仿宋_GB2312"/>
          <w:kern w:val="0"/>
          <w:sz w:val="36"/>
          <w:szCs w:val="36"/>
        </w:rPr>
        <w:t>月</w:t>
      </w:r>
      <w:r>
        <w:rPr>
          <w:rFonts w:hint="eastAsia" w:eastAsia="仿宋_GB2312"/>
          <w:kern w:val="0"/>
          <w:sz w:val="36"/>
          <w:szCs w:val="36"/>
          <w:lang w:val="en-US" w:eastAsia="zh-CN"/>
        </w:rPr>
        <w:t>17</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15"/>
          <w:rFonts w:eastAsia="黑体"/>
          <w:b w:val="0"/>
          <w:spacing w:val="-4"/>
          <w:sz w:val="32"/>
          <w:szCs w:val="32"/>
        </w:rPr>
      </w:pPr>
    </w:p>
    <w:p>
      <w:pPr>
        <w:spacing w:line="560" w:lineRule="exact"/>
        <w:rPr>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eastAsia="黑体"/>
          <w:bCs/>
          <w:sz w:val="32"/>
          <w:szCs w:val="32"/>
        </w:rPr>
      </w:pPr>
      <w:r>
        <w:rPr>
          <w:rFonts w:eastAsia="黑体"/>
          <w:bCs/>
          <w:sz w:val="32"/>
          <w:szCs w:val="32"/>
        </w:rPr>
        <w:t>一、基本情况</w:t>
      </w:r>
    </w:p>
    <w:p>
      <w:pPr>
        <w:spacing w:line="560" w:lineRule="exact"/>
        <w:ind w:firstLine="643" w:firstLineChars="200"/>
        <w:rPr>
          <w:rFonts w:eastAsia="楷体_GB2312"/>
          <w:b/>
          <w:bCs/>
          <w:sz w:val="32"/>
          <w:szCs w:val="32"/>
        </w:rPr>
      </w:pPr>
      <w:r>
        <w:rPr>
          <w:rFonts w:eastAsia="楷体_GB2312"/>
          <w:b/>
          <w:bCs/>
          <w:sz w:val="32"/>
          <w:szCs w:val="32"/>
        </w:rPr>
        <w:t>（一）项目概况</w:t>
      </w:r>
    </w:p>
    <w:p>
      <w:pPr>
        <w:spacing w:line="560" w:lineRule="exact"/>
        <w:ind w:firstLine="643" w:firstLineChars="200"/>
        <w:rPr>
          <w:rFonts w:eastAsia="仿宋_GB2312"/>
          <w:b/>
          <w:bCs/>
          <w:sz w:val="32"/>
          <w:szCs w:val="32"/>
        </w:rPr>
      </w:pPr>
      <w:r>
        <w:rPr>
          <w:rFonts w:eastAsia="仿宋_GB2312"/>
          <w:b/>
          <w:bCs/>
          <w:sz w:val="32"/>
          <w:szCs w:val="32"/>
        </w:rPr>
        <w:t>1、项目背景</w:t>
      </w:r>
    </w:p>
    <w:p>
      <w:pPr>
        <w:spacing w:line="560" w:lineRule="exact"/>
        <w:ind w:firstLine="640" w:firstLineChars="20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当前，新疆正处于推动高质量发展的关键期，迎来了千载难逢的发展机遇。自治区</w:t>
      </w:r>
      <w:r>
        <w:rPr>
          <w:rFonts w:hint="eastAsia" w:eastAsia="仿宋_GB2312" w:cs="Times New Roman"/>
          <w:b w:val="0"/>
          <w:bCs w:val="0"/>
          <w:kern w:val="2"/>
          <w:sz w:val="32"/>
          <w:szCs w:val="32"/>
          <w:lang w:val="en-US" w:eastAsia="zh-CN" w:bidi="ar-SA"/>
        </w:rPr>
        <w:t>党</w:t>
      </w:r>
      <w:bookmarkStart w:id="9" w:name="_GoBack"/>
      <w:bookmarkEnd w:id="9"/>
      <w:r>
        <w:rPr>
          <w:rFonts w:hint="eastAsia" w:ascii="Times New Roman" w:hAnsi="Times New Roman" w:eastAsia="仿宋_GB2312" w:cs="Times New Roman"/>
          <w:b w:val="0"/>
          <w:bCs w:val="0"/>
          <w:kern w:val="2"/>
          <w:sz w:val="32"/>
          <w:szCs w:val="32"/>
          <w:lang w:val="en-US" w:eastAsia="zh-CN" w:bidi="ar-SA"/>
        </w:rPr>
        <w:t>委、自治区人民政府进一步明确新疆在全面建设社会主义现代化强国中的战略定位，并对高质量建设“八大产业集群”、加快打造具有新疆特色现代化产业体系作出</w:t>
      </w:r>
      <w:r>
        <w:rPr>
          <w:rFonts w:hint="eastAsia" w:eastAsia="仿宋_GB2312" w:cs="Times New Roman"/>
          <w:b w:val="0"/>
          <w:bCs w:val="0"/>
          <w:kern w:val="2"/>
          <w:sz w:val="32"/>
          <w:szCs w:val="32"/>
          <w:lang w:val="en-US" w:eastAsia="zh-CN" w:bidi="ar-SA"/>
        </w:rPr>
        <w:t>决策</w:t>
      </w:r>
      <w:r>
        <w:rPr>
          <w:rFonts w:hint="eastAsia" w:ascii="Times New Roman" w:hAnsi="Times New Roman" w:eastAsia="仿宋_GB2312" w:cs="Times New Roman"/>
          <w:b w:val="0"/>
          <w:bCs w:val="0"/>
          <w:kern w:val="2"/>
          <w:sz w:val="32"/>
          <w:szCs w:val="32"/>
          <w:lang w:val="en-US" w:eastAsia="zh-CN" w:bidi="ar-SA"/>
        </w:rPr>
        <w:t>部署。为确保能够把握难得发展</w:t>
      </w:r>
      <w:r>
        <w:rPr>
          <w:rFonts w:hint="eastAsia" w:eastAsia="仿宋_GB2312" w:cs="Times New Roman"/>
          <w:b w:val="0"/>
          <w:bCs w:val="0"/>
          <w:kern w:val="2"/>
          <w:sz w:val="32"/>
          <w:szCs w:val="32"/>
          <w:lang w:val="en-US" w:eastAsia="zh-CN" w:bidi="ar-SA"/>
        </w:rPr>
        <w:t>机遇</w:t>
      </w:r>
      <w:r>
        <w:rPr>
          <w:rFonts w:hint="eastAsia" w:ascii="Times New Roman" w:hAnsi="Times New Roman" w:eastAsia="仿宋_GB2312" w:cs="Times New Roman"/>
          <w:b w:val="0"/>
          <w:bCs w:val="0"/>
          <w:kern w:val="2"/>
          <w:sz w:val="32"/>
          <w:szCs w:val="32"/>
          <w:lang w:val="en-US" w:eastAsia="zh-CN" w:bidi="ar-SA"/>
        </w:rPr>
        <w:t>，进一步加强与沿海地区、特别是19个对口援疆省市的经济交流与合作，更加有序承接东部地区产业转移，根据《国务院关于中西部地区承接产业转移的指导意见》</w:t>
      </w:r>
      <w:r>
        <w:rPr>
          <w:rFonts w:hint="eastAsia" w:eastAsia="仿宋_GB2312" w:cs="Times New Roman"/>
          <w:b w:val="0"/>
          <w:bCs w:val="0"/>
          <w:kern w:val="2"/>
          <w:sz w:val="32"/>
          <w:szCs w:val="32"/>
          <w:lang w:val="en-US" w:eastAsia="zh-CN" w:bidi="ar-SA"/>
        </w:rPr>
        <w:t>（</w:t>
      </w:r>
      <w:r>
        <w:rPr>
          <w:rFonts w:hint="eastAsia" w:ascii="Times New Roman" w:hAnsi="Times New Roman" w:eastAsia="仿宋_GB2312" w:cs="Times New Roman"/>
          <w:b w:val="0"/>
          <w:bCs w:val="0"/>
          <w:kern w:val="2"/>
          <w:sz w:val="32"/>
          <w:szCs w:val="32"/>
          <w:lang w:val="en-US" w:eastAsia="zh-CN" w:bidi="ar-SA"/>
        </w:rPr>
        <w:t>国发〔2010〕128号</w:t>
      </w:r>
      <w:r>
        <w:rPr>
          <w:rFonts w:hint="eastAsia" w:eastAsia="仿宋_GB2312" w:cs="Times New Roman"/>
          <w:b w:val="0"/>
          <w:bCs w:val="0"/>
          <w:kern w:val="2"/>
          <w:sz w:val="32"/>
          <w:szCs w:val="32"/>
          <w:lang w:val="en-US" w:eastAsia="zh-CN" w:bidi="ar-SA"/>
        </w:rPr>
        <w:t>）</w:t>
      </w:r>
      <w:r>
        <w:rPr>
          <w:rFonts w:hint="eastAsia" w:ascii="Times New Roman" w:hAnsi="Times New Roman" w:eastAsia="仿宋_GB2312" w:cs="Times New Roman"/>
          <w:b w:val="0"/>
          <w:bCs w:val="0"/>
          <w:kern w:val="2"/>
          <w:sz w:val="32"/>
          <w:szCs w:val="32"/>
          <w:lang w:val="en-US" w:eastAsia="zh-CN" w:bidi="ar-SA"/>
        </w:rPr>
        <w:t>及工信部等10部委《关于促进制造业有序转移的指导意见</w:t>
      </w:r>
      <w:r>
        <w:rPr>
          <w:rFonts w:hint="eastAsia" w:eastAsia="仿宋_GB2312" w:cs="Times New Roman"/>
          <w:b w:val="0"/>
          <w:bCs w:val="0"/>
          <w:kern w:val="2"/>
          <w:sz w:val="32"/>
          <w:szCs w:val="32"/>
          <w:lang w:val="en-US" w:eastAsia="zh-CN" w:bidi="ar-SA"/>
        </w:rPr>
        <w:t>》</w:t>
      </w:r>
      <w:r>
        <w:rPr>
          <w:rFonts w:hint="eastAsia" w:ascii="Times New Roman" w:hAnsi="Times New Roman" w:eastAsia="仿宋_GB2312" w:cs="Times New Roman"/>
          <w:b w:val="0"/>
          <w:bCs w:val="0"/>
          <w:kern w:val="2"/>
          <w:sz w:val="32"/>
          <w:szCs w:val="32"/>
          <w:lang w:val="en-US" w:eastAsia="zh-CN" w:bidi="ar-SA"/>
        </w:rPr>
        <w:t>工信部联政法〔2021〕215 号）精神，</w:t>
      </w:r>
      <w:r>
        <w:rPr>
          <w:rFonts w:hint="eastAsia" w:eastAsia="仿宋_GB2312" w:cs="Times New Roman"/>
          <w:b w:val="0"/>
          <w:bCs w:val="0"/>
          <w:kern w:val="2"/>
          <w:sz w:val="32"/>
          <w:szCs w:val="32"/>
          <w:lang w:val="en-US" w:eastAsia="zh-CN" w:bidi="ar-SA"/>
        </w:rPr>
        <w:t>我区</w:t>
      </w:r>
      <w:r>
        <w:rPr>
          <w:rFonts w:hint="eastAsia" w:ascii="Times New Roman" w:hAnsi="Times New Roman" w:eastAsia="仿宋_GB2312" w:cs="Times New Roman"/>
          <w:b w:val="0"/>
          <w:bCs w:val="0"/>
          <w:kern w:val="2"/>
          <w:sz w:val="32"/>
          <w:szCs w:val="32"/>
          <w:lang w:val="en-US" w:eastAsia="zh-CN" w:bidi="ar-SA"/>
        </w:rPr>
        <w:t>于 2023 年</w:t>
      </w:r>
      <w:r>
        <w:rPr>
          <w:rFonts w:hint="eastAsia" w:eastAsia="仿宋_GB2312" w:cs="Times New Roman"/>
          <w:b w:val="0"/>
          <w:bCs w:val="0"/>
          <w:kern w:val="2"/>
          <w:sz w:val="32"/>
          <w:szCs w:val="32"/>
          <w:lang w:val="en-US" w:eastAsia="zh-CN" w:bidi="ar-SA"/>
        </w:rPr>
        <w:t>10</w:t>
      </w:r>
      <w:r>
        <w:rPr>
          <w:rFonts w:hint="eastAsia" w:ascii="Times New Roman" w:hAnsi="Times New Roman" w:eastAsia="仿宋_GB2312" w:cs="Times New Roman"/>
          <w:b w:val="0"/>
          <w:bCs w:val="0"/>
          <w:kern w:val="2"/>
          <w:sz w:val="32"/>
          <w:szCs w:val="32"/>
          <w:lang w:val="en-US" w:eastAsia="zh-CN" w:bidi="ar-SA"/>
        </w:rPr>
        <w:t>月举办“2023 中国产业转移发展对接活动（新疆）”，承办单位为新疆维吾尔自治区昌吉回族自治州人民政府和新疆维吾尔自治区工业和信息化厅。</w:t>
      </w:r>
    </w:p>
    <w:p>
      <w:pPr>
        <w:pStyle w:val="9"/>
        <w:numPr>
          <w:ilvl w:val="0"/>
          <w:numId w:val="1"/>
        </w:numPr>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pPr>
        <w:spacing w:line="560" w:lineRule="exact"/>
        <w:ind w:firstLine="640" w:firstLineChars="200"/>
        <w:rPr>
          <w:rFonts w:hint="eastAsia" w:ascii="仿宋_GB2312" w:hAnsi="仿宋_GB2312" w:eastAsia="仿宋_GB2312" w:cs="仿宋_GB2312"/>
          <w:sz w:val="30"/>
          <w:szCs w:val="30"/>
          <w:highlight w:val="none"/>
          <w:lang w:val="en-US" w:eastAsia="zh-CN"/>
        </w:rPr>
      </w:pPr>
      <w:r>
        <w:rPr>
          <w:rFonts w:hint="eastAsia" w:ascii="Times New Roman" w:hAnsi="Times New Roman" w:eastAsia="仿宋_GB2312" w:cs="Times New Roman"/>
          <w:b w:val="0"/>
          <w:bCs w:val="0"/>
          <w:kern w:val="2"/>
          <w:sz w:val="32"/>
          <w:szCs w:val="32"/>
          <w:lang w:val="en-US" w:eastAsia="zh-CN" w:bidi="ar-SA"/>
        </w:rPr>
        <w:t>自治区工业和信息化厅。负责协调工业和信息化部及部属司局、单位领导，国家行业联合会和协会领导，专家学者、国内相关行业龙头企业负责人出席活动事宜，负责协调福建省、山西省分管领导，其他援疆省市工业和信息化部门主要领导及企业负责人出席活动事宜，负责协调自治区领导区相关厅局、单位出席活动事宜，负责活动的策划、筹备、组织、实施；负责产业转移合作协议文本起草并组织衔；负责签约项目的把关；负责“八大产业集群”展厅展位布展，项目的征集发布和签约项目的遴选，配合做好产业推介，组织好企业参加活动；负责专题对接活动方案并组织实施。</w:t>
      </w:r>
    </w:p>
    <w:p>
      <w:pPr>
        <w:spacing w:line="560" w:lineRule="exact"/>
        <w:ind w:firstLine="640" w:firstLineChars="200"/>
        <w:rPr>
          <w:rFonts w:hint="eastAsia" w:eastAsia="仿宋_GB2312"/>
          <w:lang w:eastAsia="zh-CN"/>
        </w:rPr>
      </w:pPr>
      <w:r>
        <w:rPr>
          <w:rFonts w:eastAsia="仿宋_GB2312"/>
          <w:sz w:val="32"/>
          <w:szCs w:val="32"/>
        </w:rPr>
        <w:t>项目实施情况：</w:t>
      </w:r>
      <w:r>
        <w:rPr>
          <w:rFonts w:hint="eastAsia" w:eastAsia="仿宋_GB2312"/>
          <w:sz w:val="32"/>
          <w:szCs w:val="32"/>
        </w:rPr>
        <w:t>2023 中国产业转移发展对接活动（新疆）经费总计预箅约 862 万元，由自治区人民政府、昌吉州人民政府共同承担，其中：自治区人民政府承担 350 万元，用于设计、承装“八大产业集群》展厅展位；昌吉州人民政府承担 512万元，负责活动场地租赁、设备租赁、车辆租赁、接待、食宿、会务、安保、印刷、宣传等费用。</w:t>
      </w:r>
      <w:r>
        <w:rPr>
          <w:rFonts w:eastAsia="仿宋_GB2312"/>
          <w:sz w:val="32"/>
          <w:szCs w:val="32"/>
        </w:rPr>
        <w:t>项目目前已经完成实际设立的目标，</w:t>
      </w:r>
      <w:r>
        <w:rPr>
          <w:rFonts w:hint="eastAsia" w:eastAsia="仿宋_GB2312"/>
          <w:sz w:val="32"/>
          <w:szCs w:val="32"/>
        </w:rPr>
        <w:t>坚持“高效、务实、节俭，原则，突出重点、厉行节约，量财办事、专款专用</w:t>
      </w:r>
      <w:r>
        <w:rPr>
          <w:rFonts w:hint="eastAsia" w:eastAsia="仿宋_GB2312"/>
          <w:sz w:val="32"/>
          <w:szCs w:val="32"/>
          <w:lang w:eastAsia="zh-CN"/>
        </w:rPr>
        <w:t>。</w:t>
      </w:r>
    </w:p>
    <w:p>
      <w:pPr>
        <w:spacing w:line="560" w:lineRule="exact"/>
        <w:ind w:firstLine="643" w:firstLineChars="200"/>
        <w:rPr>
          <w:rFonts w:eastAsia="仿宋_GB2312"/>
          <w:b/>
          <w:bCs/>
          <w:sz w:val="32"/>
          <w:szCs w:val="32"/>
        </w:rPr>
      </w:pPr>
      <w:r>
        <w:rPr>
          <w:rFonts w:eastAsia="仿宋_GB2312"/>
          <w:b/>
          <w:bCs/>
          <w:sz w:val="32"/>
          <w:szCs w:val="32"/>
        </w:rPr>
        <w:t>3、资金投入和使用情况</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该项目年初预算数350万元，全年预算数350万元，实际总投入350万元，该项目资金已全部落实到位，资金来源为</w:t>
      </w:r>
      <w:r>
        <w:rPr>
          <w:rFonts w:hint="eastAsia" w:ascii="仿宋_GB2312" w:hAnsi="仿宋_GB2312" w:eastAsia="仿宋_GB2312" w:cs="仿宋_GB2312"/>
          <w:spacing w:val="0"/>
          <w:sz w:val="32"/>
          <w:szCs w:val="32"/>
          <w:highlight w:val="none"/>
          <w:lang w:val="en-US" w:eastAsia="zh-CN"/>
        </w:rPr>
        <w:t>自治区财政厅拨款</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该项目年初预算数350万元，全年预算数350万元,，全年执行数286万元，预算执行率为82%，主要用于：自治区13地州市室内展厅布展、八大产业集群特色展厅由1个自治区展厅和4个昌吉州展厅。</w:t>
      </w:r>
    </w:p>
    <w:p>
      <w:pPr>
        <w:spacing w:line="560" w:lineRule="exact"/>
        <w:ind w:firstLine="643" w:firstLineChars="200"/>
        <w:rPr>
          <w:rFonts w:eastAsia="楷体_GB2312"/>
          <w:b/>
          <w:bCs/>
          <w:sz w:val="32"/>
          <w:szCs w:val="32"/>
        </w:rPr>
      </w:pPr>
      <w:r>
        <w:rPr>
          <w:rFonts w:eastAsia="楷体_GB2312"/>
          <w:b/>
          <w:bCs/>
          <w:sz w:val="32"/>
          <w:szCs w:val="32"/>
        </w:rPr>
        <w:t>（二）项目绩效目标</w:t>
      </w:r>
    </w:p>
    <w:p>
      <w:pPr>
        <w:spacing w:line="560" w:lineRule="exact"/>
        <w:ind w:firstLine="640" w:firstLineChars="200"/>
        <w:rPr>
          <w:rFonts w:eastAsia="仿宋_GB2312"/>
          <w:sz w:val="32"/>
          <w:szCs w:val="32"/>
        </w:rPr>
      </w:pPr>
      <w:r>
        <w:rPr>
          <w:rFonts w:eastAsia="仿宋_GB2312"/>
          <w:sz w:val="32"/>
          <w:szCs w:val="32"/>
        </w:rPr>
        <w:t>1、总体目标</w:t>
      </w:r>
    </w:p>
    <w:p>
      <w:pPr>
        <w:spacing w:line="560" w:lineRule="exact"/>
        <w:ind w:firstLine="640" w:firstLineChars="200"/>
        <w:rPr>
          <w:rFonts w:hint="default" w:eastAsia="仿宋_GB2312"/>
          <w:b w:val="0"/>
          <w:bCs/>
          <w:lang w:val="en-US" w:eastAsia="zh-CN"/>
        </w:rPr>
      </w:pPr>
      <w:r>
        <w:rPr>
          <w:rFonts w:hint="eastAsia" w:eastAsia="仿宋_GB2312"/>
          <w:sz w:val="32"/>
          <w:szCs w:val="32"/>
        </w:rPr>
        <w:t>坚持“高效、务实、节俭，原则，突出重点、厉行节约，量财办事、专款专用</w:t>
      </w:r>
      <w:r>
        <w:rPr>
          <w:rFonts w:hint="eastAsia" w:eastAsia="仿宋_GB2312"/>
          <w:sz w:val="32"/>
          <w:szCs w:val="32"/>
          <w:lang w:eastAsia="zh-CN"/>
        </w:rPr>
        <w:t>，</w:t>
      </w:r>
      <w:r>
        <w:rPr>
          <w:rFonts w:hint="eastAsia" w:eastAsia="仿宋_GB2312"/>
          <w:sz w:val="32"/>
          <w:szCs w:val="32"/>
          <w:lang w:val="en-US" w:eastAsia="zh-CN"/>
        </w:rPr>
        <w:t>高质量完成“八大产业集群”特色展厅布展。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hint="eastAsia" w:eastAsia="仿宋_GB2312"/>
          <w:color w:val="auto"/>
          <w:sz w:val="32"/>
          <w:szCs w:val="32"/>
          <w:lang w:val="en-US" w:eastAsia="zh-CN"/>
        </w:rPr>
        <w:t>3、</w:t>
      </w:r>
      <w:r>
        <w:rPr>
          <w:rFonts w:eastAsia="仿宋_GB2312"/>
          <w:color w:val="auto"/>
          <w:sz w:val="32"/>
          <w:szCs w:val="32"/>
        </w:rPr>
        <w:t>阶段</w:t>
      </w:r>
      <w:r>
        <w:rPr>
          <w:rFonts w:eastAsia="仿宋_GB2312"/>
          <w:sz w:val="32"/>
          <w:szCs w:val="32"/>
        </w:rPr>
        <w:t>性目标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hint="eastAsia" w:eastAsia="仿宋_GB2312"/>
          <w:sz w:val="32"/>
          <w:szCs w:val="32"/>
          <w:lang w:eastAsia="zh-CN"/>
        </w:rPr>
        <w:t>（</w:t>
      </w:r>
      <w:r>
        <w:rPr>
          <w:rFonts w:hint="eastAsia" w:eastAsia="仿宋_GB2312"/>
          <w:sz w:val="32"/>
          <w:szCs w:val="32"/>
          <w:lang w:val="en-US" w:eastAsia="zh-CN"/>
        </w:rPr>
        <w:t>1</w:t>
      </w:r>
      <w:r>
        <w:rPr>
          <w:rFonts w:hint="eastAsia" w:eastAsia="仿宋_GB2312"/>
          <w:sz w:val="32"/>
          <w:szCs w:val="32"/>
          <w:lang w:eastAsia="zh-CN"/>
        </w:rPr>
        <w:t>）</w:t>
      </w:r>
      <w:r>
        <w:rPr>
          <w:rFonts w:eastAsia="仿宋_GB2312"/>
          <w:sz w:val="32"/>
          <w:szCs w:val="32"/>
        </w:rPr>
        <w:t>前期准备：</w:t>
      </w:r>
      <w:r>
        <w:rPr>
          <w:rFonts w:hint="eastAsia" w:ascii="仿宋_GB2312" w:hAnsi="仿宋_GB2312" w:eastAsia="仿宋_GB2312" w:cs="仿宋_GB2312"/>
          <w:sz w:val="32"/>
          <w:szCs w:val="32"/>
          <w:lang w:val="en-US" w:eastAsia="zh-CN"/>
        </w:rPr>
        <w:t>召开厅长办公会议，会议明确了高质量筹备好产业转移。党组会议研究审议2023中国产业转移发展对接活动（新疆）有关事宜</w:t>
      </w:r>
      <w:r>
        <w:rPr>
          <w:rFonts w:eastAsia="仿宋_GB2312"/>
          <w:sz w:val="32"/>
          <w:szCs w:val="32"/>
        </w:rPr>
        <w:t>，</w:t>
      </w:r>
      <w:r>
        <w:rPr>
          <w:rFonts w:hint="eastAsia" w:eastAsia="仿宋_GB2312"/>
          <w:sz w:val="32"/>
          <w:szCs w:val="32"/>
          <w:lang w:val="en-US" w:eastAsia="zh-CN"/>
        </w:rPr>
        <w:t>会议同意</w:t>
      </w:r>
      <w:r>
        <w:rPr>
          <w:rFonts w:hint="eastAsia" w:ascii="仿宋_GB2312" w:hAnsi="仿宋_GB2312" w:eastAsia="仿宋_GB2312" w:cs="仿宋_GB2312"/>
          <w:sz w:val="32"/>
          <w:szCs w:val="32"/>
          <w:lang w:val="en-US" w:eastAsia="zh-CN"/>
        </w:rPr>
        <w:t>2023中国产业转移发展对接活动（新疆）方案及资金支付计划，厅</w:t>
      </w:r>
      <w:r>
        <w:rPr>
          <w:rFonts w:hint="eastAsia" w:eastAsia="仿宋_GB2312"/>
          <w:sz w:val="32"/>
          <w:szCs w:val="32"/>
          <w:lang w:val="en-US" w:eastAsia="zh-CN"/>
        </w:rPr>
        <w:t>产业政策处、财务审计处具体负责，严格按照财经纪律及有关要求做好活动经费执行</w:t>
      </w:r>
      <w:r>
        <w:rPr>
          <w:rFonts w:eastAsia="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FF0000"/>
          <w:sz w:val="30"/>
          <w:szCs w:val="30"/>
          <w:highlight w:val="none"/>
          <w:lang w:val="en-US" w:eastAsia="zh-CN"/>
        </w:rPr>
      </w:pPr>
      <w:r>
        <w:rPr>
          <w:rFonts w:eastAsia="仿宋_GB2312"/>
          <w:sz w:val="32"/>
          <w:szCs w:val="32"/>
        </w:rPr>
        <w:t>（2）组织实施：资金一到位，立即根据项目要求实施项目。项目责任人按照项目实施方案要求逐一进行项目部署安排，提高项目质量及效率性。</w:t>
      </w: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18"/>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2023中国产业转移发展对接活动（新疆）服务</w:t>
      </w:r>
      <w:r>
        <w:rPr>
          <w:rFonts w:hint="eastAsia" w:ascii="仿宋_GB2312" w:hAnsi="仿宋_GB2312" w:eastAsia="仿宋_GB2312" w:cs="仿宋_GB2312"/>
          <w:sz w:val="32"/>
          <w:szCs w:val="32"/>
          <w:highlight w:val="none"/>
        </w:rPr>
        <w:t>项目所包含的全部项目内容。</w:t>
      </w:r>
    </w:p>
    <w:p>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本次评价从项目决策（包括绩效目标、决策过程）、项目管理（包括项目资金、项目实施）、项目产出（包括项目产出数量、产出质量、产出时效和产出成本）项目效益四个维度对</w:t>
      </w:r>
      <w:r>
        <w:rPr>
          <w:rFonts w:hint="eastAsia" w:ascii="仿宋_GB2312" w:hAnsi="仿宋_GB2312" w:eastAsia="仿宋_GB2312" w:cs="仿宋_GB2312"/>
          <w:sz w:val="32"/>
          <w:szCs w:val="32"/>
          <w:highlight w:val="none"/>
          <w:lang w:val="en-US" w:eastAsia="zh-CN"/>
        </w:rPr>
        <w:t>2023中国产业转移发展对接活动（新疆）服务</w:t>
      </w:r>
      <w:r>
        <w:rPr>
          <w:rFonts w:hint="eastAsia" w:ascii="仿宋_GB2312" w:hAnsi="仿宋_GB2312" w:eastAsia="仿宋_GB2312" w:cs="仿宋_GB2312"/>
          <w:sz w:val="32"/>
          <w:szCs w:val="32"/>
          <w:highlight w:val="none"/>
        </w:rPr>
        <w:t>项目进行评价，评价核心为专项资金的支出完成情况和效果。</w:t>
      </w:r>
    </w:p>
    <w:p>
      <w:pPr>
        <w:spacing w:line="560" w:lineRule="exact"/>
        <w:ind w:firstLine="643" w:firstLineChars="200"/>
      </w:pPr>
      <w:r>
        <w:rPr>
          <w:rFonts w:eastAsia="楷体_GB2312"/>
          <w:b/>
          <w:bCs/>
          <w:sz w:val="32"/>
          <w:szCs w:val="32"/>
        </w:rPr>
        <w:t>（二）绩效评价原则、评价指标体系（详情见表1）、评价方法、评价标准。</w:t>
      </w:r>
    </w:p>
    <w:p>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9"/>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9"/>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绩效评价标准通常包括计划标准、行业标准、历史标准等，用于对绩效指标完成情况进行比较、分析、评价。本次评价主要采用了</w:t>
      </w:r>
      <w:r>
        <w:rPr>
          <w:rFonts w:hint="eastAsia" w:eastAsia="仿宋_GB2312"/>
          <w:color w:val="000000"/>
          <w:spacing w:val="17"/>
          <w:sz w:val="32"/>
          <w:szCs w:val="32"/>
          <w:lang w:val="en-US" w:eastAsia="zh-CN"/>
        </w:rPr>
        <w:t>计划、行业、历史</w:t>
      </w:r>
      <w:r>
        <w:rPr>
          <w:rFonts w:hint="eastAsia" w:eastAsia="仿宋_GB2312"/>
          <w:color w:val="000000"/>
          <w:spacing w:val="17"/>
          <w:sz w:val="32"/>
          <w:szCs w:val="32"/>
        </w:rPr>
        <w:t>标准。</w:t>
      </w:r>
    </w:p>
    <w:p>
      <w:pPr>
        <w:spacing w:line="560" w:lineRule="exact"/>
        <w:ind w:firstLine="708" w:firstLineChars="200"/>
        <w:rPr>
          <w:rFonts w:eastAsia="仿宋_GB2312"/>
          <w:color w:val="000000"/>
          <w:spacing w:val="17"/>
          <w:sz w:val="32"/>
          <w:szCs w:val="32"/>
        </w:rPr>
      </w:pPr>
      <w:bookmarkStart w:id="0" w:name="_Toc31464"/>
      <w:bookmarkStart w:id="1" w:name="_Toc17882"/>
      <w:r>
        <w:rPr>
          <w:rFonts w:hint="eastAsia" w:eastAsia="仿宋_GB2312"/>
          <w:color w:val="000000"/>
          <w:spacing w:val="17"/>
          <w:sz w:val="32"/>
          <w:szCs w:val="32"/>
        </w:rPr>
        <w:t>计划标准：指以预先制定的目标、计划、预算、定额等作为评价标准。</w:t>
      </w:r>
      <w:bookmarkEnd w:id="0"/>
      <w:bookmarkEnd w:id="1"/>
    </w:p>
    <w:p>
      <w:pPr>
        <w:spacing w:line="560" w:lineRule="exact"/>
        <w:ind w:firstLine="708" w:firstLineChars="200"/>
        <w:rPr>
          <w:rFonts w:eastAsia="仿宋_GB2312"/>
          <w:color w:val="000000"/>
          <w:spacing w:val="17"/>
          <w:sz w:val="32"/>
          <w:szCs w:val="32"/>
        </w:rPr>
      </w:pPr>
      <w:bookmarkStart w:id="2" w:name="_Toc2318"/>
      <w:bookmarkStart w:id="3" w:name="_Toc5633"/>
      <w:r>
        <w:rPr>
          <w:rFonts w:hint="eastAsia" w:eastAsia="仿宋_GB2312"/>
          <w:color w:val="000000"/>
          <w:spacing w:val="17"/>
          <w:sz w:val="32"/>
          <w:szCs w:val="32"/>
        </w:rPr>
        <w:t>行业标准：指参照国家公布的行业指标数据制定的评价标准。</w:t>
      </w:r>
      <w:bookmarkEnd w:id="2"/>
      <w:bookmarkEnd w:id="3"/>
    </w:p>
    <w:p>
      <w:pPr>
        <w:spacing w:line="560" w:lineRule="exact"/>
        <w:ind w:firstLine="708" w:firstLineChars="200"/>
        <w:rPr>
          <w:rFonts w:eastAsia="仿宋_GB2312"/>
          <w:color w:val="000000"/>
          <w:spacing w:val="17"/>
          <w:sz w:val="32"/>
          <w:szCs w:val="32"/>
        </w:rPr>
      </w:pPr>
      <w:bookmarkStart w:id="4" w:name="_Toc430"/>
      <w:bookmarkStart w:id="5" w:name="_Toc16028"/>
      <w:r>
        <w:rPr>
          <w:rFonts w:hint="eastAsia" w:eastAsia="仿宋_GB2312"/>
          <w:color w:val="000000"/>
          <w:spacing w:val="17"/>
          <w:sz w:val="32"/>
          <w:szCs w:val="32"/>
        </w:rPr>
        <w:t>历史标准：指参照历史数据制定的评价标准，为体现绩效改进的原则，在可实现的条件下应当确定相对较高的评价标准。</w:t>
      </w:r>
      <w:bookmarkEnd w:id="4"/>
      <w:bookmarkEnd w:id="5"/>
    </w:p>
    <w:p>
      <w:pPr>
        <w:pStyle w:val="9"/>
        <w:numPr>
          <w:ilvl w:val="0"/>
          <w:numId w:val="3"/>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1.</w:t>
      </w: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r>
        <w:rPr>
          <w:rFonts w:hint="eastAsia" w:eastAsia="仿宋_GB2312"/>
          <w:bCs/>
          <w:sz w:val="32"/>
          <w:szCs w:val="32"/>
          <w:lang w:val="en-US" w:eastAsia="zh-CN"/>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pPr>
        <w:pStyle w:val="9"/>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 xml:space="preserve">总得分为 </w:t>
      </w:r>
      <w:r>
        <w:rPr>
          <w:rFonts w:hint="eastAsia" w:ascii="Times New Roman" w:hAnsi="Times New Roman" w:eastAsia="仿宋_GB2312"/>
          <w:b w:val="0"/>
          <w:bCs w:val="0"/>
          <w:highlight w:val="none"/>
          <w:lang w:val="en-US" w:eastAsia="zh-CN"/>
        </w:rPr>
        <w:t>96</w:t>
      </w:r>
      <w:r>
        <w:rPr>
          <w:rFonts w:hint="eastAsia" w:ascii="Times New Roman" w:hAnsi="Times New Roman" w:eastAsia="仿宋_GB2312"/>
          <w:b w:val="0"/>
          <w:bCs w:val="0"/>
          <w:highlight w:val="none"/>
        </w:rPr>
        <w:t xml:space="preserve">分，属于“优（良/中/差）”。其中，项目决策类指标权重为20分，得分为 </w:t>
      </w:r>
      <w:r>
        <w:rPr>
          <w:rFonts w:hint="eastAsia" w:ascii="Times New Roman" w:hAnsi="Times New Roman" w:eastAsia="仿宋_GB2312"/>
          <w:b w:val="0"/>
          <w:bCs w:val="0"/>
          <w:highlight w:val="none"/>
          <w:lang w:val="en-US" w:eastAsia="zh-CN"/>
        </w:rPr>
        <w:t>18</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18</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Style w:val="9"/>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3"/>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9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18</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18</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b/>
                <w:bCs/>
                <w:color w:val="000000"/>
                <w:sz w:val="22"/>
                <w:lang w:val="en-US" w:eastAsia="zh-CN"/>
              </w:rPr>
            </w:pPr>
            <w:r>
              <w:rPr>
                <w:rFonts w:hint="eastAsia"/>
                <w:b/>
                <w:bCs/>
                <w:color w:val="000000"/>
                <w:sz w:val="22"/>
                <w:lang w:val="en-US" w:eastAsia="zh-CN"/>
              </w:rPr>
              <w:t>96</w:t>
            </w:r>
          </w:p>
        </w:tc>
      </w:tr>
    </w:tbl>
    <w:p>
      <w:pPr>
        <w:spacing w:line="560" w:lineRule="exact"/>
        <w:ind w:firstLine="640" w:firstLineChars="200"/>
        <w:rPr>
          <w:rFonts w:eastAsia="黑体"/>
          <w:sz w:val="32"/>
          <w:szCs w:val="32"/>
        </w:rPr>
      </w:pPr>
      <w:r>
        <w:rPr>
          <w:rFonts w:eastAsia="黑体"/>
          <w:sz w:val="32"/>
          <w:szCs w:val="32"/>
        </w:rPr>
        <w:t>四、绩效评价指标分析</w:t>
      </w:r>
    </w:p>
    <w:p>
      <w:pPr>
        <w:pStyle w:val="9"/>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pPr>
        <w:shd w:val="clear"/>
        <w:spacing w:line="60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项目决策类指标包括项目立项、绩效目标和资金投入三方面的内容，由6个三级指标构成，权重分值为20分，实际得分18分，得分率为90%。</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风险评估、绩效评估、集体决策，保障了程序的规范性。</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9"/>
        <w:numPr>
          <w:ilvl w:val="0"/>
          <w:numId w:val="5"/>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实际得分18分，得分率为90%。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总投资350万元，财政资金及时足额到位，到位率100%，预算资金按计划进度执行。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预算资金支出286万元，预算执行率为82%。</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11"/>
        <w:numPr>
          <w:ilvl w:val="0"/>
          <w:numId w:val="5"/>
        </w:numPr>
        <w:spacing w:line="560" w:lineRule="exact"/>
        <w:ind w:firstLine="643"/>
        <w:rPr>
          <w:rFonts w:eastAsia="楷体_GB2312"/>
          <w:b/>
          <w:bCs/>
          <w:sz w:val="32"/>
          <w:szCs w:val="32"/>
        </w:rPr>
      </w:pPr>
      <w:r>
        <w:rPr>
          <w:rFonts w:eastAsia="楷体_GB2312"/>
          <w:b/>
          <w:bCs/>
          <w:sz w:val="32"/>
          <w:szCs w:val="32"/>
        </w:rPr>
        <w:t>项目产出</w:t>
      </w:r>
      <w:r>
        <w:rPr>
          <w:rFonts w:hint="eastAsia" w:eastAsia="楷体_GB2312"/>
          <w:b/>
          <w:bCs/>
          <w:sz w:val="32"/>
          <w:szCs w:val="32"/>
          <w:lang w:val="en-US" w:eastAsia="zh-CN"/>
        </w:rPr>
        <w:t>情况</w:t>
      </w:r>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项目产出类指标包括产出数量、产出质量、产出时效、产出成本四方面的内容，由7个三级指标构成，权重分为40分，</w:t>
      </w:r>
      <w:r>
        <w:rPr>
          <w:rFonts w:hint="eastAsia" w:ascii="仿宋_GB2312" w:hAnsi="仿宋_GB2312" w:eastAsia="仿宋_GB2312" w:cs="仿宋_GB2312"/>
          <w:sz w:val="32"/>
          <w:szCs w:val="32"/>
          <w:highlight w:val="none"/>
          <w:lang w:val="en-US" w:eastAsia="zh-CN"/>
        </w:rPr>
        <w:t>实际得分40分，得分率为100%。</w:t>
      </w:r>
      <w:r>
        <w:rPr>
          <w:rFonts w:hint="eastAsia" w:ascii="仿宋_GB2312" w:hAnsi="仿宋_GB2312" w:eastAsia="仿宋_GB2312" w:cs="仿宋_GB2312"/>
          <w:sz w:val="32"/>
          <w:szCs w:val="32"/>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指标1：举办产业对接活动场次，指标值：=1次，实际完成值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=1次，指标完成率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w:t>
      </w:r>
      <w:r>
        <w:rPr>
          <w:rFonts w:hint="eastAsia" w:ascii="仿宋_GB2312" w:hAnsi="仿宋_GB2312" w:eastAsia="仿宋_GB2312" w:cs="仿宋_GB2312"/>
          <w:sz w:val="32"/>
          <w:szCs w:val="32"/>
          <w:highlight w:val="none"/>
        </w:rPr>
        <w:t>举办产业对接活动天数，指标值：&gt;=3天，实际完成值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&gt;=3天，指标完成率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p>
    <w:p>
      <w:pPr>
        <w:shd w:val="clear"/>
        <w:spacing w:line="600" w:lineRule="exact"/>
        <w:ind w:firstLine="640" w:firstLineChars="200"/>
        <w:outlineLvl w:val="0"/>
        <w:rPr>
          <w:rFonts w:hint="default"/>
          <w:lang w:val="en-US" w:eastAsia="zh-CN"/>
        </w:rPr>
      </w:pPr>
      <w:r>
        <w:rPr>
          <w:rFonts w:hint="eastAsia" w:ascii="仿宋_GB2312" w:hAnsi="仿宋_GB2312" w:eastAsia="仿宋_GB2312" w:cs="仿宋_GB2312"/>
          <w:sz w:val="32"/>
          <w:szCs w:val="32"/>
          <w:highlight w:val="none"/>
          <w:lang w:val="en-US" w:eastAsia="zh-CN"/>
        </w:rPr>
        <w:t>指标3：</w:t>
      </w:r>
      <w:r>
        <w:rPr>
          <w:rFonts w:hint="eastAsia" w:ascii="仿宋_GB2312" w:hAnsi="仿宋_GB2312" w:eastAsia="仿宋_GB2312" w:cs="仿宋_GB2312"/>
          <w:sz w:val="32"/>
          <w:szCs w:val="32"/>
          <w:highlight w:val="none"/>
        </w:rPr>
        <w:t>举办产业对接活动人数，指标值：&gt;=1900人，实际完成值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&gt;=1900人，指标完成率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资金使用合格率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指标值：&gt;=99%</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&gt;=</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shd w:val="clear"/>
        <w:spacing w:line="600" w:lineRule="exact"/>
        <w:ind w:firstLine="640" w:firstLineChars="200"/>
        <w:outlineLvl w:val="0"/>
        <w:rPr>
          <w:rFonts w:hint="eastAsia"/>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活动按期完成率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指标值：&gt;=99%，实际完成值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&gt;=</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%，指标完成率 </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展厅布展费用成本</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指标值：&lt;=256万元，实际完成值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256万元</w:t>
      </w:r>
      <w:r>
        <w:rPr>
          <w:rFonts w:hint="eastAsia" w:ascii="仿宋_GB2312" w:hAnsi="仿宋_GB2312" w:eastAsia="仿宋_GB2312" w:cs="仿宋_GB2312"/>
          <w:sz w:val="32"/>
          <w:szCs w:val="32"/>
          <w:highlight w:val="none"/>
        </w:rPr>
        <w:t xml:space="preserve">，指标完成率 </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其他对接活动筹备工作经费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指标值：&lt;=82.50万，实际完成值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82.5</w:t>
      </w:r>
      <w:r>
        <w:rPr>
          <w:rFonts w:hint="eastAsia" w:ascii="仿宋_GB2312" w:hAnsi="仿宋_GB2312" w:eastAsia="仿宋_GB2312" w:cs="仿宋_GB2312"/>
          <w:sz w:val="32"/>
          <w:szCs w:val="32"/>
          <w:highlight w:val="none"/>
        </w:rPr>
        <w:t xml:space="preserve">，指标完成率 </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pStyle w:val="11"/>
        <w:numPr>
          <w:ilvl w:val="0"/>
          <w:numId w:val="5"/>
        </w:numPr>
        <w:spacing w:line="560" w:lineRule="exact"/>
        <w:ind w:firstLine="643"/>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w:t>
      </w:r>
      <w:r>
        <w:rPr>
          <w:rFonts w:hint="eastAsia" w:ascii="仿宋_GB2312" w:hAnsi="仿宋_GB2312" w:eastAsia="仿宋_GB2312" w:cs="仿宋_GB2312"/>
          <w:sz w:val="32"/>
          <w:szCs w:val="32"/>
          <w:highlight w:val="none"/>
          <w:lang w:val="en-US" w:eastAsia="zh-CN"/>
        </w:rPr>
        <w:t>由4个三级指标构成，权重分为20分，实际得分20分，得分率为100%。</w:t>
      </w:r>
      <w:r>
        <w:rPr>
          <w:rFonts w:hint="eastAsia" w:ascii="仿宋_GB2312" w:hAnsi="仿宋_GB2312" w:eastAsia="仿宋_GB2312" w:cs="仿宋_GB2312"/>
          <w:sz w:val="32"/>
          <w:szCs w:val="32"/>
          <w:lang w:val="en-US" w:eastAsia="zh-CN"/>
        </w:rPr>
        <w:t>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签约项目金额，</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&gt;=5000亿元</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5567.58亿元个</w:t>
      </w:r>
      <w:r>
        <w:rPr>
          <w:rFonts w:hint="eastAsia" w:ascii="仿宋_GB2312" w:hAnsi="仿宋_GB2312" w:eastAsia="仿宋_GB2312" w:cs="仿宋_GB2312"/>
          <w:sz w:val="32"/>
          <w:szCs w:val="32"/>
          <w:highlight w:val="none"/>
        </w:rPr>
        <w:t xml:space="preserve">，指标完成率 </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签约项目个数，</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&gt;=256个</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256个</w:t>
      </w:r>
      <w:r>
        <w:rPr>
          <w:rFonts w:hint="eastAsia" w:ascii="仿宋_GB2312" w:hAnsi="仿宋_GB2312" w:eastAsia="仿宋_GB2312" w:cs="仿宋_GB2312"/>
          <w:sz w:val="32"/>
          <w:szCs w:val="32"/>
          <w:highlight w:val="none"/>
        </w:rPr>
        <w:t xml:space="preserve">，指标完成率 </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③可持续影响指标：</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展现了新疆广阔的发展前景，深化了受援双方的合作交流，展示了科技创新成果。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满意度指标：参加活动企业满意度，</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&gt;=95%</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，指标完成率 </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18"/>
        <w:spacing w:line="56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2023中国产业转移发展对接活动（新疆）项目年初预算350万元，全年预算350万元，实际支出286万元，预算执行率为82%，项目绩效指标总体完成率为96%，</w:t>
      </w:r>
      <w:r>
        <w:rPr>
          <w:rFonts w:hint="eastAsia" w:ascii="仿宋_GB2312" w:hAnsi="仿宋_GB2312" w:eastAsia="仿宋_GB2312" w:cs="仿宋_GB2312"/>
          <w:kern w:val="2"/>
          <w:sz w:val="32"/>
          <w:szCs w:val="32"/>
          <w:highlight w:val="none"/>
          <w:lang w:val="en-US" w:eastAsia="zh-Hans" w:bidi="ar-SA"/>
        </w:rPr>
        <w:t>总体</w:t>
      </w:r>
      <w:r>
        <w:rPr>
          <w:rFonts w:hint="eastAsia" w:ascii="仿宋_GB2312" w:hAnsi="仿宋_GB2312" w:eastAsia="仿宋_GB2312" w:cs="仿宋_GB2312"/>
          <w:kern w:val="2"/>
          <w:sz w:val="32"/>
          <w:szCs w:val="32"/>
          <w:highlight w:val="none"/>
          <w:lang w:val="en-US" w:eastAsia="zh-CN" w:bidi="ar-SA"/>
        </w:rPr>
        <w:t>偏差率为4%,</w:t>
      </w:r>
      <w:r>
        <w:rPr>
          <w:rFonts w:hint="eastAsia" w:ascii="仿宋_GB2312" w:hAnsi="仿宋_GB2312" w:eastAsia="仿宋_GB2312" w:cs="仿宋_GB2312"/>
          <w:kern w:val="2"/>
          <w:sz w:val="32"/>
          <w:szCs w:val="32"/>
          <w:highlight w:val="none"/>
          <w:lang w:val="en-US" w:eastAsia="zh-Hans" w:bidi="ar-SA"/>
        </w:rPr>
        <w:t>偏差</w:t>
      </w:r>
      <w:r>
        <w:rPr>
          <w:rFonts w:hint="eastAsia" w:ascii="仿宋_GB2312" w:hAnsi="仿宋_GB2312" w:eastAsia="仿宋_GB2312" w:cs="仿宋_GB2312"/>
          <w:kern w:val="2"/>
          <w:sz w:val="32"/>
          <w:szCs w:val="32"/>
          <w:highlight w:val="none"/>
          <w:lang w:val="en-US" w:eastAsia="zh-CN" w:bidi="ar-SA"/>
        </w:rPr>
        <w:t>原因项目立项过程中缺乏深入调研，</w:t>
      </w:r>
      <w:r>
        <w:rPr>
          <w:rFonts w:hint="eastAsia" w:ascii="仿宋_GB2312" w:hAnsi="仿宋_GB2312" w:eastAsia="仿宋_GB2312" w:cs="仿宋_GB2312"/>
          <w:kern w:val="2"/>
          <w:sz w:val="32"/>
          <w:szCs w:val="32"/>
          <w:highlight w:val="none"/>
          <w:lang w:val="en-US" w:eastAsia="zh-Hans" w:bidi="ar-SA"/>
        </w:rPr>
        <w:t>改进</w:t>
      </w:r>
      <w:r>
        <w:rPr>
          <w:rFonts w:hint="eastAsia" w:ascii="仿宋_GB2312" w:hAnsi="仿宋_GB2312" w:eastAsia="仿宋_GB2312" w:cs="仿宋_GB2312"/>
          <w:kern w:val="2"/>
          <w:sz w:val="32"/>
          <w:szCs w:val="32"/>
          <w:highlight w:val="none"/>
          <w:lang w:val="en-US" w:eastAsia="zh-CN" w:bidi="ar-SA"/>
        </w:rPr>
        <w:t>措施：在今后项目中，加强前期论证，调研工作。</w:t>
      </w:r>
    </w:p>
    <w:p>
      <w:pPr>
        <w:spacing w:line="560" w:lineRule="exact"/>
        <w:ind w:firstLine="640" w:firstLineChars="200"/>
        <w:rPr>
          <w:rStyle w:val="17"/>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pPr>
        <w:spacing w:line="560" w:lineRule="exact"/>
        <w:ind w:firstLine="627" w:firstLineChars="200"/>
        <w:rPr>
          <w:rFonts w:eastAsia="楷体"/>
          <w:b/>
          <w:spacing w:val="-4"/>
          <w:sz w:val="32"/>
          <w:szCs w:val="32"/>
        </w:rPr>
      </w:pPr>
      <w:r>
        <w:rPr>
          <w:rFonts w:eastAsia="楷体"/>
          <w:b/>
          <w:spacing w:val="-4"/>
          <w:sz w:val="32"/>
          <w:szCs w:val="32"/>
        </w:rPr>
        <w:t>（一）主要经验及做法</w:t>
      </w:r>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9"/>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560" w:lineRule="exact"/>
        <w:ind w:firstLine="643" w:firstLineChars="200"/>
        <w:rPr>
          <w:rFonts w:eastAsia="楷体_GB2312"/>
          <w:b/>
          <w:bCs/>
          <w:sz w:val="32"/>
          <w:szCs w:val="32"/>
        </w:rPr>
      </w:pPr>
      <w:r>
        <w:rPr>
          <w:rFonts w:eastAsia="楷体_GB2312"/>
          <w:b/>
          <w:bCs/>
          <w:sz w:val="32"/>
          <w:szCs w:val="32"/>
        </w:rPr>
        <w:t>存在的问题及原因分析</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6" w:name="page8"/>
      <w:bookmarkEnd w:id="6"/>
      <w:r>
        <w:rPr>
          <w:rFonts w:eastAsia="黑体"/>
          <w:sz w:val="32"/>
          <w:szCs w:val="32"/>
        </w:rPr>
        <w:t>明的问题</w:t>
      </w:r>
    </w:p>
    <w:p>
      <w:pPr>
        <w:pStyle w:val="12"/>
        <w:spacing w:after="0" w:line="560" w:lineRule="exact"/>
        <w:ind w:left="0" w:leftChars="0" w:firstLine="640"/>
        <w:rPr>
          <w:rFonts w:eastAsia="方正小标宋简体"/>
          <w:b/>
          <w:kern w:val="0"/>
          <w:sz w:val="32"/>
          <w:szCs w:val="32"/>
          <w:lang w:bidi="ar"/>
        </w:rPr>
        <w:sectPr>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32"/>
          <w:szCs w:val="32"/>
          <w:lang w:eastAsia="zh-Hans"/>
        </w:rPr>
        <w:t>本项目无其他需说明的问题</w:t>
      </w:r>
    </w:p>
    <w:p>
      <w:pPr>
        <w:spacing w:line="600" w:lineRule="exact"/>
        <w:rPr>
          <w:rFonts w:hint="eastAsia" w:ascii="黑体" w:hAnsi="黑体" w:eastAsia="黑体" w:cs="黑体"/>
        </w:rPr>
      </w:pPr>
      <w:r>
        <w:rPr>
          <w:rFonts w:hint="eastAsia" w:ascii="黑体" w:hAnsi="黑体" w:eastAsia="黑体" w:cs="黑体"/>
          <w:bCs/>
          <w:sz w:val="32"/>
          <w:szCs w:val="32"/>
        </w:rPr>
        <w:t>附件1</w:t>
      </w:r>
    </w:p>
    <w:p>
      <w:pPr>
        <w:pStyle w:val="18"/>
        <w:ind w:firstLine="562"/>
        <w:jc w:val="center"/>
        <w:rPr>
          <w:sz w:val="28"/>
          <w:szCs w:val="40"/>
          <w:highlight w:val="none"/>
        </w:rPr>
      </w:pPr>
      <w:bookmarkStart w:id="7" w:name="_Toc26499_WPSOffice_Level2"/>
      <w:bookmarkStart w:id="8" w:name="_Toc30064_WPSOffice_Level1"/>
      <w:r>
        <w:rPr>
          <w:rFonts w:hint="eastAsia"/>
          <w:b/>
          <w:bCs/>
          <w:sz w:val="28"/>
          <w:szCs w:val="40"/>
          <w:highlight w:val="none"/>
          <w:lang w:val="en-US" w:eastAsia="zh-CN"/>
        </w:rPr>
        <w:t>2023中国产业转移发展对接活动（新疆）</w:t>
      </w:r>
      <w:r>
        <w:rPr>
          <w:rFonts w:hint="eastAsia"/>
          <w:b/>
          <w:bCs/>
          <w:sz w:val="28"/>
          <w:szCs w:val="40"/>
          <w:highlight w:val="none"/>
        </w:rPr>
        <w:t>项目绩效评价指标体系及综合评分表</w:t>
      </w:r>
      <w:bookmarkEnd w:id="7"/>
      <w:bookmarkEnd w:id="8"/>
    </w:p>
    <w:tbl>
      <w:tblPr>
        <w:tblStyle w:val="13"/>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764"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87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235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5198"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136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r>
              <w:rPr>
                <w:color w:val="000000"/>
                <w:kern w:val="0"/>
                <w:sz w:val="22"/>
                <w:szCs w:val="22"/>
                <w:highlight w:val="none"/>
              </w:rPr>
              <w:t>过程</w:t>
            </w:r>
          </w:p>
          <w:p>
            <w:pPr>
              <w:widowControl/>
              <w:spacing w:line="0" w:lineRule="atLeast"/>
              <w:jc w:val="center"/>
              <w:rPr>
                <w:color w:val="000000"/>
                <w:kern w:val="0"/>
                <w:sz w:val="22"/>
                <w:szCs w:val="22"/>
                <w:highlight w:val="none"/>
              </w:rPr>
            </w:pPr>
            <w:r>
              <w:rPr>
                <w:color w:val="000000"/>
                <w:kern w:val="0"/>
                <w:sz w:val="22"/>
                <w:szCs w:val="22"/>
                <w:highlight w:val="none"/>
              </w:rPr>
              <w:t>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组织实施</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产出时效</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2353"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auto"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pPr>
        <w:rPr>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rPr>
        <w:rFonts w:hint="default"/>
        <w:color w:val="auto"/>
      </w:rPr>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FF6C4049"/>
    <w:rsid w:val="006F7242"/>
    <w:rsid w:val="007B168A"/>
    <w:rsid w:val="008B2CFE"/>
    <w:rsid w:val="00F26FF6"/>
    <w:rsid w:val="01781190"/>
    <w:rsid w:val="03A964DC"/>
    <w:rsid w:val="03B10EED"/>
    <w:rsid w:val="07397B77"/>
    <w:rsid w:val="073B0868"/>
    <w:rsid w:val="07CB0015"/>
    <w:rsid w:val="08CC497C"/>
    <w:rsid w:val="09783D71"/>
    <w:rsid w:val="09D01699"/>
    <w:rsid w:val="0B5135D9"/>
    <w:rsid w:val="0DF85FA3"/>
    <w:rsid w:val="0E093ADD"/>
    <w:rsid w:val="0E5549B3"/>
    <w:rsid w:val="0F431EF4"/>
    <w:rsid w:val="11AC6987"/>
    <w:rsid w:val="13471461"/>
    <w:rsid w:val="13B90F01"/>
    <w:rsid w:val="17F07CC1"/>
    <w:rsid w:val="17F17FFA"/>
    <w:rsid w:val="181066D2"/>
    <w:rsid w:val="1C671E73"/>
    <w:rsid w:val="1F5F6E0F"/>
    <w:rsid w:val="217275BD"/>
    <w:rsid w:val="2201278B"/>
    <w:rsid w:val="24A51F50"/>
    <w:rsid w:val="27FC13A7"/>
    <w:rsid w:val="2F3103E8"/>
    <w:rsid w:val="32382656"/>
    <w:rsid w:val="357E0B61"/>
    <w:rsid w:val="366C1077"/>
    <w:rsid w:val="38712BDA"/>
    <w:rsid w:val="38CA40DD"/>
    <w:rsid w:val="395F2B56"/>
    <w:rsid w:val="3B96382A"/>
    <w:rsid w:val="3BECE841"/>
    <w:rsid w:val="3FF7797D"/>
    <w:rsid w:val="44CB1FDB"/>
    <w:rsid w:val="4569453F"/>
    <w:rsid w:val="468E3747"/>
    <w:rsid w:val="46D14327"/>
    <w:rsid w:val="472A1B6E"/>
    <w:rsid w:val="4D2841BF"/>
    <w:rsid w:val="4E1A4CEE"/>
    <w:rsid w:val="4F081BFB"/>
    <w:rsid w:val="53417424"/>
    <w:rsid w:val="5369290D"/>
    <w:rsid w:val="53EE5AAC"/>
    <w:rsid w:val="57370C30"/>
    <w:rsid w:val="5B5A153F"/>
    <w:rsid w:val="5BFF6039"/>
    <w:rsid w:val="5D76A616"/>
    <w:rsid w:val="5D7F20B9"/>
    <w:rsid w:val="5DAC7D0E"/>
    <w:rsid w:val="5DCF35C4"/>
    <w:rsid w:val="5F98B5AF"/>
    <w:rsid w:val="5FFE8511"/>
    <w:rsid w:val="5FFEACE2"/>
    <w:rsid w:val="643EE26D"/>
    <w:rsid w:val="68F4392E"/>
    <w:rsid w:val="69114EC5"/>
    <w:rsid w:val="6BA5208B"/>
    <w:rsid w:val="6D9263B7"/>
    <w:rsid w:val="6F5C41AC"/>
    <w:rsid w:val="6FAF6C78"/>
    <w:rsid w:val="6FEA24DA"/>
    <w:rsid w:val="72874010"/>
    <w:rsid w:val="72973552"/>
    <w:rsid w:val="7317C656"/>
    <w:rsid w:val="734ED73F"/>
    <w:rsid w:val="743A1C6F"/>
    <w:rsid w:val="74EB4D2A"/>
    <w:rsid w:val="756B2D1F"/>
    <w:rsid w:val="75C13A86"/>
    <w:rsid w:val="76E652F2"/>
    <w:rsid w:val="775703C0"/>
    <w:rsid w:val="77FD8BE9"/>
    <w:rsid w:val="79A9BD3F"/>
    <w:rsid w:val="7BFFFDD0"/>
    <w:rsid w:val="7C336E5F"/>
    <w:rsid w:val="7CCB2E42"/>
    <w:rsid w:val="7D7A5F86"/>
    <w:rsid w:val="7F37BB4E"/>
    <w:rsid w:val="7F87217B"/>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annotation text"/>
    <w:basedOn w:val="1"/>
    <w:link w:val="21"/>
    <w:qFormat/>
    <w:uiPriority w:val="0"/>
    <w:pPr>
      <w:jc w:val="left"/>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19"/>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annotation subject"/>
    <w:basedOn w:val="4"/>
    <w:next w:val="4"/>
    <w:link w:val="22"/>
    <w:qFormat/>
    <w:uiPriority w:val="0"/>
    <w:rPr>
      <w:b/>
      <w:bCs/>
    </w:rPr>
  </w:style>
  <w:style w:type="paragraph" w:styleId="11">
    <w:name w:val="Body Text First Indent"/>
    <w:basedOn w:val="2"/>
    <w:qFormat/>
    <w:uiPriority w:val="0"/>
    <w:pPr>
      <w:spacing w:after="0"/>
      <w:ind w:firstLine="200" w:firstLineChars="200"/>
    </w:pPr>
  </w:style>
  <w:style w:type="paragraph" w:styleId="12">
    <w:name w:val="Body Text First Indent 2"/>
    <w:basedOn w:val="5"/>
    <w:qFormat/>
    <w:uiPriority w:val="0"/>
    <w:pPr>
      <w:ind w:firstLine="420" w:firstLineChars="200"/>
    </w:p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批注框文本 字符"/>
    <w:basedOn w:val="14"/>
    <w:link w:val="6"/>
    <w:qFormat/>
    <w:uiPriority w:val="0"/>
    <w:rPr>
      <w:rFonts w:ascii="Times New Roman" w:hAnsi="Times New Roman" w:eastAsia="宋体" w:cs="Times New Roman"/>
      <w:kern w:val="2"/>
      <w:sz w:val="18"/>
      <w:szCs w:val="18"/>
    </w:rPr>
  </w:style>
  <w:style w:type="character" w:customStyle="1" w:styleId="20">
    <w:name w:val="页眉 字符"/>
    <w:basedOn w:val="14"/>
    <w:link w:val="8"/>
    <w:qFormat/>
    <w:uiPriority w:val="0"/>
    <w:rPr>
      <w:rFonts w:ascii="Times New Roman" w:hAnsi="Times New Roman" w:eastAsia="宋体" w:cs="Times New Roman"/>
      <w:kern w:val="2"/>
      <w:sz w:val="18"/>
      <w:szCs w:val="18"/>
    </w:rPr>
  </w:style>
  <w:style w:type="character" w:customStyle="1" w:styleId="21">
    <w:name w:val="批注文字 字符"/>
    <w:basedOn w:val="14"/>
    <w:link w:val="4"/>
    <w:qFormat/>
    <w:uiPriority w:val="0"/>
    <w:rPr>
      <w:rFonts w:ascii="Times New Roman" w:hAnsi="Times New Roman" w:eastAsia="宋体" w:cs="Times New Roman"/>
      <w:kern w:val="2"/>
      <w:sz w:val="21"/>
      <w:szCs w:val="24"/>
    </w:rPr>
  </w:style>
  <w:style w:type="character" w:customStyle="1" w:styleId="22">
    <w:name w:val="批注主题 字符"/>
    <w:basedOn w:val="21"/>
    <w:link w:val="10"/>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10028</Words>
  <Characters>10486</Characters>
  <Lines>58</Lines>
  <Paragraphs>16</Paragraphs>
  <TotalTime>2</TotalTime>
  <ScaleCrop>false</ScaleCrop>
  <LinksUpToDate>false</LinksUpToDate>
  <CharactersWithSpaces>10524</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2025-08-15T08:54:07Z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DEB37354E36D40D48F20A3DAB18895C3</vt:lpwstr>
  </property>
</Properties>
</file>