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9656E">
      <w:pPr>
        <w:spacing w:line="540" w:lineRule="exact"/>
        <w:rPr>
          <w:rFonts w:eastAsia="华文中宋"/>
          <w:b/>
          <w:kern w:val="0"/>
          <w:sz w:val="72"/>
          <w:szCs w:val="72"/>
        </w:rPr>
      </w:pPr>
    </w:p>
    <w:p w14:paraId="184482B4">
      <w:pPr>
        <w:spacing w:line="540" w:lineRule="exact"/>
        <w:jc w:val="center"/>
        <w:rPr>
          <w:rFonts w:eastAsia="华文中宋"/>
          <w:b/>
          <w:kern w:val="0"/>
          <w:sz w:val="52"/>
          <w:szCs w:val="52"/>
        </w:rPr>
      </w:pPr>
    </w:p>
    <w:p w14:paraId="759EDAD2">
      <w:pPr>
        <w:spacing w:line="540" w:lineRule="exact"/>
        <w:jc w:val="center"/>
        <w:rPr>
          <w:rFonts w:eastAsia="华文中宋"/>
          <w:b/>
          <w:kern w:val="0"/>
          <w:sz w:val="52"/>
          <w:szCs w:val="52"/>
        </w:rPr>
      </w:pPr>
    </w:p>
    <w:p w14:paraId="3A627382">
      <w:pPr>
        <w:spacing w:line="700" w:lineRule="exact"/>
        <w:jc w:val="center"/>
        <w:rPr>
          <w:rFonts w:eastAsia="方正小标宋_GBK"/>
          <w:kern w:val="0"/>
          <w:sz w:val="48"/>
          <w:szCs w:val="48"/>
        </w:rPr>
      </w:pPr>
      <w:r>
        <w:rPr>
          <w:rFonts w:hint="eastAsia" w:eastAsia="方正小标宋_GBK"/>
          <w:kern w:val="0"/>
          <w:sz w:val="48"/>
          <w:szCs w:val="48"/>
          <w:lang w:val="en-US" w:eastAsia="zh-CN"/>
        </w:rPr>
        <w:t>2023年中国国际纺织纱线（春夏）展览会新疆团参展（布展）费用</w:t>
      </w:r>
      <w:r>
        <w:rPr>
          <w:rFonts w:eastAsia="方正小标宋_GBK"/>
          <w:kern w:val="0"/>
          <w:sz w:val="48"/>
          <w:szCs w:val="48"/>
        </w:rPr>
        <w:t>支出</w:t>
      </w:r>
    </w:p>
    <w:p w14:paraId="0AEA00DF">
      <w:pPr>
        <w:spacing w:line="700" w:lineRule="exact"/>
        <w:jc w:val="center"/>
        <w:rPr>
          <w:rFonts w:eastAsia="方正小标宋_GBK"/>
          <w:kern w:val="0"/>
          <w:sz w:val="48"/>
          <w:szCs w:val="48"/>
        </w:rPr>
      </w:pPr>
      <w:r>
        <w:rPr>
          <w:rFonts w:eastAsia="方正小标宋_GBK"/>
          <w:kern w:val="0"/>
          <w:sz w:val="48"/>
          <w:szCs w:val="48"/>
        </w:rPr>
        <w:t>绩效评价报告</w:t>
      </w:r>
    </w:p>
    <w:p w14:paraId="73815168">
      <w:pPr>
        <w:spacing w:line="540" w:lineRule="exact"/>
        <w:jc w:val="center"/>
        <w:rPr>
          <w:rFonts w:eastAsia="华文中宋"/>
          <w:b/>
          <w:kern w:val="0"/>
          <w:sz w:val="52"/>
          <w:szCs w:val="52"/>
        </w:rPr>
      </w:pPr>
    </w:p>
    <w:p w14:paraId="2CA670A0">
      <w:pPr>
        <w:spacing w:line="540" w:lineRule="exact"/>
        <w:jc w:val="center"/>
        <w:rPr>
          <w:rFonts w:eastAsia="仿宋_GB2312"/>
          <w:kern w:val="0"/>
          <w:sz w:val="36"/>
          <w:szCs w:val="36"/>
        </w:rPr>
      </w:pPr>
      <w:r>
        <w:rPr>
          <w:rFonts w:eastAsia="仿宋_GB2312"/>
          <w:kern w:val="0"/>
          <w:sz w:val="36"/>
          <w:szCs w:val="36"/>
        </w:rPr>
        <w:t>（ 202</w:t>
      </w:r>
      <w:r>
        <w:rPr>
          <w:rFonts w:hint="eastAsia" w:eastAsia="仿宋_GB2312"/>
          <w:kern w:val="0"/>
          <w:sz w:val="36"/>
          <w:szCs w:val="36"/>
          <w:lang w:val="en-US" w:eastAsia="zh-CN"/>
        </w:rPr>
        <w:t>3</w:t>
      </w:r>
      <w:r>
        <w:rPr>
          <w:rFonts w:eastAsia="仿宋_GB2312"/>
          <w:kern w:val="0"/>
          <w:sz w:val="36"/>
          <w:szCs w:val="36"/>
        </w:rPr>
        <w:t>年度）</w:t>
      </w:r>
    </w:p>
    <w:p w14:paraId="10232F77">
      <w:pPr>
        <w:spacing w:line="540" w:lineRule="exact"/>
        <w:jc w:val="center"/>
        <w:rPr>
          <w:rFonts w:eastAsia="仿宋_GB2312"/>
          <w:kern w:val="0"/>
          <w:sz w:val="30"/>
          <w:szCs w:val="30"/>
        </w:rPr>
      </w:pPr>
    </w:p>
    <w:p w14:paraId="6E923419">
      <w:pPr>
        <w:spacing w:line="540" w:lineRule="exact"/>
        <w:jc w:val="center"/>
        <w:rPr>
          <w:rFonts w:eastAsia="仿宋_GB2312"/>
          <w:kern w:val="0"/>
          <w:sz w:val="30"/>
          <w:szCs w:val="30"/>
        </w:rPr>
      </w:pPr>
    </w:p>
    <w:p w14:paraId="2A5E94B9">
      <w:pPr>
        <w:spacing w:line="540" w:lineRule="exact"/>
        <w:jc w:val="center"/>
        <w:rPr>
          <w:rFonts w:eastAsia="仿宋_GB2312"/>
          <w:kern w:val="0"/>
          <w:sz w:val="30"/>
          <w:szCs w:val="30"/>
        </w:rPr>
      </w:pPr>
    </w:p>
    <w:p w14:paraId="3C241669">
      <w:pPr>
        <w:spacing w:line="540" w:lineRule="exact"/>
        <w:jc w:val="center"/>
        <w:rPr>
          <w:rFonts w:eastAsia="仿宋_GB2312"/>
          <w:kern w:val="0"/>
          <w:sz w:val="30"/>
          <w:szCs w:val="30"/>
        </w:rPr>
      </w:pPr>
    </w:p>
    <w:p w14:paraId="1B552C0D">
      <w:pPr>
        <w:spacing w:line="540" w:lineRule="exact"/>
        <w:rPr>
          <w:rFonts w:eastAsia="仿宋_GB2312"/>
          <w:kern w:val="0"/>
          <w:sz w:val="30"/>
          <w:szCs w:val="30"/>
        </w:rPr>
      </w:pPr>
    </w:p>
    <w:p w14:paraId="64C306A9">
      <w:pPr>
        <w:spacing w:line="700" w:lineRule="exact"/>
        <w:ind w:firstLine="1440" w:firstLineChars="400"/>
        <w:jc w:val="left"/>
        <w:rPr>
          <w:rFonts w:hint="eastAsia" w:eastAsia="仿宋_GB2312"/>
          <w:kern w:val="0"/>
          <w:sz w:val="36"/>
          <w:szCs w:val="36"/>
          <w:lang w:val="en-US" w:eastAsia="zh-CN"/>
        </w:rPr>
      </w:pPr>
      <w:r>
        <w:rPr>
          <w:rFonts w:eastAsia="仿宋_GB2312"/>
          <w:kern w:val="0"/>
          <w:sz w:val="36"/>
          <w:szCs w:val="36"/>
        </w:rPr>
        <w:t>项目名称：</w:t>
      </w:r>
      <w:r>
        <w:rPr>
          <w:rFonts w:hint="eastAsia" w:eastAsia="仿宋_GB2312"/>
          <w:kern w:val="0"/>
          <w:sz w:val="36"/>
          <w:szCs w:val="36"/>
          <w:lang w:val="en-US" w:eastAsia="zh-CN"/>
        </w:rPr>
        <w:t>2023年中国国际纺织纱线（春夏）</w:t>
      </w:r>
    </w:p>
    <w:p w14:paraId="25099E94">
      <w:pPr>
        <w:spacing w:line="700" w:lineRule="exact"/>
        <w:ind w:firstLine="3240" w:firstLineChars="900"/>
        <w:jc w:val="left"/>
        <w:rPr>
          <w:rFonts w:hint="eastAsia" w:eastAsia="仿宋_GB2312"/>
          <w:kern w:val="0"/>
          <w:sz w:val="36"/>
          <w:szCs w:val="36"/>
          <w:lang w:val="en-US" w:eastAsia="zh-CN"/>
        </w:rPr>
      </w:pPr>
      <w:r>
        <w:rPr>
          <w:rFonts w:hint="eastAsia" w:eastAsia="仿宋_GB2312"/>
          <w:kern w:val="0"/>
          <w:sz w:val="36"/>
          <w:szCs w:val="36"/>
          <w:lang w:val="en-US" w:eastAsia="zh-CN"/>
        </w:rPr>
        <w:t>展览会新疆团参展（布展）费用</w:t>
      </w:r>
    </w:p>
    <w:p w14:paraId="45D4A72A">
      <w:pPr>
        <w:spacing w:line="700" w:lineRule="exact"/>
        <w:ind w:firstLine="1440" w:firstLineChars="400"/>
        <w:jc w:val="left"/>
        <w:rPr>
          <w:rFonts w:hint="default" w:eastAsia="仿宋_GB2312"/>
          <w:kern w:val="0"/>
          <w:sz w:val="36"/>
          <w:szCs w:val="36"/>
          <w:lang w:val="en-US" w:eastAsia="zh-CN"/>
        </w:rPr>
      </w:pPr>
      <w:r>
        <w:rPr>
          <w:rFonts w:eastAsia="仿宋_GB2312"/>
          <w:kern w:val="0"/>
          <w:sz w:val="36"/>
          <w:szCs w:val="36"/>
        </w:rPr>
        <w:t>实施单位（公章）：</w:t>
      </w:r>
      <w:r>
        <w:rPr>
          <w:rFonts w:hint="eastAsia" w:eastAsia="仿宋_GB2312"/>
          <w:kern w:val="0"/>
          <w:sz w:val="36"/>
          <w:szCs w:val="36"/>
          <w:lang w:val="en-US" w:eastAsia="zh-CN"/>
        </w:rPr>
        <w:t>自治区工信厅纺织工业处</w:t>
      </w:r>
    </w:p>
    <w:p w14:paraId="1E3C26A9">
      <w:pPr>
        <w:spacing w:line="700" w:lineRule="exact"/>
        <w:ind w:firstLine="1440" w:firstLineChars="400"/>
        <w:jc w:val="left"/>
        <w:rPr>
          <w:rFonts w:hint="default" w:eastAsia="仿宋_GB2312"/>
          <w:kern w:val="0"/>
          <w:sz w:val="36"/>
          <w:szCs w:val="36"/>
          <w:lang w:val="en-US" w:eastAsia="zh-CN"/>
        </w:rPr>
      </w:pPr>
      <w:r>
        <w:rPr>
          <w:rFonts w:eastAsia="仿宋_GB2312"/>
          <w:kern w:val="0"/>
          <w:sz w:val="36"/>
          <w:szCs w:val="36"/>
        </w:rPr>
        <w:t>主管部门（公章）：</w:t>
      </w:r>
      <w:r>
        <w:rPr>
          <w:rFonts w:hint="eastAsia" w:eastAsia="仿宋_GB2312"/>
          <w:kern w:val="0"/>
          <w:sz w:val="36"/>
          <w:szCs w:val="36"/>
          <w:lang w:val="en-US" w:eastAsia="zh-CN"/>
        </w:rPr>
        <w:t>自治区工业和信息化厅</w:t>
      </w:r>
    </w:p>
    <w:p w14:paraId="142B0315">
      <w:pPr>
        <w:spacing w:line="700" w:lineRule="exact"/>
        <w:ind w:firstLine="1440" w:firstLineChars="400"/>
        <w:jc w:val="left"/>
        <w:rPr>
          <w:rFonts w:hint="eastAsia" w:eastAsia="仿宋_GB2312"/>
          <w:kern w:val="0"/>
          <w:sz w:val="36"/>
          <w:szCs w:val="36"/>
          <w:lang w:val="en-US" w:eastAsia="zh-CN"/>
        </w:rPr>
      </w:pPr>
      <w:r>
        <w:rPr>
          <w:rFonts w:eastAsia="仿宋_GB2312"/>
          <w:kern w:val="0"/>
          <w:sz w:val="36"/>
          <w:szCs w:val="36"/>
        </w:rPr>
        <w:t>项目负责人（签章）：</w:t>
      </w:r>
      <w:r>
        <w:rPr>
          <w:rFonts w:hint="eastAsia" w:eastAsia="仿宋_GB2312"/>
          <w:kern w:val="0"/>
          <w:sz w:val="36"/>
          <w:szCs w:val="36"/>
          <w:lang w:val="en-US" w:eastAsia="zh-CN"/>
        </w:rPr>
        <w:t>王  清</w:t>
      </w:r>
    </w:p>
    <w:p w14:paraId="2BB1BE02">
      <w:pPr>
        <w:spacing w:line="700" w:lineRule="exact"/>
        <w:ind w:firstLine="1440" w:firstLineChars="400"/>
        <w:jc w:val="left"/>
        <w:rPr>
          <w:rFonts w:eastAsia="仿宋_GB2312"/>
          <w:kern w:val="0"/>
          <w:sz w:val="36"/>
          <w:szCs w:val="36"/>
        </w:rPr>
      </w:pPr>
      <w:r>
        <w:rPr>
          <w:rFonts w:eastAsia="仿宋_GB2312"/>
          <w:kern w:val="0"/>
          <w:sz w:val="36"/>
          <w:szCs w:val="36"/>
        </w:rPr>
        <w:t>填报时间：</w:t>
      </w:r>
      <w:r>
        <w:rPr>
          <w:rFonts w:hint="eastAsia" w:eastAsia="仿宋_GB2312"/>
          <w:kern w:val="0"/>
          <w:sz w:val="36"/>
          <w:szCs w:val="36"/>
          <w:lang w:val="en-US" w:eastAsia="zh-CN"/>
        </w:rPr>
        <w:t>2024</w:t>
      </w:r>
      <w:r>
        <w:rPr>
          <w:rFonts w:eastAsia="仿宋_GB2312"/>
          <w:kern w:val="0"/>
          <w:sz w:val="36"/>
          <w:szCs w:val="36"/>
        </w:rPr>
        <w:t>年</w:t>
      </w:r>
      <w:r>
        <w:rPr>
          <w:rFonts w:hint="eastAsia" w:eastAsia="仿宋_GB2312"/>
          <w:kern w:val="0"/>
          <w:sz w:val="36"/>
          <w:szCs w:val="36"/>
          <w:lang w:val="en-US" w:eastAsia="zh-CN"/>
        </w:rPr>
        <w:t>3</w:t>
      </w:r>
      <w:r>
        <w:rPr>
          <w:rFonts w:eastAsia="仿宋_GB2312"/>
          <w:kern w:val="0"/>
          <w:sz w:val="36"/>
          <w:szCs w:val="36"/>
        </w:rPr>
        <w:t>月</w:t>
      </w:r>
      <w:r>
        <w:rPr>
          <w:rFonts w:hint="eastAsia" w:eastAsia="仿宋_GB2312"/>
          <w:kern w:val="0"/>
          <w:sz w:val="36"/>
          <w:szCs w:val="36"/>
          <w:lang w:val="en-US" w:eastAsia="zh-CN"/>
        </w:rPr>
        <w:t>14</w:t>
      </w:r>
      <w:r>
        <w:rPr>
          <w:rFonts w:eastAsia="仿宋_GB2312"/>
          <w:kern w:val="0"/>
          <w:sz w:val="36"/>
          <w:szCs w:val="36"/>
        </w:rPr>
        <w:t>日</w:t>
      </w:r>
    </w:p>
    <w:p w14:paraId="5E493CCB">
      <w:pPr>
        <w:spacing w:line="540" w:lineRule="exact"/>
        <w:jc w:val="center"/>
        <w:rPr>
          <w:rFonts w:eastAsia="仿宋_GB2312"/>
          <w:kern w:val="0"/>
          <w:sz w:val="30"/>
          <w:szCs w:val="30"/>
        </w:rPr>
      </w:pPr>
    </w:p>
    <w:p w14:paraId="01D8B482">
      <w:pPr>
        <w:spacing w:line="540" w:lineRule="exact"/>
        <w:rPr>
          <w:rStyle w:val="22"/>
          <w:rFonts w:eastAsia="黑体"/>
          <w:b w:val="0"/>
          <w:spacing w:val="-4"/>
          <w:sz w:val="32"/>
          <w:szCs w:val="32"/>
        </w:rPr>
      </w:pPr>
    </w:p>
    <w:p w14:paraId="21ED0501">
      <w:pPr>
        <w:pStyle w:val="2"/>
      </w:pPr>
    </w:p>
    <w:p w14:paraId="0A7EF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一、基本情况</w:t>
      </w:r>
    </w:p>
    <w:p w14:paraId="79021C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1"/>
        <w:textAlignment w:val="auto"/>
        <w:rPr>
          <w:rFonts w:eastAsia="楷体_GB2312"/>
          <w:b w:val="0"/>
          <w:bCs w:val="0"/>
          <w:sz w:val="32"/>
          <w:szCs w:val="32"/>
        </w:rPr>
      </w:pPr>
      <w:r>
        <w:rPr>
          <w:rFonts w:eastAsia="楷体_GB2312"/>
          <w:b w:val="0"/>
          <w:bCs w:val="0"/>
          <w:sz w:val="32"/>
          <w:szCs w:val="32"/>
        </w:rPr>
        <w:t>（一）项目概况</w:t>
      </w:r>
    </w:p>
    <w:p w14:paraId="7AB7F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1.项目背景</w:t>
      </w:r>
    </w:p>
    <w:p w14:paraId="3BB652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Style w:val="22"/>
          <w:rFonts w:eastAsia="黑体"/>
          <w:bCs w:val="0"/>
          <w:spacing w:val="-4"/>
          <w:sz w:val="32"/>
          <w:szCs w:val="32"/>
          <w:highlight w:val="yellow"/>
        </w:rPr>
      </w:pPr>
      <w:r>
        <w:rPr>
          <w:rFonts w:hint="eastAsia" w:eastAsia="仿宋_GB2312"/>
          <w:sz w:val="32"/>
          <w:szCs w:val="32"/>
          <w:lang w:val="en-US" w:eastAsia="zh-CN"/>
        </w:rPr>
        <w:t>2023纱线展是中国纺织联合会主办的春季大联展重要组成展会之一,包括：中国国际纺织纱线展、中国国际纺织面料及辅料博览会、中国国际服装服饰博览会、中国国际家用纺织品及辅料博览会、中国国际针织博览会。该展会是全球规模最大、影响力最好、覆盖纺织全产业链最广的展会，总展览面积35万平方米，汇聚了近30个国家和地区的5000余家企业参展。 </w:t>
      </w:r>
    </w:p>
    <w:p w14:paraId="29026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2.项目主要内容</w:t>
      </w:r>
    </w:p>
    <w:p w14:paraId="22188D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按照原自治区纺就办《关于印发&lt;自治区纺织服装等劳动密集型产业带动就业2022年工作要点&gt;的通知》工作要求，自治区原定由工信厅牵头组团参加于2022年8月29—31日在国家会展中心（上海）举办的“2022年中国国际纺织纱线（秋冬）展览会”。由于新冠疫情影响，该展会数次延期，最终定于2023年3月28—30日举办，地点不变。</w:t>
      </w:r>
    </w:p>
    <w:p w14:paraId="688C64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项目实施情况：2023年2月参展工作重启后，对原意向参展企业进行了再次核实和补充，最终确定参展企业10家，参展面积279平方米，其中地方8家，参展面积255平方米；兵团2家，参展面积24平方米。</w:t>
      </w:r>
    </w:p>
    <w:p w14:paraId="334518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本项目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预算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资金48.82万元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，为财政拨款资金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。项目实际支出48.82万元，支出率为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%。</w:t>
      </w:r>
    </w:p>
    <w:p w14:paraId="2F03A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3.资金投入和使用情况</w:t>
      </w:r>
    </w:p>
    <w:p w14:paraId="048961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eastAsia="仿宋_GB2312"/>
          <w:sz w:val="20"/>
          <w:szCs w:val="20"/>
        </w:rPr>
      </w:pPr>
      <w:r>
        <w:rPr>
          <w:rFonts w:eastAsia="仿宋_GB2312"/>
          <w:sz w:val="32"/>
          <w:szCs w:val="32"/>
        </w:rPr>
        <w:t>（1）资金安排</w:t>
      </w:r>
    </w:p>
    <w:p w14:paraId="348A67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项目总投资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48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.82</w:t>
      </w:r>
      <w:r>
        <w:rPr>
          <w:rFonts w:ascii="Times New Roman" w:hAnsi="Times New Roman" w:eastAsia="仿宋_GB2312" w:cs="Times New Roman"/>
          <w:sz w:val="32"/>
          <w:szCs w:val="32"/>
        </w:rPr>
        <w:t>万元，按照单位财务制度等相关规定，资金支出符合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财政</w:t>
      </w:r>
      <w:r>
        <w:rPr>
          <w:rFonts w:ascii="Times New Roman" w:hAnsi="Times New Roman" w:eastAsia="仿宋_GB2312" w:cs="Times New Roman"/>
          <w:sz w:val="32"/>
          <w:szCs w:val="32"/>
        </w:rPr>
        <w:t>专项资金费用范围，做到了专款专用。在项目资金拨付和使用过程中，为确保项目资金的安全性，提高项目资金使用效率，严格遵循资金的拨付程序，认真审核项目实施各阶段的相关材料和手续，根据项目实施进展情况拨付资金。</w:t>
      </w:r>
    </w:p>
    <w:p w14:paraId="6CEC5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（2）预算资金来源及使用情况</w:t>
      </w:r>
      <w:bookmarkStart w:id="0" w:name="page10"/>
      <w:bookmarkEnd w:id="0"/>
    </w:p>
    <w:p w14:paraId="3A49D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项目预算资金来源于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自治区财政本级资金</w:t>
      </w:r>
      <w:r>
        <w:rPr>
          <w:rFonts w:ascii="Times New Roman" w:hAnsi="Times New Roman" w:eastAsia="仿宋_GB2312" w:cs="Times New Roman"/>
          <w:sz w:val="32"/>
          <w:szCs w:val="32"/>
        </w:rPr>
        <w:t>，项目资金到位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48.82</w:t>
      </w:r>
      <w:r>
        <w:rPr>
          <w:rFonts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全年执行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48.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82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万元，预算执行率为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100</w:t>
      </w:r>
      <w:bookmarkStart w:id="2" w:name="_GoBack"/>
      <w:bookmarkEnd w:id="2"/>
      <w:r>
        <w:rPr>
          <w:rFonts w:ascii="Times New Roman" w:hAnsi="Times New Roman" w:eastAsia="仿宋_GB2312" w:cs="Times New Roman"/>
          <w:sz w:val="32"/>
          <w:szCs w:val="32"/>
        </w:rPr>
        <w:t>%,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主要</w:t>
      </w:r>
      <w:r>
        <w:rPr>
          <w:rFonts w:ascii="Times New Roman" w:hAnsi="Times New Roman" w:eastAsia="仿宋_GB2312" w:cs="Times New Roman"/>
          <w:sz w:val="32"/>
          <w:szCs w:val="32"/>
        </w:rPr>
        <w:t>用于支付项目实施进程中的各项费用。</w:t>
      </w:r>
    </w:p>
    <w:p w14:paraId="2AEE4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1"/>
        <w:textAlignment w:val="auto"/>
        <w:rPr>
          <w:rFonts w:eastAsia="楷体_GB2312"/>
          <w:b w:val="0"/>
          <w:bCs w:val="0"/>
          <w:sz w:val="32"/>
          <w:szCs w:val="32"/>
        </w:rPr>
      </w:pPr>
      <w:r>
        <w:rPr>
          <w:rFonts w:eastAsia="楷体_GB2312"/>
          <w:b w:val="0"/>
          <w:bCs w:val="0"/>
          <w:sz w:val="32"/>
          <w:szCs w:val="32"/>
        </w:rPr>
        <w:t>（二）项目绩效目标</w:t>
      </w:r>
    </w:p>
    <w:p w14:paraId="5E67FB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1.总体目标</w:t>
      </w:r>
    </w:p>
    <w:p w14:paraId="22F0C0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工信厅牵头组织疆内纺织服装企业组团参加于2023年3月28—30日在国家会展中心（上海）举办的“2023中国国际纺织纱线（春夏）展览会”，期间召开2023新疆纺织服装产业招商引资推介会。</w:t>
      </w:r>
    </w:p>
    <w:p w14:paraId="0122D3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2.阶段性目标</w:t>
      </w:r>
    </w:p>
    <w:p w14:paraId="466C9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（1）前期准备：通过制定项目实施方案，经项目负责人审核通过后，有序开展后续工作。</w:t>
      </w:r>
    </w:p>
    <w:p w14:paraId="121E5C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eastAsia="仿宋_GB2312"/>
          <w:sz w:val="32"/>
          <w:szCs w:val="32"/>
        </w:rPr>
        <w:t>（2）组织实施：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组织报名工作已于2022年下半年完成，疆内11家企业意向参展，展位面积279平方米，同时有部分企业向展会主办方交付了相关费用。2023年2月参展工作重启后，对原意向参展企业进行了再次核实和补充。2月15日，自治区工信厅委托新疆招标有限公司代理，完成了展位设计与制作招标。</w:t>
      </w:r>
    </w:p>
    <w:p w14:paraId="7958F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2023新疆纺织服装产业招商引资推介会于3月28日下午在上海国家会展中心举办。活动由自治区工信厅主办，工业和信息化部消费品工业司司长何亚琼，中国纺织工业联合会产业部、中国纺织经济研究中心主任华珊，中国产业用纺织品行业协会会长李桂梅，中国棉纺织行业协会总工程师叶戬春，际华集团党委书记、董事长夏前军等领导出席会议。阿克苏、巴州等地纺织工业园区、相关县市领导以及企业代表，北京、新疆两地新闻媒体记者约100余人参会。</w:t>
      </w:r>
    </w:p>
    <w:p w14:paraId="77E2A2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二、绩效评价工作开展情况</w:t>
      </w:r>
    </w:p>
    <w:p w14:paraId="0D072B4B">
      <w:pPr>
        <w:spacing w:line="600" w:lineRule="exact"/>
        <w:ind w:firstLine="640" w:firstLineChars="200"/>
        <w:rPr>
          <w:rFonts w:eastAsia="楷体_GB2312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 w:val="0"/>
          <w:bCs w:val="0"/>
          <w:sz w:val="32"/>
          <w:szCs w:val="32"/>
        </w:rPr>
        <w:t>（一）绩效评价目的、对象和范围</w:t>
      </w:r>
    </w:p>
    <w:p w14:paraId="3BE41C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1.绩效评价的目的</w:t>
      </w:r>
    </w:p>
    <w:p w14:paraId="5EBD22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财政支出绩效评价运用科学、规范的绩效评价方法，制定统一的评价标准，使财政资金得到事前、事中和事后多方面的控制。财政支出绩效评价贯穿于财政支出安排和实施的全过程，是对财政支出效益、管理水平、投入风险等方面的综合评价；是发挥财政调控功能、提高财政资金安排科学性、促进财政支持社会经济目标实现的重要保证。</w:t>
      </w:r>
    </w:p>
    <w:p w14:paraId="64C403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（1）项目在实施前向项目负责人提供财政支出绩效方面的资金管理信息，促进项目支出严格按照资金管理规定进行。</w:t>
      </w:r>
    </w:p>
    <w:p w14:paraId="6CC7B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（2）项目绩效管理财政支出运行提供及时、有效的信息。</w:t>
      </w:r>
    </w:p>
    <w:p w14:paraId="7BD366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综合来看，通过开展有效的财政支出绩效评价管理，达到改进预算管理、控制节约成本，提高预算资金使用效益的目的。</w:t>
      </w:r>
    </w:p>
    <w:p w14:paraId="57583CE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ascii="Times New Roman" w:hAnsi="Times New Roman" w:eastAsia="仿宋_GB2312"/>
          <w:b w:val="0"/>
          <w:bCs w:val="0"/>
        </w:rPr>
      </w:pPr>
      <w:r>
        <w:rPr>
          <w:rFonts w:hint="eastAsia" w:ascii="Times New Roman" w:hAnsi="Times New Roman" w:eastAsia="仿宋_GB2312"/>
          <w:b w:val="0"/>
          <w:bCs w:val="0"/>
          <w:lang w:val="en-US" w:eastAsia="zh-CN"/>
        </w:rPr>
        <w:t>2.</w:t>
      </w:r>
      <w:r>
        <w:rPr>
          <w:rFonts w:ascii="Times New Roman" w:hAnsi="Times New Roman" w:eastAsia="仿宋_GB2312"/>
          <w:b w:val="0"/>
          <w:bCs w:val="0"/>
        </w:rPr>
        <w:t>绩效评价的对象</w:t>
      </w:r>
    </w:p>
    <w:p w14:paraId="4532F6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2023年3月28—30日在国家会展中心（上海）举办的“2023中国国际纺织纱线（春夏）展览会”，期间召开2023新疆纺织服装产业招商引资推介会。</w:t>
      </w:r>
    </w:p>
    <w:p w14:paraId="091AB07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/>
          <w:b w:val="0"/>
          <w:bCs w:val="0"/>
          <w:lang w:val="en-US" w:eastAsia="zh-CN"/>
        </w:rPr>
        <w:t>3.绩效评价的范围</w:t>
      </w:r>
    </w:p>
    <w:p w14:paraId="691CD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与往届相比，此次我区参展企业收获颇丰，共接待客商5770人次，达成纱线销售意向1.5万吨，金额3.01亿元。2023新疆纺织服装产业招商引资推介会上，际华集团与自治区工信厅签署了战略合作框架协议；九家企业与当地政府签订了投资意向协议，总签约额约185亿元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</w:p>
    <w:p w14:paraId="69A02207">
      <w:pPr>
        <w:spacing w:line="600" w:lineRule="exact"/>
        <w:ind w:firstLine="640" w:firstLineChars="200"/>
        <w:rPr>
          <w:rFonts w:ascii="Times New Roman" w:hAnsi="Times New Roman" w:eastAsia="楷体_GB2312" w:cs="Times New Roman"/>
          <w:b w:val="0"/>
          <w:bCs w:val="0"/>
          <w:sz w:val="32"/>
          <w:szCs w:val="32"/>
        </w:rPr>
      </w:pPr>
      <w:r>
        <w:rPr>
          <w:rFonts w:ascii="Times New Roman" w:hAnsi="Times New Roman" w:eastAsia="楷体_GB2312" w:cs="Times New Roman"/>
          <w:b w:val="0"/>
          <w:bCs w:val="0"/>
          <w:sz w:val="32"/>
          <w:szCs w:val="32"/>
        </w:rPr>
        <w:t>（二）绩效评价原则、评价指标体系、评价方法、评价标准</w:t>
      </w:r>
    </w:p>
    <w:p w14:paraId="74A4EAB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1.绩效评价原则</w:t>
      </w:r>
    </w:p>
    <w:p w14:paraId="21ADFAA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本次项目绩效评价遵循以下基本原则：</w:t>
      </w:r>
    </w:p>
    <w:p w14:paraId="0BED23D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（1）科学公正。绩效评价应当运用科学合理的方法，按照规范的程序，对项目绩效进行客观、公正的反映。</w:t>
      </w:r>
    </w:p>
    <w:p w14:paraId="1E5B619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1924D32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（3）激励约束。绩效评价结果应与预算安排、政策调整、改进管理实质性挂钩，体现奖优罚劣和激励相容导向，有效要安排、低效要压减、无效要问责。</w:t>
      </w:r>
    </w:p>
    <w:p w14:paraId="473E114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（4）公开透明。绩效评价结果应依法依规公开，并自觉接受社会监督。</w:t>
      </w:r>
    </w:p>
    <w:p w14:paraId="1DB29AD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2.评价指标体系</w:t>
      </w:r>
    </w:p>
    <w:p w14:paraId="1E41A8B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6E6BB7C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（1）确定评价指标</w:t>
      </w:r>
    </w:p>
    <w:p w14:paraId="123F046C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27FB273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（2）确定权重</w:t>
      </w:r>
    </w:p>
    <w:p w14:paraId="56E6111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确定各个指标相对于项目总体绩效的权重分值。在绩效评价指标体系中，项目决策权重为5分，项目过程权重为5分，项目产出权重为50分，项目效益权重为40分。</w:t>
      </w:r>
    </w:p>
    <w:p w14:paraId="69A9888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（3）确定指标标准值</w:t>
      </w:r>
    </w:p>
    <w:p w14:paraId="21CBD56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7E2B304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绩效评价总分值100分，根据综合评分结果，评价计分90分-100分（含90分）对应的评分结果级别为优，80-90分（含80分）对应的评分结果级别为良，60-80分（含60分）对应的评分结果级别为中，60分以下对应的评分结果级别为差。</w:t>
      </w:r>
    </w:p>
    <w:p w14:paraId="1F13974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3.绩效评价方法</w:t>
      </w:r>
    </w:p>
    <w:p w14:paraId="70F9B05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绩效评价从项目决策、项目过程、项目产出、项目效益四个维度进行评价。评价对象为项目目标实施情况，评价核心为资金的支出完成情况和项目的产出效益。</w:t>
      </w:r>
    </w:p>
    <w:p w14:paraId="7376405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 w14:paraId="65E61BB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（1）比较法</w:t>
      </w:r>
    </w:p>
    <w:p w14:paraId="1069FD3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通过对绩效目标与实施效果、历史与当期情况，综合分析绩效目标实现程度。对项目最终验收情况与年度绩效目标对比、预算资金执行情况等相关因素进行比较。</w:t>
      </w:r>
    </w:p>
    <w:p w14:paraId="5C10F89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（2）因素分析法</w:t>
      </w:r>
    </w:p>
    <w:p w14:paraId="3E75592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通过综合分析影响绩效目标实现、实施效果的内外因素，评价绩效目标实现程度。通过对项目的开展情况、项目产出数量、成本控制、资金拨付文件及自评报告等相关资料的收集和审核，综合分析各因素对绩效目标实现的影响。</w:t>
      </w:r>
    </w:p>
    <w:p w14:paraId="1290E19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4.评价标准</w:t>
      </w:r>
    </w:p>
    <w:p w14:paraId="7770FDE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绩效评价标准通常包括计划标准、行业标准、历史标准等，用于对绩效指标完成情况进行比较。本次评价主要采用了行业标准。</w:t>
      </w:r>
    </w:p>
    <w:p w14:paraId="21CAB3B0">
      <w:pPr>
        <w:pStyle w:val="2"/>
        <w:numPr>
          <w:ilvl w:val="0"/>
          <w:numId w:val="0"/>
        </w:numPr>
        <w:spacing w:before="0" w:after="0" w:line="600" w:lineRule="exact"/>
        <w:ind w:firstLine="640" w:firstLineChars="200"/>
        <w:jc w:val="both"/>
        <w:rPr>
          <w:rFonts w:ascii="Times New Roman" w:hAnsi="Times New Roman" w:eastAsia="楷体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（三）绩效评价工作过程</w:t>
      </w:r>
    </w:p>
    <w:p w14:paraId="24D52BAB">
      <w:pPr>
        <w:numPr>
          <w:ilvl w:val="0"/>
          <w:numId w:val="0"/>
        </w:numPr>
        <w:spacing w:line="60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  <w:lang w:val="en-US" w:eastAsia="zh-CN"/>
        </w:rPr>
        <w:t>1.</w:t>
      </w:r>
      <w:r>
        <w:rPr>
          <w:rFonts w:hint="eastAsia" w:eastAsia="仿宋_GB2312"/>
          <w:bCs/>
          <w:sz w:val="32"/>
          <w:szCs w:val="32"/>
        </w:rPr>
        <w:t>前期准备。首先成立评价工作组，开展前期调研；其次明确项目绩效目标，设计绩效评价指标体系并确定绩效评价方法；接着确定现场和非现场评价范围，设计资料清单；最后制定评价实施方案并进行论证。</w:t>
      </w:r>
    </w:p>
    <w:p w14:paraId="6B1E9521">
      <w:pPr>
        <w:numPr>
          <w:ilvl w:val="0"/>
          <w:numId w:val="0"/>
        </w:numPr>
        <w:spacing w:line="600" w:lineRule="exact"/>
        <w:ind w:firstLine="640" w:firstLineChars="200"/>
        <w:rPr>
          <w:rFonts w:eastAsia="仿宋_GB2312"/>
          <w:bCs/>
          <w:sz w:val="32"/>
          <w:szCs w:val="32"/>
        </w:rPr>
      </w:pPr>
      <w:r>
        <w:rPr>
          <w:rFonts w:hint="eastAsia" w:eastAsia="仿宋_GB2312"/>
          <w:bCs/>
          <w:sz w:val="32"/>
          <w:szCs w:val="32"/>
          <w:lang w:val="en-US" w:eastAsia="zh-CN"/>
        </w:rPr>
        <w:t>2.</w:t>
      </w:r>
      <w:r>
        <w:rPr>
          <w:rFonts w:hint="eastAsia" w:eastAsia="仿宋_GB2312"/>
          <w:bCs/>
          <w:sz w:val="32"/>
          <w:szCs w:val="32"/>
        </w:rPr>
        <w:t>组织实施。制定绩效评价工作方案，具体包括项目概况、评价思路、方法手段、组织实施、进度安排等。收集项目立项依据、相关会议纪要、实施方案、财政资金分配方案、支付管理情况等相关评价资料并进行梳理。</w:t>
      </w:r>
    </w:p>
    <w:p w14:paraId="6465C3D8">
      <w:pPr>
        <w:numPr>
          <w:ilvl w:val="0"/>
          <w:numId w:val="0"/>
        </w:numPr>
        <w:spacing w:line="600" w:lineRule="exact"/>
        <w:ind w:firstLine="640" w:firstLineChars="200"/>
        <w:rPr>
          <w:sz w:val="32"/>
          <w:szCs w:val="32"/>
        </w:rPr>
      </w:pPr>
      <w:r>
        <w:rPr>
          <w:rFonts w:hint="eastAsia" w:eastAsia="仿宋_GB2312"/>
          <w:bCs/>
          <w:sz w:val="32"/>
          <w:szCs w:val="32"/>
          <w:lang w:val="en-US" w:eastAsia="zh-CN"/>
        </w:rPr>
        <w:t>3.</w:t>
      </w:r>
      <w:r>
        <w:rPr>
          <w:rFonts w:hint="eastAsia" w:eastAsia="仿宋_GB2312"/>
          <w:bCs/>
          <w:sz w:val="32"/>
          <w:szCs w:val="32"/>
        </w:rPr>
        <w:t>分析评价。根据收集梳理的资料围绕项目立项、资金落实、业务管理、财务管理、项目产出、项目效益等内容，对照已确定的绩效评价指标进行详细全面的分析评价，逐项打分并形成绩效评价最终结果。</w:t>
      </w:r>
    </w:p>
    <w:p w14:paraId="26A421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三、</w:t>
      </w:r>
      <w:r>
        <w:rPr>
          <w:rFonts w:ascii="Times New Roman" w:hAnsi="Times New Roman" w:eastAsia="黑体" w:cs="Times New Roman"/>
          <w:sz w:val="32"/>
          <w:szCs w:val="32"/>
        </w:rPr>
        <w:t>综合评价情况及评价结论（附相关评分表）</w:t>
      </w:r>
    </w:p>
    <w:p w14:paraId="4A91F5CB"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对2023年中国国际纺织纱线（春夏）展览会新疆团参展（布展）费用项目进行客观评价，最终评分结果：总得分为 95分，属于“优”。其中，项目决策类指标权重为20分，得分为 20分，得分率为 100%。项目过程类指标权重为20分，得分为19分，得分率为 95%。项目产出类指标权重为40分，得分为38分，得分率为 95%。项目效益类指标权重为20分，得分为18分，得分率为90%。</w:t>
      </w:r>
    </w:p>
    <w:p w14:paraId="60C3C445">
      <w:pPr>
        <w:pStyle w:val="2"/>
        <w:rPr>
          <w:rFonts w:ascii="Times New Roman" w:hAnsi="Times New Roman" w:eastAsia="仿宋_GB2312"/>
          <w:sz w:val="30"/>
          <w:szCs w:val="30"/>
        </w:rPr>
      </w:pPr>
    </w:p>
    <w:p w14:paraId="358CB0FE">
      <w:pPr>
        <w:pStyle w:val="2"/>
        <w:rPr>
          <w:rFonts w:ascii="Times New Roman" w:hAnsi="Times New Roman" w:eastAsia="仿宋_GB2312"/>
          <w:sz w:val="30"/>
          <w:szCs w:val="30"/>
        </w:rPr>
      </w:pPr>
      <w:r>
        <w:rPr>
          <w:rFonts w:ascii="Times New Roman" w:hAnsi="Times New Roman" w:eastAsia="仿宋_GB2312"/>
          <w:sz w:val="30"/>
          <w:szCs w:val="30"/>
        </w:rPr>
        <w:t>表1综合评分表</w:t>
      </w:r>
    </w:p>
    <w:p w14:paraId="27582DE8"/>
    <w:p w14:paraId="588D4176"/>
    <w:tbl>
      <w:tblPr>
        <w:tblStyle w:val="20"/>
        <w:tblpPr w:leftFromText="180" w:rightFromText="180" w:vertAnchor="text" w:horzAnchor="page" w:tblpX="1016" w:tblpY="-67"/>
        <w:tblOverlap w:val="never"/>
        <w:tblW w:w="9954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990"/>
        <w:gridCol w:w="1283"/>
        <w:gridCol w:w="1707"/>
        <w:gridCol w:w="727"/>
        <w:gridCol w:w="1044"/>
        <w:gridCol w:w="924"/>
        <w:gridCol w:w="1215"/>
        <w:gridCol w:w="960"/>
      </w:tblGrid>
      <w:tr w14:paraId="3C30346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  <w:tblHeader/>
        </w:trPr>
        <w:tc>
          <w:tcPr>
            <w:tcW w:w="1104" w:type="dxa"/>
            <w:shd w:val="clear" w:color="auto" w:fill="BFBFBF"/>
            <w:vAlign w:val="center"/>
          </w:tcPr>
          <w:p w14:paraId="0D20F8A3">
            <w:pPr>
              <w:widowControl/>
              <w:spacing w:line="0" w:lineRule="atLeast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990" w:type="dxa"/>
            <w:shd w:val="clear" w:color="auto" w:fill="BFBFBF"/>
            <w:vAlign w:val="center"/>
          </w:tcPr>
          <w:p w14:paraId="546C3EE5">
            <w:pPr>
              <w:widowControl/>
              <w:spacing w:line="0" w:lineRule="atLeast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分值</w:t>
            </w:r>
          </w:p>
        </w:tc>
        <w:tc>
          <w:tcPr>
            <w:tcW w:w="1283" w:type="dxa"/>
            <w:shd w:val="clear" w:color="auto" w:fill="BFBFBF"/>
            <w:vAlign w:val="center"/>
          </w:tcPr>
          <w:p w14:paraId="7019A7D0">
            <w:pPr>
              <w:widowControl/>
              <w:spacing w:line="0" w:lineRule="atLeast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1707" w:type="dxa"/>
            <w:shd w:val="clear" w:color="auto" w:fill="BFBFBF"/>
            <w:vAlign w:val="center"/>
          </w:tcPr>
          <w:p w14:paraId="4DB3DD5D">
            <w:pPr>
              <w:widowControl/>
              <w:spacing w:line="0" w:lineRule="atLeast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727" w:type="dxa"/>
            <w:shd w:val="clear" w:color="auto" w:fill="BFBFBF"/>
            <w:vAlign w:val="center"/>
          </w:tcPr>
          <w:p w14:paraId="40970788">
            <w:pPr>
              <w:widowControl/>
              <w:spacing w:line="0" w:lineRule="atLeast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权重</w:t>
            </w:r>
          </w:p>
        </w:tc>
        <w:tc>
          <w:tcPr>
            <w:tcW w:w="1044" w:type="dxa"/>
            <w:shd w:val="clear" w:color="auto" w:fill="BFBFBF"/>
            <w:vAlign w:val="center"/>
          </w:tcPr>
          <w:p w14:paraId="53F53E80">
            <w:pPr>
              <w:widowControl/>
              <w:tabs>
                <w:tab w:val="left" w:pos="1333"/>
                <w:tab w:val="center" w:pos="3623"/>
              </w:tabs>
              <w:spacing w:line="0" w:lineRule="atLeast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目标值</w:t>
            </w:r>
          </w:p>
        </w:tc>
        <w:tc>
          <w:tcPr>
            <w:tcW w:w="924" w:type="dxa"/>
            <w:shd w:val="clear" w:color="auto" w:fill="BFBFBF"/>
            <w:vAlign w:val="center"/>
          </w:tcPr>
          <w:p w14:paraId="065A4FCA">
            <w:pPr>
              <w:widowControl/>
              <w:tabs>
                <w:tab w:val="left" w:pos="1333"/>
                <w:tab w:val="center" w:pos="3623"/>
              </w:tabs>
              <w:spacing w:line="0" w:lineRule="atLeast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业绩值</w:t>
            </w:r>
          </w:p>
        </w:tc>
        <w:tc>
          <w:tcPr>
            <w:tcW w:w="1215" w:type="dxa"/>
            <w:shd w:val="clear" w:color="auto" w:fill="BFBFBF"/>
            <w:vAlign w:val="center"/>
          </w:tcPr>
          <w:p w14:paraId="45BDC4F8">
            <w:pPr>
              <w:widowControl/>
              <w:tabs>
                <w:tab w:val="left" w:pos="1333"/>
                <w:tab w:val="center" w:pos="3623"/>
              </w:tabs>
              <w:spacing w:line="0" w:lineRule="atLeast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得分率</w:t>
            </w:r>
          </w:p>
        </w:tc>
        <w:tc>
          <w:tcPr>
            <w:tcW w:w="960" w:type="dxa"/>
            <w:shd w:val="clear" w:color="auto" w:fill="BFBFBF"/>
            <w:vAlign w:val="center"/>
          </w:tcPr>
          <w:p w14:paraId="3C4FB2C4">
            <w:pPr>
              <w:widowControl/>
              <w:tabs>
                <w:tab w:val="left" w:pos="1333"/>
                <w:tab w:val="center" w:pos="3623"/>
              </w:tabs>
              <w:spacing w:line="0" w:lineRule="atLeast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b/>
                <w:bCs/>
                <w:color w:val="000000"/>
                <w:kern w:val="0"/>
                <w:sz w:val="22"/>
                <w:szCs w:val="22"/>
              </w:rPr>
              <w:t>得分</w:t>
            </w:r>
          </w:p>
        </w:tc>
      </w:tr>
      <w:tr w14:paraId="247F505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restart"/>
            <w:shd w:val="clear" w:color="auto" w:fill="FFFFFF"/>
            <w:vAlign w:val="center"/>
          </w:tcPr>
          <w:p w14:paraId="35CD5BA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决策　</w:t>
            </w:r>
          </w:p>
          <w:p w14:paraId="1BD6373C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　</w:t>
            </w:r>
          </w:p>
          <w:p w14:paraId="7A16E62A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　</w:t>
            </w:r>
          </w:p>
          <w:p w14:paraId="6EC77E97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 w14:paraId="3EEBC1A4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20</w:t>
            </w:r>
            <w:r>
              <w:rPr>
                <w:kern w:val="0"/>
                <w:sz w:val="22"/>
                <w:szCs w:val="22"/>
              </w:rPr>
              <w:t>分</w:t>
            </w:r>
          </w:p>
        </w:tc>
        <w:tc>
          <w:tcPr>
            <w:tcW w:w="1283" w:type="dxa"/>
            <w:vMerge w:val="restart"/>
            <w:shd w:val="clear" w:color="auto" w:fill="FFFFFF"/>
            <w:vAlign w:val="center"/>
          </w:tcPr>
          <w:p w14:paraId="5EFD275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项目立项　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6E46CE73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立项依据</w:t>
            </w:r>
          </w:p>
          <w:p w14:paraId="28C412CE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充分性</w:t>
            </w:r>
          </w:p>
        </w:tc>
        <w:tc>
          <w:tcPr>
            <w:tcW w:w="727" w:type="dxa"/>
            <w:shd w:val="clear" w:color="auto" w:fill="FFFFFF"/>
            <w:vAlign w:val="center"/>
          </w:tcPr>
          <w:p w14:paraId="6D133833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4" w:type="dxa"/>
            <w:shd w:val="clear" w:color="auto" w:fill="FFFFFF"/>
            <w:vAlign w:val="center"/>
          </w:tcPr>
          <w:p w14:paraId="029D088D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充分</w:t>
            </w:r>
          </w:p>
        </w:tc>
        <w:tc>
          <w:tcPr>
            <w:tcW w:w="924" w:type="dxa"/>
            <w:shd w:val="clear" w:color="auto" w:fill="FFFFFF"/>
            <w:vAlign w:val="center"/>
          </w:tcPr>
          <w:p w14:paraId="3E3C9FC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充分</w:t>
            </w:r>
          </w:p>
        </w:tc>
        <w:tc>
          <w:tcPr>
            <w:tcW w:w="1215" w:type="dxa"/>
            <w:shd w:val="clear" w:color="auto" w:fill="FFFFFF"/>
            <w:vAlign w:val="center"/>
          </w:tcPr>
          <w:p w14:paraId="0395641E"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</w:t>
            </w:r>
          </w:p>
        </w:tc>
        <w:tc>
          <w:tcPr>
            <w:tcW w:w="960" w:type="dxa"/>
            <w:shd w:val="clear" w:color="auto" w:fill="FFFFFF"/>
            <w:vAlign w:val="center"/>
          </w:tcPr>
          <w:p w14:paraId="5A9F9202">
            <w:pPr>
              <w:widowControl/>
              <w:spacing w:line="0" w:lineRule="atLeast"/>
              <w:jc w:val="center"/>
              <w:rPr>
                <w:rFonts w:hint="eastAsia" w:eastAsia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</w:tr>
      <w:tr w14:paraId="6C79F22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 w14:paraId="7F776560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 w14:paraId="1719D9C0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continue"/>
            <w:shd w:val="clear" w:color="auto" w:fill="FFFFFF"/>
            <w:vAlign w:val="center"/>
          </w:tcPr>
          <w:p w14:paraId="23EEBA34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FFFFFF"/>
            <w:vAlign w:val="center"/>
          </w:tcPr>
          <w:p w14:paraId="09F1176C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立项程序</w:t>
            </w:r>
          </w:p>
          <w:p w14:paraId="672DA5C1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规范性</w:t>
            </w:r>
          </w:p>
        </w:tc>
        <w:tc>
          <w:tcPr>
            <w:tcW w:w="727" w:type="dxa"/>
            <w:shd w:val="clear" w:color="auto" w:fill="FFFFFF"/>
            <w:vAlign w:val="center"/>
          </w:tcPr>
          <w:p w14:paraId="396045CB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4" w:type="dxa"/>
            <w:shd w:val="clear" w:color="auto" w:fill="FFFFFF"/>
            <w:vAlign w:val="center"/>
          </w:tcPr>
          <w:p w14:paraId="435790BD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规范</w:t>
            </w:r>
          </w:p>
        </w:tc>
        <w:tc>
          <w:tcPr>
            <w:tcW w:w="924" w:type="dxa"/>
            <w:shd w:val="clear" w:color="auto" w:fill="FFFFFF"/>
            <w:vAlign w:val="center"/>
          </w:tcPr>
          <w:p w14:paraId="21EC4005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规范</w:t>
            </w:r>
          </w:p>
        </w:tc>
        <w:tc>
          <w:tcPr>
            <w:tcW w:w="1215" w:type="dxa"/>
            <w:shd w:val="clear" w:color="auto" w:fill="FFFFFF"/>
            <w:vAlign w:val="center"/>
          </w:tcPr>
          <w:p w14:paraId="421DBEB4"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</w:t>
            </w:r>
          </w:p>
        </w:tc>
        <w:tc>
          <w:tcPr>
            <w:tcW w:w="960" w:type="dxa"/>
            <w:shd w:val="clear" w:color="auto" w:fill="FFFFFF"/>
            <w:vAlign w:val="center"/>
          </w:tcPr>
          <w:p w14:paraId="1C79BAB4">
            <w:pPr>
              <w:widowControl/>
              <w:spacing w:line="0" w:lineRule="atLeast"/>
              <w:jc w:val="center"/>
              <w:rPr>
                <w:rFonts w:hint="eastAsia" w:eastAsia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</w:tr>
      <w:tr w14:paraId="17FA21F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 w14:paraId="5A5D600C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 w14:paraId="424BF301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restart"/>
            <w:shd w:val="clear" w:color="auto" w:fill="FFFFFF"/>
            <w:vAlign w:val="center"/>
          </w:tcPr>
          <w:p w14:paraId="36242C6C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绩效目标　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6C6CBA52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绩效目标</w:t>
            </w:r>
          </w:p>
          <w:p w14:paraId="41291843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合理性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54E712D5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0FE21161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合理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17945EA1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合理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0630FDCE"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4F6C4347">
            <w:pPr>
              <w:widowControl/>
              <w:spacing w:line="0" w:lineRule="atLeast"/>
              <w:jc w:val="center"/>
              <w:rPr>
                <w:rFonts w:hint="eastAsia" w:eastAsia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</w:tr>
      <w:tr w14:paraId="6C503F2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 w14:paraId="3D251C97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 w14:paraId="661C00D4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continue"/>
            <w:shd w:val="clear" w:color="auto" w:fill="FFFFFF"/>
            <w:vAlign w:val="center"/>
          </w:tcPr>
          <w:p w14:paraId="6DEAC28D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FFFFFF"/>
            <w:vAlign w:val="center"/>
          </w:tcPr>
          <w:p w14:paraId="5A0CD4FF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绩效指标</w:t>
            </w:r>
          </w:p>
          <w:p w14:paraId="7FA06C94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明确性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24B207DB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5BEF28DB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明确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57DBFA67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明确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338CE7AF">
            <w:pPr>
              <w:widowControl/>
              <w:spacing w:line="0" w:lineRule="atLeast"/>
              <w:jc w:val="center"/>
              <w:rPr>
                <w:rFonts w:hint="eastAsia" w:eastAsia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6777FB77">
            <w:pPr>
              <w:widowControl/>
              <w:spacing w:line="0" w:lineRule="atLeast"/>
              <w:jc w:val="center"/>
              <w:rPr>
                <w:rFonts w:hint="eastAsia" w:eastAsia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</w:tr>
      <w:tr w14:paraId="426BFE6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 w14:paraId="5B2BE117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 w14:paraId="1E46462D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restart"/>
            <w:shd w:val="clear" w:color="auto" w:fill="FFFFFF"/>
            <w:vAlign w:val="center"/>
          </w:tcPr>
          <w:p w14:paraId="30FCDF35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资金投入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678F9824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预算编制</w:t>
            </w:r>
          </w:p>
          <w:p w14:paraId="1A001ED0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科学性</w:t>
            </w:r>
          </w:p>
        </w:tc>
        <w:tc>
          <w:tcPr>
            <w:tcW w:w="727" w:type="dxa"/>
            <w:shd w:val="clear" w:color="auto" w:fill="FFFFFF"/>
            <w:vAlign w:val="center"/>
          </w:tcPr>
          <w:p w14:paraId="5D95DE60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auto" w:fill="FFFFFF"/>
            <w:vAlign w:val="center"/>
          </w:tcPr>
          <w:p w14:paraId="43EAE73B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科学</w:t>
            </w:r>
          </w:p>
        </w:tc>
        <w:tc>
          <w:tcPr>
            <w:tcW w:w="924" w:type="dxa"/>
            <w:shd w:val="clear" w:color="auto" w:fill="FFFFFF"/>
            <w:vAlign w:val="center"/>
          </w:tcPr>
          <w:p w14:paraId="2AAFDFF2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科学</w:t>
            </w:r>
          </w:p>
        </w:tc>
        <w:tc>
          <w:tcPr>
            <w:tcW w:w="1215" w:type="dxa"/>
            <w:shd w:val="clear" w:color="auto" w:fill="FFFFFF"/>
            <w:vAlign w:val="center"/>
          </w:tcPr>
          <w:p w14:paraId="2DF52D8F"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</w:t>
            </w:r>
          </w:p>
        </w:tc>
        <w:tc>
          <w:tcPr>
            <w:tcW w:w="960" w:type="dxa"/>
            <w:shd w:val="clear" w:color="auto" w:fill="FFFFFF"/>
            <w:vAlign w:val="center"/>
          </w:tcPr>
          <w:p w14:paraId="5AF7044C">
            <w:pPr>
              <w:widowControl/>
              <w:spacing w:line="0" w:lineRule="atLeast"/>
              <w:jc w:val="center"/>
              <w:rPr>
                <w:rFonts w:hint="eastAsia" w:eastAsia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</w:tr>
      <w:tr w14:paraId="0503797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 w14:paraId="23D1F924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 w14:paraId="53E39297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continue"/>
            <w:shd w:val="clear" w:color="auto" w:fill="FFFFFF"/>
            <w:vAlign w:val="center"/>
          </w:tcPr>
          <w:p w14:paraId="44FFF23D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FFFFFF"/>
            <w:vAlign w:val="center"/>
          </w:tcPr>
          <w:p w14:paraId="52B4652E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资金分配</w:t>
            </w:r>
          </w:p>
          <w:p w14:paraId="38DA0E95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合理性</w:t>
            </w:r>
          </w:p>
        </w:tc>
        <w:tc>
          <w:tcPr>
            <w:tcW w:w="727" w:type="dxa"/>
            <w:shd w:val="clear" w:color="auto" w:fill="FFFFFF"/>
            <w:vAlign w:val="center"/>
          </w:tcPr>
          <w:p w14:paraId="60A253B4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044" w:type="dxa"/>
            <w:shd w:val="clear" w:color="auto" w:fill="FFFFFF"/>
            <w:vAlign w:val="center"/>
          </w:tcPr>
          <w:p w14:paraId="0858F130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合理</w:t>
            </w:r>
          </w:p>
        </w:tc>
        <w:tc>
          <w:tcPr>
            <w:tcW w:w="924" w:type="dxa"/>
            <w:shd w:val="clear" w:color="auto" w:fill="FFFFFF"/>
            <w:vAlign w:val="center"/>
          </w:tcPr>
          <w:p w14:paraId="561D782E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合理</w:t>
            </w:r>
          </w:p>
        </w:tc>
        <w:tc>
          <w:tcPr>
            <w:tcW w:w="1215" w:type="dxa"/>
            <w:shd w:val="clear" w:color="auto" w:fill="FFFFFF"/>
            <w:vAlign w:val="center"/>
          </w:tcPr>
          <w:p w14:paraId="38E5EFF9"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</w:t>
            </w:r>
          </w:p>
        </w:tc>
        <w:tc>
          <w:tcPr>
            <w:tcW w:w="960" w:type="dxa"/>
            <w:shd w:val="clear" w:color="auto" w:fill="FFFFFF"/>
            <w:vAlign w:val="center"/>
          </w:tcPr>
          <w:p w14:paraId="310A83F9">
            <w:pPr>
              <w:widowControl/>
              <w:spacing w:line="0" w:lineRule="atLeast"/>
              <w:jc w:val="center"/>
              <w:rPr>
                <w:rFonts w:hint="eastAsia" w:eastAsia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</w:tr>
      <w:tr w14:paraId="3F97402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restart"/>
            <w:shd w:val="clear" w:color="auto" w:fill="FFFFFF"/>
            <w:vAlign w:val="center"/>
          </w:tcPr>
          <w:p w14:paraId="59D06FA2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过程</w:t>
            </w:r>
          </w:p>
          <w:p w14:paraId="0444B3E4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 w14:paraId="190B4A4E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20</w:t>
            </w:r>
            <w:r>
              <w:rPr>
                <w:kern w:val="0"/>
                <w:sz w:val="22"/>
                <w:szCs w:val="22"/>
              </w:rPr>
              <w:t>分</w:t>
            </w:r>
          </w:p>
        </w:tc>
        <w:tc>
          <w:tcPr>
            <w:tcW w:w="1283" w:type="dxa"/>
            <w:vMerge w:val="restart"/>
            <w:shd w:val="clear" w:color="auto" w:fill="FFFFFF"/>
            <w:vAlign w:val="center"/>
          </w:tcPr>
          <w:p w14:paraId="79EB9DF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23ACC144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资金到位率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6375DA64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52F0785C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100%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1F61C56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</w:t>
            </w:r>
            <w:r>
              <w:rPr>
                <w:color w:val="000000"/>
                <w:kern w:val="0"/>
                <w:sz w:val="22"/>
                <w:szCs w:val="22"/>
                <w:highlight w:val="none"/>
              </w:rPr>
              <w:t>%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2233D8B6"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59EA1FE3">
            <w:pPr>
              <w:widowControl/>
              <w:spacing w:line="0" w:lineRule="atLeast"/>
              <w:jc w:val="center"/>
              <w:rPr>
                <w:rFonts w:hint="eastAsia" w:eastAsia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</w:tr>
      <w:tr w14:paraId="215BDB6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 w14:paraId="221278B1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 w14:paraId="14C9C059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continue"/>
            <w:shd w:val="clear" w:color="auto" w:fill="FFFFFF"/>
            <w:vAlign w:val="center"/>
          </w:tcPr>
          <w:p w14:paraId="6638E083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FFFFFF"/>
            <w:vAlign w:val="center"/>
          </w:tcPr>
          <w:p w14:paraId="1656CB1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预算执行率</w:t>
            </w:r>
          </w:p>
        </w:tc>
        <w:tc>
          <w:tcPr>
            <w:tcW w:w="727" w:type="dxa"/>
            <w:shd w:val="clear" w:color="auto" w:fill="FFFFFF"/>
            <w:vAlign w:val="center"/>
          </w:tcPr>
          <w:p w14:paraId="268C0299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auto" w:fill="FFFFFF"/>
            <w:vAlign w:val="center"/>
          </w:tcPr>
          <w:p w14:paraId="5F6FBB4F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100%</w:t>
            </w:r>
          </w:p>
        </w:tc>
        <w:tc>
          <w:tcPr>
            <w:tcW w:w="924" w:type="dxa"/>
            <w:shd w:val="clear" w:color="auto" w:fill="FFFFFF"/>
            <w:vAlign w:val="center"/>
          </w:tcPr>
          <w:p w14:paraId="33ED52D1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75</w:t>
            </w:r>
            <w:r>
              <w:rPr>
                <w:color w:val="000000"/>
                <w:kern w:val="0"/>
                <w:sz w:val="22"/>
                <w:szCs w:val="22"/>
                <w:highlight w:val="none"/>
              </w:rPr>
              <w:t>%</w:t>
            </w:r>
          </w:p>
        </w:tc>
        <w:tc>
          <w:tcPr>
            <w:tcW w:w="1215" w:type="dxa"/>
            <w:shd w:val="clear" w:color="auto" w:fill="FFFFFF"/>
            <w:vAlign w:val="center"/>
          </w:tcPr>
          <w:p w14:paraId="466ABDF6"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75</w:t>
            </w:r>
          </w:p>
        </w:tc>
        <w:tc>
          <w:tcPr>
            <w:tcW w:w="960" w:type="dxa"/>
            <w:shd w:val="clear" w:color="auto" w:fill="FFFFFF"/>
            <w:vAlign w:val="center"/>
          </w:tcPr>
          <w:p w14:paraId="01F84A01">
            <w:pPr>
              <w:widowControl/>
              <w:spacing w:line="0" w:lineRule="atLeast"/>
              <w:jc w:val="center"/>
              <w:rPr>
                <w:rFonts w:hint="eastAsia" w:eastAsia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</w:tr>
      <w:tr w14:paraId="0C24606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 w14:paraId="1D5E100B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 w14:paraId="30C92456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FFFFFF"/>
            <w:vAlign w:val="center"/>
          </w:tcPr>
          <w:p w14:paraId="24BC1672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资金管理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25F1D210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资金使用</w:t>
            </w:r>
          </w:p>
          <w:p w14:paraId="5FBCB14D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合规性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3BFE958C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4F279BA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62ED8C04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合格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10A58721"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345F9694">
            <w:pPr>
              <w:widowControl/>
              <w:spacing w:line="0" w:lineRule="atLeast"/>
              <w:jc w:val="center"/>
              <w:rPr>
                <w:rFonts w:hint="eastAsia" w:eastAsia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</w:tr>
      <w:tr w14:paraId="361F476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 w14:paraId="45087193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 w14:paraId="3E390088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restart"/>
            <w:shd w:val="clear" w:color="auto" w:fill="FFFFFF"/>
            <w:vAlign w:val="center"/>
          </w:tcPr>
          <w:p w14:paraId="7B1C8FA7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组织实施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5266739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管理制度</w:t>
            </w:r>
          </w:p>
          <w:p w14:paraId="5A016D7F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健全性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267C5541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0F952CF5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健全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0B318F2F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健全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1917128D"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644BCDD9">
            <w:pPr>
              <w:widowControl/>
              <w:spacing w:line="0" w:lineRule="atLeast"/>
              <w:jc w:val="center"/>
              <w:rPr>
                <w:rFonts w:hint="eastAsia" w:eastAsia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</w:tr>
      <w:tr w14:paraId="6102977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 w14:paraId="5B6E49E3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 w14:paraId="4A329DE6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continue"/>
            <w:shd w:val="clear" w:color="auto" w:fill="FFFFFF"/>
            <w:vAlign w:val="center"/>
          </w:tcPr>
          <w:p w14:paraId="4DD22654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FFFFFF"/>
            <w:vAlign w:val="center"/>
          </w:tcPr>
          <w:p w14:paraId="05827437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制度执行</w:t>
            </w:r>
          </w:p>
          <w:p w14:paraId="722C1DF3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有效性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78952A1A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251BB0C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有效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612673DE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有效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681F5121"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36AC2FDE">
            <w:pPr>
              <w:widowControl/>
              <w:spacing w:line="0" w:lineRule="atLeast"/>
              <w:jc w:val="center"/>
              <w:rPr>
                <w:rFonts w:hint="eastAsia" w:eastAsia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</w:tr>
      <w:tr w14:paraId="224E2A1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restart"/>
            <w:shd w:val="clear" w:color="auto" w:fill="FFFFFF"/>
            <w:vAlign w:val="center"/>
          </w:tcPr>
          <w:p w14:paraId="6EAE32D9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产出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 w14:paraId="1DC41A06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kern w:val="0"/>
                <w:sz w:val="22"/>
                <w:szCs w:val="22"/>
              </w:rPr>
              <w:t>40</w:t>
            </w:r>
            <w:r>
              <w:rPr>
                <w:kern w:val="0"/>
                <w:sz w:val="22"/>
                <w:szCs w:val="22"/>
              </w:rPr>
              <w:t>分</w:t>
            </w:r>
          </w:p>
        </w:tc>
        <w:tc>
          <w:tcPr>
            <w:tcW w:w="1283" w:type="dxa"/>
            <w:shd w:val="clear" w:color="auto" w:fill="FFFFFF"/>
            <w:vAlign w:val="center"/>
          </w:tcPr>
          <w:p w14:paraId="2A267497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产出数量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4599C99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实际完成率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678FE6E6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45787EDF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100%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57BA5F3B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</w:t>
            </w:r>
            <w:r>
              <w:rPr>
                <w:color w:val="000000"/>
                <w:kern w:val="0"/>
                <w:sz w:val="22"/>
                <w:szCs w:val="22"/>
                <w:highlight w:val="none"/>
              </w:rPr>
              <w:t>%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7623BF1A"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3B35F708"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</w:t>
            </w:r>
          </w:p>
        </w:tc>
      </w:tr>
      <w:tr w14:paraId="4CD55D7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 w14:paraId="2BB8536B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 w14:paraId="4586C577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FFFFFF"/>
            <w:vAlign w:val="center"/>
          </w:tcPr>
          <w:p w14:paraId="49167F2F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产出质量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277955D4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质量达标率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01DC30F0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53A86901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100%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632FF860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</w:t>
            </w:r>
            <w:r>
              <w:rPr>
                <w:color w:val="000000"/>
                <w:kern w:val="0"/>
                <w:sz w:val="22"/>
                <w:szCs w:val="22"/>
                <w:highlight w:val="none"/>
              </w:rPr>
              <w:t>%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5C7A8899"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1915AE63"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</w:t>
            </w:r>
          </w:p>
        </w:tc>
      </w:tr>
      <w:tr w14:paraId="0903145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 w14:paraId="486C68E1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 w14:paraId="2EBCBA56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FFFFFF"/>
            <w:vAlign w:val="center"/>
          </w:tcPr>
          <w:p w14:paraId="69C6FCE3">
            <w:pPr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产出时效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5575AFBB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完成及时性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34E55C72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</w:t>
            </w: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57D5A690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及时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0B3DC164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及时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5C3ED21B"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72318991"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</w:t>
            </w:r>
          </w:p>
        </w:tc>
      </w:tr>
      <w:tr w14:paraId="4D7BD2E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 w14:paraId="79D26DB6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 w14:paraId="14362904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shd w:val="clear" w:color="auto" w:fill="FFFFFF"/>
            <w:vAlign w:val="center"/>
          </w:tcPr>
          <w:p w14:paraId="6EDCD862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产出成本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4CCDC0D6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成本节约率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72DF3D29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35BECB30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100%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14C6DE96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80</w:t>
            </w:r>
            <w:r>
              <w:rPr>
                <w:color w:val="000000"/>
                <w:kern w:val="0"/>
                <w:sz w:val="22"/>
                <w:szCs w:val="22"/>
                <w:highlight w:val="none"/>
              </w:rPr>
              <w:t>%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094AF68C"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80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3ABE7BF5">
            <w:pPr>
              <w:widowControl/>
              <w:spacing w:line="0" w:lineRule="atLeast"/>
              <w:jc w:val="center"/>
              <w:rPr>
                <w:rFonts w:hint="eastAsia" w:eastAsia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8</w:t>
            </w:r>
          </w:p>
        </w:tc>
      </w:tr>
      <w:tr w14:paraId="730CA66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restart"/>
            <w:shd w:val="clear" w:color="auto" w:fill="FFFFFF"/>
            <w:vAlign w:val="center"/>
          </w:tcPr>
          <w:p w14:paraId="29F62410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效益　</w:t>
            </w:r>
          </w:p>
        </w:tc>
        <w:tc>
          <w:tcPr>
            <w:tcW w:w="990" w:type="dxa"/>
            <w:vMerge w:val="restart"/>
            <w:shd w:val="clear" w:color="auto" w:fill="FFFFFF"/>
            <w:vAlign w:val="center"/>
          </w:tcPr>
          <w:p w14:paraId="66027C2F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20</w:t>
            </w:r>
            <w:r>
              <w:rPr>
                <w:color w:val="000000"/>
                <w:kern w:val="0"/>
                <w:sz w:val="22"/>
                <w:szCs w:val="22"/>
              </w:rPr>
              <w:t>分</w:t>
            </w:r>
          </w:p>
        </w:tc>
        <w:tc>
          <w:tcPr>
            <w:tcW w:w="1283" w:type="dxa"/>
            <w:vMerge w:val="restart"/>
            <w:shd w:val="clear" w:color="auto" w:fill="FFFFFF"/>
            <w:vAlign w:val="center"/>
          </w:tcPr>
          <w:p w14:paraId="18A1AD7C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项目效益　</w:t>
            </w:r>
          </w:p>
        </w:tc>
        <w:tc>
          <w:tcPr>
            <w:tcW w:w="1707" w:type="dxa"/>
            <w:shd w:val="clear" w:color="auto" w:fill="FFFFFF"/>
            <w:vAlign w:val="center"/>
          </w:tcPr>
          <w:p w14:paraId="03F55354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实施效益</w:t>
            </w:r>
          </w:p>
          <w:p w14:paraId="79428A39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（社会效益、经济效益、可持续效益）</w:t>
            </w:r>
          </w:p>
        </w:tc>
        <w:tc>
          <w:tcPr>
            <w:tcW w:w="727" w:type="dxa"/>
            <w:shd w:val="clear" w:color="auto" w:fill="FFFFFF"/>
            <w:vAlign w:val="center"/>
          </w:tcPr>
          <w:p w14:paraId="622AB69D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044" w:type="dxa"/>
            <w:shd w:val="clear" w:color="auto" w:fill="FFFFFF"/>
            <w:vAlign w:val="center"/>
          </w:tcPr>
          <w:p w14:paraId="5BE51511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有效</w:t>
            </w:r>
          </w:p>
        </w:tc>
        <w:tc>
          <w:tcPr>
            <w:tcW w:w="924" w:type="dxa"/>
            <w:shd w:val="clear" w:color="auto" w:fill="FFFFFF"/>
            <w:vAlign w:val="center"/>
          </w:tcPr>
          <w:p w14:paraId="1A4AFA70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有效</w:t>
            </w:r>
          </w:p>
        </w:tc>
        <w:tc>
          <w:tcPr>
            <w:tcW w:w="1215" w:type="dxa"/>
            <w:shd w:val="clear" w:color="auto" w:fill="FFFFFF"/>
            <w:vAlign w:val="center"/>
          </w:tcPr>
          <w:p w14:paraId="33F4F82A"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87</w:t>
            </w:r>
          </w:p>
        </w:tc>
        <w:tc>
          <w:tcPr>
            <w:tcW w:w="960" w:type="dxa"/>
            <w:shd w:val="clear" w:color="auto" w:fill="FFFFFF"/>
            <w:vAlign w:val="center"/>
          </w:tcPr>
          <w:p w14:paraId="61098C55"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13</w:t>
            </w:r>
          </w:p>
        </w:tc>
      </w:tr>
      <w:tr w14:paraId="682DE87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4" w:type="dxa"/>
            <w:vMerge w:val="continue"/>
            <w:shd w:val="clear" w:color="auto" w:fill="FFFFFF"/>
            <w:vAlign w:val="center"/>
          </w:tcPr>
          <w:p w14:paraId="27D7289D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90" w:type="dxa"/>
            <w:vMerge w:val="continue"/>
            <w:shd w:val="clear" w:color="auto" w:fill="FFFFFF"/>
            <w:vAlign w:val="center"/>
          </w:tcPr>
          <w:p w14:paraId="4588A85C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283" w:type="dxa"/>
            <w:vMerge w:val="continue"/>
            <w:shd w:val="clear" w:color="auto" w:fill="FFFFFF"/>
            <w:vAlign w:val="center"/>
          </w:tcPr>
          <w:p w14:paraId="43289F72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7" w:type="dxa"/>
            <w:shd w:val="clear" w:color="auto" w:fill="FFFFFF"/>
            <w:vAlign w:val="center"/>
          </w:tcPr>
          <w:p w14:paraId="1C801BAC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满意度</w:t>
            </w:r>
          </w:p>
        </w:tc>
        <w:tc>
          <w:tcPr>
            <w:tcW w:w="727" w:type="dxa"/>
            <w:shd w:val="clear" w:color="000000" w:fill="FFFFFF"/>
            <w:vAlign w:val="center"/>
          </w:tcPr>
          <w:p w14:paraId="0A35910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044" w:type="dxa"/>
            <w:shd w:val="clear" w:color="000000" w:fill="FFFFFF"/>
            <w:vAlign w:val="center"/>
          </w:tcPr>
          <w:p w14:paraId="2925A1F8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color w:val="000000"/>
                <w:kern w:val="0"/>
                <w:sz w:val="22"/>
                <w:szCs w:val="22"/>
                <w:highlight w:val="none"/>
              </w:rPr>
              <w:t>≥</w:t>
            </w: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95</w:t>
            </w:r>
            <w:r>
              <w:rPr>
                <w:color w:val="000000"/>
                <w:kern w:val="0"/>
                <w:sz w:val="22"/>
                <w:szCs w:val="22"/>
                <w:highlight w:val="none"/>
              </w:rPr>
              <w:t>%</w:t>
            </w:r>
          </w:p>
        </w:tc>
        <w:tc>
          <w:tcPr>
            <w:tcW w:w="924" w:type="dxa"/>
            <w:shd w:val="clear" w:color="000000" w:fill="FFFFFF"/>
            <w:vAlign w:val="center"/>
          </w:tcPr>
          <w:p w14:paraId="3A65B32E">
            <w:pPr>
              <w:widowControl/>
              <w:spacing w:line="0" w:lineRule="atLeast"/>
              <w:jc w:val="center"/>
              <w:rPr>
                <w:color w:val="000000"/>
                <w:kern w:val="0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95</w:t>
            </w:r>
            <w:r>
              <w:rPr>
                <w:color w:val="000000"/>
                <w:kern w:val="0"/>
                <w:sz w:val="22"/>
                <w:szCs w:val="22"/>
                <w:highlight w:val="none"/>
              </w:rPr>
              <w:t>%</w:t>
            </w:r>
          </w:p>
        </w:tc>
        <w:tc>
          <w:tcPr>
            <w:tcW w:w="1215" w:type="dxa"/>
            <w:shd w:val="clear" w:color="000000" w:fill="FFFFFF"/>
            <w:vAlign w:val="center"/>
          </w:tcPr>
          <w:p w14:paraId="5C8B3A47">
            <w:pPr>
              <w:widowControl/>
              <w:spacing w:line="0" w:lineRule="atLeast"/>
              <w:jc w:val="center"/>
              <w:rPr>
                <w:rFonts w:hint="default" w:eastAsia="宋体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100</w:t>
            </w:r>
          </w:p>
        </w:tc>
        <w:tc>
          <w:tcPr>
            <w:tcW w:w="960" w:type="dxa"/>
            <w:shd w:val="clear" w:color="000000" w:fill="FFFFFF"/>
            <w:vAlign w:val="center"/>
          </w:tcPr>
          <w:p w14:paraId="4B9ECF0F">
            <w:pPr>
              <w:widowControl/>
              <w:spacing w:line="0" w:lineRule="atLeast"/>
              <w:jc w:val="center"/>
              <w:rPr>
                <w:rFonts w:hint="eastAsia" w:eastAsia="宋体"/>
                <w:color w:val="000000"/>
                <w:kern w:val="0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/>
                <w:color w:val="000000"/>
                <w:kern w:val="0"/>
                <w:sz w:val="22"/>
                <w:szCs w:val="22"/>
                <w:highlight w:val="none"/>
                <w:lang w:val="en-US" w:eastAsia="zh-CN"/>
              </w:rPr>
              <w:t>5</w:t>
            </w:r>
          </w:p>
        </w:tc>
      </w:tr>
    </w:tbl>
    <w:p w14:paraId="7D3FA0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四</w:t>
      </w:r>
      <w:r>
        <w:rPr>
          <w:rFonts w:ascii="Times New Roman" w:hAnsi="Times New Roman" w:eastAsia="黑体" w:cs="Times New Roman"/>
          <w:sz w:val="32"/>
          <w:szCs w:val="32"/>
        </w:rPr>
        <w:t>、绩效评价指标分析</w:t>
      </w:r>
    </w:p>
    <w:p w14:paraId="0EBAD3F9">
      <w:pPr>
        <w:pStyle w:val="2"/>
        <w:numPr>
          <w:ilvl w:val="0"/>
          <w:numId w:val="0"/>
        </w:numPr>
        <w:spacing w:before="0" w:after="0" w:line="600" w:lineRule="exact"/>
        <w:ind w:firstLine="640" w:firstLineChars="200"/>
        <w:jc w:val="both"/>
        <w:rPr>
          <w:rFonts w:hint="eastAsia" w:ascii="Times New Roman" w:hAnsi="Times New Roman" w:eastAsia="楷体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（一）项目决策情况</w:t>
      </w:r>
    </w:p>
    <w:p w14:paraId="08C832D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项目立项符合法律法规、相关政策及部门职责，能反映和考核项目立项依据情况，项目申请、设立过程符合相关要求，能反映和考核项目立项的规范情况，所设定的绩效目标依据充分，符合客观实际，能反映和考核项目绩效目标与项目实施的相符情况，依据绩效目标设定的绩效指标清晰、细化、可衡量，能反映和考核项目绩效目标的明细化情况。</w:t>
      </w:r>
    </w:p>
    <w:p w14:paraId="41714574">
      <w:pPr>
        <w:pStyle w:val="2"/>
        <w:numPr>
          <w:ilvl w:val="0"/>
          <w:numId w:val="0"/>
        </w:numPr>
        <w:spacing w:before="0" w:after="0" w:line="600" w:lineRule="exact"/>
        <w:ind w:firstLine="640" w:firstLineChars="200"/>
        <w:jc w:val="both"/>
        <w:rPr>
          <w:rFonts w:hint="eastAsia" w:ascii="Times New Roman" w:hAnsi="Times New Roman" w:eastAsia="楷体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Times New Roman"/>
          <w:b w:val="0"/>
          <w:bCs w:val="0"/>
          <w:kern w:val="2"/>
          <w:sz w:val="32"/>
          <w:szCs w:val="32"/>
          <w:lang w:val="en-US" w:eastAsia="zh-CN" w:bidi="ar-SA"/>
        </w:rPr>
        <w:t>（二）项目过程情况</w:t>
      </w:r>
    </w:p>
    <w:p w14:paraId="5C2B340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8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</w:pPr>
      <w:r>
        <w:rPr>
          <w:rFonts w:hint="eastAsia" w:ascii="Times New Roman" w:hAnsi="Times New Roman" w:eastAsia="仿宋_GB2312" w:cs="Times New Roman"/>
          <w:b w:val="0"/>
          <w:bCs w:val="0"/>
          <w:lang w:val="en-US" w:eastAsia="zh-CN"/>
        </w:rPr>
        <w:t>项目严格按照预期绩效目标执行预算资金。项目资金使用符合相关的财务管理制度规定，能够反映和考核项目资金的规范运行情况；项目实施单位的财务和业务管理制度健全，能够反映和考核财务和业务管理制度对项目顺利实施的保障情况。</w:t>
      </w:r>
    </w:p>
    <w:p w14:paraId="57D7AA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五、主要经验及做法</w:t>
      </w:r>
    </w:p>
    <w:p w14:paraId="6C2D786F"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</w:t>
      </w:r>
    </w:p>
    <w:p w14:paraId="692D70A4">
      <w:pPr>
        <w:pStyle w:val="2"/>
        <w:spacing w:before="0" w:after="0" w:line="600" w:lineRule="exact"/>
        <w:ind w:firstLine="640" w:firstLineChars="200"/>
        <w:jc w:val="both"/>
        <w:rPr>
          <w:rFonts w:ascii="Times New Roman" w:hAnsi="Times New Roman" w:eastAsia="仿宋_GB2312"/>
          <w:b w:val="0"/>
          <w:bCs w:val="0"/>
          <w:kern w:val="2"/>
        </w:rPr>
      </w:pPr>
      <w:r>
        <w:rPr>
          <w:rFonts w:ascii="Times New Roman" w:hAnsi="Times New Roman" w:eastAsia="仿宋_GB2312"/>
          <w:b w:val="0"/>
          <w:bCs w:val="0"/>
          <w:kern w:val="2"/>
        </w:rPr>
        <w:t>严格坚持先做事、后验收、再拨付的原则，基本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 w14:paraId="7BE963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六、其他需要说</w:t>
      </w:r>
      <w:bookmarkStart w:id="1" w:name="page8"/>
      <w:bookmarkEnd w:id="1"/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明的问题</w:t>
      </w:r>
    </w:p>
    <w:p w14:paraId="73127D34">
      <w:pPr>
        <w:pStyle w:val="19"/>
        <w:ind w:firstLine="320" w:firstLineChars="100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 w14:paraId="4F076AE8">
        <w:pPr>
          <w:pStyle w:val="1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17</w:t>
        </w:r>
        <w:r>
          <w:fldChar w:fldCharType="end"/>
        </w:r>
      </w:p>
    </w:sdtContent>
  </w:sdt>
  <w:p w14:paraId="0AE7FCD0">
    <w:pPr>
      <w:pStyle w:val="1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g4ZTk4ZThiOTlhYTkyOGVkOWQ5NDlhNjIwNjNhNzEifQ=="/>
  </w:docVars>
  <w:rsids>
    <w:rsidRoot w:val="00CA6457"/>
    <w:rsid w:val="00056465"/>
    <w:rsid w:val="000E50F0"/>
    <w:rsid w:val="000E586C"/>
    <w:rsid w:val="00121AE4"/>
    <w:rsid w:val="00146AAD"/>
    <w:rsid w:val="001B3A40"/>
    <w:rsid w:val="00200850"/>
    <w:rsid w:val="003748BB"/>
    <w:rsid w:val="003C18BC"/>
    <w:rsid w:val="00430B95"/>
    <w:rsid w:val="004366A8"/>
    <w:rsid w:val="00464900"/>
    <w:rsid w:val="0050203C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20F12"/>
    <w:rsid w:val="00C56C72"/>
    <w:rsid w:val="00CA6457"/>
    <w:rsid w:val="00D17F2E"/>
    <w:rsid w:val="00D30354"/>
    <w:rsid w:val="00DF42A0"/>
    <w:rsid w:val="00DF7C45"/>
    <w:rsid w:val="00E31565"/>
    <w:rsid w:val="00E46C51"/>
    <w:rsid w:val="00E659F7"/>
    <w:rsid w:val="00E769FE"/>
    <w:rsid w:val="00EA2CBE"/>
    <w:rsid w:val="00F20494"/>
    <w:rsid w:val="00F32FEE"/>
    <w:rsid w:val="00F71278"/>
    <w:rsid w:val="00FA15E9"/>
    <w:rsid w:val="00FB10BB"/>
    <w:rsid w:val="051A56F5"/>
    <w:rsid w:val="066D6EAA"/>
    <w:rsid w:val="06DC1681"/>
    <w:rsid w:val="08C662D4"/>
    <w:rsid w:val="09BD4D95"/>
    <w:rsid w:val="0B0F58D6"/>
    <w:rsid w:val="0D3A63F7"/>
    <w:rsid w:val="0F8D41CB"/>
    <w:rsid w:val="0FEE2F21"/>
    <w:rsid w:val="11C75270"/>
    <w:rsid w:val="12637CC3"/>
    <w:rsid w:val="12E657C5"/>
    <w:rsid w:val="133C6E2A"/>
    <w:rsid w:val="167C7687"/>
    <w:rsid w:val="168B3546"/>
    <w:rsid w:val="1A2374E0"/>
    <w:rsid w:val="1C317CE2"/>
    <w:rsid w:val="1DD45808"/>
    <w:rsid w:val="1DED42AC"/>
    <w:rsid w:val="20005763"/>
    <w:rsid w:val="20FB313D"/>
    <w:rsid w:val="220B4804"/>
    <w:rsid w:val="278B653F"/>
    <w:rsid w:val="282475E3"/>
    <w:rsid w:val="29E421D9"/>
    <w:rsid w:val="2C6100C1"/>
    <w:rsid w:val="3235157C"/>
    <w:rsid w:val="3264220D"/>
    <w:rsid w:val="32A83563"/>
    <w:rsid w:val="38872456"/>
    <w:rsid w:val="3963178C"/>
    <w:rsid w:val="3BA5236D"/>
    <w:rsid w:val="3CED0699"/>
    <w:rsid w:val="3EB02FD6"/>
    <w:rsid w:val="41CC2676"/>
    <w:rsid w:val="46B21672"/>
    <w:rsid w:val="4F552460"/>
    <w:rsid w:val="4FCC6863"/>
    <w:rsid w:val="500A214A"/>
    <w:rsid w:val="522D604D"/>
    <w:rsid w:val="5297585E"/>
    <w:rsid w:val="52AD7D6F"/>
    <w:rsid w:val="5549519D"/>
    <w:rsid w:val="5557596B"/>
    <w:rsid w:val="5B596DFC"/>
    <w:rsid w:val="5DAE6D00"/>
    <w:rsid w:val="5DF03945"/>
    <w:rsid w:val="5F03526B"/>
    <w:rsid w:val="62E515AF"/>
    <w:rsid w:val="637C2815"/>
    <w:rsid w:val="666B4FDC"/>
    <w:rsid w:val="67FF13C8"/>
    <w:rsid w:val="682144B7"/>
    <w:rsid w:val="6B503F77"/>
    <w:rsid w:val="6E311968"/>
    <w:rsid w:val="6F982474"/>
    <w:rsid w:val="75FF7611"/>
    <w:rsid w:val="76FC2EBB"/>
    <w:rsid w:val="77BFF075"/>
    <w:rsid w:val="79382508"/>
    <w:rsid w:val="7A353D0B"/>
    <w:rsid w:val="7CB927D8"/>
    <w:rsid w:val="7D3A5E2F"/>
    <w:rsid w:val="7D7017C8"/>
    <w:rsid w:val="AEECB437"/>
    <w:rsid w:val="DFDAB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4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5">
    <w:name w:val="heading 3"/>
    <w:basedOn w:val="1"/>
    <w:next w:val="1"/>
    <w:link w:val="26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6">
    <w:name w:val="heading 4"/>
    <w:basedOn w:val="1"/>
    <w:next w:val="1"/>
    <w:link w:val="27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7">
    <w:name w:val="heading 5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8">
    <w:name w:val="heading 6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9">
    <w:name w:val="heading 7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10">
    <w:name w:val="heading 8"/>
    <w:basedOn w:val="1"/>
    <w:next w:val="1"/>
    <w:link w:val="31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1">
    <w:name w:val="heading 9"/>
    <w:basedOn w:val="1"/>
    <w:next w:val="1"/>
    <w:link w:val="32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33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12">
    <w:name w:val="Body Text"/>
    <w:basedOn w:val="1"/>
    <w:qFormat/>
    <w:uiPriority w:val="0"/>
    <w:pPr>
      <w:spacing w:after="120"/>
    </w:pPr>
  </w:style>
  <w:style w:type="paragraph" w:styleId="13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14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5">
    <w:name w:val="footer"/>
    <w:basedOn w:val="1"/>
    <w:link w:val="4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6">
    <w:name w:val="header"/>
    <w:basedOn w:val="1"/>
    <w:link w:val="4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7">
    <w:name w:val="Subtitle"/>
    <w:basedOn w:val="1"/>
    <w:next w:val="1"/>
    <w:link w:val="34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8">
    <w:name w:val="Body Text First Indent"/>
    <w:basedOn w:val="12"/>
    <w:qFormat/>
    <w:uiPriority w:val="0"/>
    <w:pPr>
      <w:spacing w:after="0"/>
      <w:ind w:firstLine="200" w:firstLineChars="200"/>
    </w:pPr>
  </w:style>
  <w:style w:type="paragraph" w:styleId="19">
    <w:name w:val="Body Text First Indent 2"/>
    <w:basedOn w:val="13"/>
    <w:qFormat/>
    <w:uiPriority w:val="0"/>
    <w:pPr>
      <w:ind w:firstLine="420" w:firstLineChars="200"/>
    </w:pPr>
  </w:style>
  <w:style w:type="character" w:styleId="22">
    <w:name w:val="Strong"/>
    <w:basedOn w:val="21"/>
    <w:qFormat/>
    <w:uiPriority w:val="0"/>
    <w:rPr>
      <w:b/>
      <w:bCs/>
    </w:rPr>
  </w:style>
  <w:style w:type="character" w:styleId="23">
    <w:name w:val="Emphasis"/>
    <w:basedOn w:val="21"/>
    <w:qFormat/>
    <w:uiPriority w:val="20"/>
    <w:rPr>
      <w:rFonts w:asciiTheme="minorHAnsi" w:hAnsiTheme="minorHAnsi"/>
      <w:b/>
      <w:i/>
      <w:iCs/>
    </w:rPr>
  </w:style>
  <w:style w:type="character" w:customStyle="1" w:styleId="24">
    <w:name w:val="标题 1 字符"/>
    <w:basedOn w:val="21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5">
    <w:name w:val="标题 2 字符"/>
    <w:basedOn w:val="21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6">
    <w:name w:val="标题 3 字符"/>
    <w:basedOn w:val="21"/>
    <w:link w:val="5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7">
    <w:name w:val="标题 4 字符"/>
    <w:basedOn w:val="21"/>
    <w:link w:val="6"/>
    <w:semiHidden/>
    <w:qFormat/>
    <w:uiPriority w:val="9"/>
    <w:rPr>
      <w:b/>
      <w:bCs/>
      <w:sz w:val="28"/>
      <w:szCs w:val="28"/>
    </w:rPr>
  </w:style>
  <w:style w:type="character" w:customStyle="1" w:styleId="28">
    <w:name w:val="标题 5 字符"/>
    <w:basedOn w:val="21"/>
    <w:link w:val="7"/>
    <w:semiHidden/>
    <w:qFormat/>
    <w:uiPriority w:val="9"/>
    <w:rPr>
      <w:b/>
      <w:bCs/>
      <w:i/>
      <w:iCs/>
      <w:sz w:val="26"/>
      <w:szCs w:val="26"/>
    </w:rPr>
  </w:style>
  <w:style w:type="character" w:customStyle="1" w:styleId="29">
    <w:name w:val="标题 6 字符"/>
    <w:basedOn w:val="21"/>
    <w:link w:val="8"/>
    <w:semiHidden/>
    <w:qFormat/>
    <w:uiPriority w:val="9"/>
    <w:rPr>
      <w:b/>
      <w:bCs/>
    </w:rPr>
  </w:style>
  <w:style w:type="character" w:customStyle="1" w:styleId="30">
    <w:name w:val="标题 7 字符"/>
    <w:basedOn w:val="21"/>
    <w:link w:val="9"/>
    <w:semiHidden/>
    <w:qFormat/>
    <w:uiPriority w:val="9"/>
    <w:rPr>
      <w:sz w:val="24"/>
      <w:szCs w:val="24"/>
    </w:rPr>
  </w:style>
  <w:style w:type="character" w:customStyle="1" w:styleId="31">
    <w:name w:val="标题 8 字符"/>
    <w:basedOn w:val="21"/>
    <w:link w:val="10"/>
    <w:semiHidden/>
    <w:qFormat/>
    <w:uiPriority w:val="9"/>
    <w:rPr>
      <w:i/>
      <w:iCs/>
      <w:sz w:val="24"/>
      <w:szCs w:val="24"/>
    </w:rPr>
  </w:style>
  <w:style w:type="character" w:customStyle="1" w:styleId="32">
    <w:name w:val="标题 9 字符"/>
    <w:basedOn w:val="21"/>
    <w:link w:val="11"/>
    <w:semiHidden/>
    <w:qFormat/>
    <w:uiPriority w:val="9"/>
    <w:rPr>
      <w:rFonts w:asciiTheme="majorHAnsi" w:hAnsiTheme="majorHAnsi" w:eastAsiaTheme="majorEastAsia"/>
    </w:rPr>
  </w:style>
  <w:style w:type="character" w:customStyle="1" w:styleId="33">
    <w:name w:val="标题 字符"/>
    <w:basedOn w:val="21"/>
    <w:link w:val="2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4">
    <w:name w:val="副标题 字符"/>
    <w:basedOn w:val="21"/>
    <w:link w:val="17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5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6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8">
    <w:name w:val="引用 字符"/>
    <w:basedOn w:val="21"/>
    <w:link w:val="37"/>
    <w:qFormat/>
    <w:uiPriority w:val="29"/>
    <w:rPr>
      <w:i/>
      <w:sz w:val="24"/>
      <w:szCs w:val="24"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40">
    <w:name w:val="明显引用 字符"/>
    <w:basedOn w:val="21"/>
    <w:link w:val="39"/>
    <w:qFormat/>
    <w:uiPriority w:val="30"/>
    <w:rPr>
      <w:b/>
      <w:i/>
      <w:sz w:val="24"/>
    </w:rPr>
  </w:style>
  <w:style w:type="character" w:customStyle="1" w:styleId="41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2">
    <w:name w:val="明显强调1"/>
    <w:basedOn w:val="21"/>
    <w:qFormat/>
    <w:uiPriority w:val="21"/>
    <w:rPr>
      <w:b/>
      <w:i/>
      <w:sz w:val="24"/>
      <w:szCs w:val="24"/>
      <w:u w:val="single"/>
    </w:rPr>
  </w:style>
  <w:style w:type="character" w:customStyle="1" w:styleId="43">
    <w:name w:val="不明显参考1"/>
    <w:basedOn w:val="21"/>
    <w:qFormat/>
    <w:uiPriority w:val="31"/>
    <w:rPr>
      <w:sz w:val="24"/>
      <w:szCs w:val="24"/>
      <w:u w:val="single"/>
    </w:rPr>
  </w:style>
  <w:style w:type="character" w:customStyle="1" w:styleId="44">
    <w:name w:val="明显参考1"/>
    <w:basedOn w:val="21"/>
    <w:qFormat/>
    <w:uiPriority w:val="32"/>
    <w:rPr>
      <w:b/>
      <w:sz w:val="24"/>
      <w:u w:val="single"/>
    </w:rPr>
  </w:style>
  <w:style w:type="character" w:customStyle="1" w:styleId="45">
    <w:name w:val="书籍标题1"/>
    <w:basedOn w:val="21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6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7">
    <w:name w:val="页眉 字符"/>
    <w:basedOn w:val="21"/>
    <w:link w:val="16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8">
    <w:name w:val="页脚 字符"/>
    <w:basedOn w:val="21"/>
    <w:link w:val="15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9">
    <w:name w:val="批注框文本 字符"/>
    <w:basedOn w:val="21"/>
    <w:link w:val="14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50">
    <w:name w:val="Heading2"/>
    <w:next w:val="1"/>
    <w:qFormat/>
    <w:uiPriority w:val="0"/>
    <w:pPr>
      <w:keepNext/>
      <w:keepLines/>
      <w:widowControl w:val="0"/>
      <w:spacing w:before="260" w:after="260" w:line="413" w:lineRule="auto"/>
      <w:jc w:val="both"/>
    </w:pPr>
    <w:rPr>
      <w:rFonts w:ascii="Arial" w:hAnsi="Arial" w:eastAsia="黑体" w:cs="Times New Roman"/>
      <w:b/>
      <w:kern w:val="2"/>
      <w:sz w:val="32"/>
      <w:szCs w:val="22"/>
      <w:lang w:val="en-US" w:eastAsia="zh-CN" w:bidi="ar-SA"/>
    </w:rPr>
  </w:style>
  <w:style w:type="character" w:customStyle="1" w:styleId="51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4240</Words>
  <Characters>4498</Characters>
  <Lines>50</Lines>
  <Paragraphs>14</Paragraphs>
  <TotalTime>3</TotalTime>
  <ScaleCrop>false</ScaleCrop>
  <LinksUpToDate>false</LinksUpToDate>
  <CharactersWithSpaces>4520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2020-07-06T00:35:00Z</dcterms:created>
  <dc:creator>赵 恺（预算处）</dc:creator>
  <cp:lastModifiedBy>岁月无痕</cp:lastModifiedBy>
  <cp:lastPrinted>2020-01-02T00:02:00Z</cp:lastPrinted>
  <dcterms:modified xsi:type="dcterms:W3CDTF">2024-08-16T03:41:50Z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013360FACCE1418B80C968824022A9DF</vt:lpwstr>
  </property>
  <property fmtid="{D5CDD505-2E9C-101B-9397-08002B2CF9AE}" pid="4" name="KSOSaveFontToCloudKey">
    <vt:lpwstr>0_btnclosed</vt:lpwstr>
  </property>
</Properties>
</file>