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41E105">
      <w:pPr>
        <w:pageBreakBefore w:val="0"/>
        <w:kinsoku/>
        <w:wordWrap/>
        <w:overflowPunct/>
        <w:topLinePunct w:val="0"/>
        <w:autoSpaceDE/>
        <w:autoSpaceDN/>
        <w:bidi w:val="0"/>
        <w:snapToGrid w:val="0"/>
        <w:spacing w:line="560" w:lineRule="exact"/>
        <w:ind w:left="0" w:leftChars="0"/>
        <w:rPr>
          <w:rFonts w:eastAsia="华文中宋"/>
          <w:b/>
          <w:kern w:val="0"/>
          <w:sz w:val="72"/>
          <w:szCs w:val="72"/>
        </w:rPr>
      </w:pPr>
    </w:p>
    <w:p w14:paraId="2375AEE6">
      <w:pPr>
        <w:pageBreakBefore w:val="0"/>
        <w:kinsoku/>
        <w:wordWrap/>
        <w:overflowPunct/>
        <w:topLinePunct w:val="0"/>
        <w:autoSpaceDE/>
        <w:autoSpaceDN/>
        <w:bidi w:val="0"/>
        <w:snapToGrid w:val="0"/>
        <w:spacing w:line="560" w:lineRule="exact"/>
        <w:ind w:left="0" w:leftChars="0"/>
        <w:jc w:val="center"/>
        <w:rPr>
          <w:rFonts w:eastAsia="华文中宋"/>
          <w:b/>
          <w:kern w:val="0"/>
          <w:sz w:val="52"/>
          <w:szCs w:val="52"/>
        </w:rPr>
      </w:pPr>
    </w:p>
    <w:p w14:paraId="430A9E94">
      <w:pPr>
        <w:pageBreakBefore w:val="0"/>
        <w:kinsoku/>
        <w:wordWrap/>
        <w:overflowPunct/>
        <w:topLinePunct w:val="0"/>
        <w:autoSpaceDE/>
        <w:autoSpaceDN/>
        <w:bidi w:val="0"/>
        <w:snapToGrid w:val="0"/>
        <w:spacing w:line="560" w:lineRule="exact"/>
        <w:ind w:left="0" w:leftChars="0"/>
        <w:jc w:val="center"/>
        <w:rPr>
          <w:rFonts w:eastAsia="华文中宋"/>
          <w:b/>
          <w:kern w:val="0"/>
          <w:sz w:val="52"/>
          <w:szCs w:val="52"/>
        </w:rPr>
      </w:pPr>
    </w:p>
    <w:p w14:paraId="766CAD33">
      <w:pPr>
        <w:keepNext w:val="0"/>
        <w:keepLines w:val="0"/>
        <w:pageBreakBefore w:val="0"/>
        <w:widowControl w:val="0"/>
        <w:kinsoku/>
        <w:wordWrap/>
        <w:overflowPunct/>
        <w:topLinePunct w:val="0"/>
        <w:autoSpaceDE/>
        <w:autoSpaceDN/>
        <w:bidi w:val="0"/>
        <w:adjustRightInd/>
        <w:snapToGrid w:val="0"/>
        <w:spacing w:line="620" w:lineRule="exact"/>
        <w:ind w:left="0" w:leftChars="0"/>
        <w:jc w:val="center"/>
        <w:textAlignment w:val="auto"/>
        <w:rPr>
          <w:rFonts w:hint="eastAsia" w:ascii="方正小标宋简体" w:hAnsi="方正小标宋简体" w:eastAsia="方正小标宋简体" w:cs="方正小标宋简体"/>
          <w:kern w:val="0"/>
          <w:sz w:val="48"/>
          <w:szCs w:val="48"/>
        </w:rPr>
      </w:pPr>
      <w:r>
        <w:rPr>
          <w:rFonts w:hint="eastAsia" w:ascii="方正小标宋简体" w:hAnsi="方正小标宋简体" w:eastAsia="方正小标宋简体" w:cs="方正小标宋简体"/>
          <w:kern w:val="0"/>
          <w:sz w:val="48"/>
          <w:szCs w:val="48"/>
          <w:lang w:eastAsia="zh-CN"/>
        </w:rPr>
        <w:t>2023年“新粤情意深·合作促发展”新疆（深圳）产业交流恳谈会暨投资项目签约仪式活动</w:t>
      </w:r>
      <w:r>
        <w:rPr>
          <w:rFonts w:hint="eastAsia" w:ascii="方正小标宋简体" w:hAnsi="方正小标宋简体" w:eastAsia="方正小标宋简体" w:cs="方正小标宋简体"/>
          <w:kern w:val="0"/>
          <w:sz w:val="48"/>
          <w:szCs w:val="48"/>
        </w:rPr>
        <w:t>项目支出绩效评价报告</w:t>
      </w:r>
    </w:p>
    <w:p w14:paraId="229F42B7">
      <w:pPr>
        <w:pageBreakBefore w:val="0"/>
        <w:kinsoku/>
        <w:wordWrap/>
        <w:overflowPunct/>
        <w:topLinePunct w:val="0"/>
        <w:autoSpaceDE/>
        <w:autoSpaceDN/>
        <w:bidi w:val="0"/>
        <w:snapToGrid w:val="0"/>
        <w:spacing w:line="560" w:lineRule="exact"/>
        <w:ind w:left="0" w:leftChars="0"/>
        <w:jc w:val="center"/>
        <w:rPr>
          <w:rFonts w:eastAsia="华文中宋"/>
          <w:b/>
          <w:kern w:val="0"/>
          <w:sz w:val="52"/>
          <w:szCs w:val="52"/>
        </w:rPr>
      </w:pPr>
    </w:p>
    <w:p w14:paraId="37D48C4D">
      <w:pPr>
        <w:pageBreakBefore w:val="0"/>
        <w:kinsoku/>
        <w:wordWrap/>
        <w:overflowPunct/>
        <w:topLinePunct w:val="0"/>
        <w:autoSpaceDE/>
        <w:autoSpaceDN/>
        <w:bidi w:val="0"/>
        <w:snapToGrid w:val="0"/>
        <w:spacing w:line="560" w:lineRule="exact"/>
        <w:ind w:left="0" w:leftChars="0"/>
        <w:jc w:val="center"/>
        <w:rPr>
          <w:rFonts w:eastAsia="仿宋_GB2312"/>
          <w:kern w:val="0"/>
          <w:sz w:val="36"/>
          <w:szCs w:val="36"/>
        </w:rPr>
      </w:pPr>
      <w:r>
        <w:rPr>
          <w:rFonts w:eastAsia="仿宋_GB2312"/>
          <w:kern w:val="0"/>
          <w:sz w:val="36"/>
          <w:szCs w:val="36"/>
        </w:rPr>
        <w:t>（202</w:t>
      </w:r>
      <w:r>
        <w:rPr>
          <w:rFonts w:hint="eastAsia" w:eastAsia="仿宋_GB2312"/>
          <w:kern w:val="0"/>
          <w:sz w:val="36"/>
          <w:szCs w:val="36"/>
          <w:lang w:val="en-US" w:eastAsia="zh-CN"/>
        </w:rPr>
        <w:t>3</w:t>
      </w:r>
      <w:r>
        <w:rPr>
          <w:rFonts w:eastAsia="仿宋_GB2312"/>
          <w:kern w:val="0"/>
          <w:sz w:val="36"/>
          <w:szCs w:val="36"/>
        </w:rPr>
        <w:t>年度）</w:t>
      </w:r>
    </w:p>
    <w:p w14:paraId="3E67ED1F">
      <w:pPr>
        <w:keepNext w:val="0"/>
        <w:keepLines w:val="0"/>
        <w:pageBreakBefore w:val="0"/>
        <w:widowControl w:val="0"/>
        <w:kinsoku/>
        <w:wordWrap/>
        <w:overflowPunct/>
        <w:topLinePunct w:val="0"/>
        <w:autoSpaceDE/>
        <w:autoSpaceDN/>
        <w:bidi w:val="0"/>
        <w:adjustRightInd/>
        <w:snapToGrid w:val="0"/>
        <w:spacing w:line="560" w:lineRule="exact"/>
        <w:ind w:left="0" w:leftChars="0"/>
        <w:jc w:val="center"/>
        <w:textAlignment w:val="auto"/>
        <w:rPr>
          <w:rFonts w:hint="eastAsia" w:ascii="仿宋_GB2312" w:hAnsi="仿宋_GB2312" w:eastAsia="仿宋_GB2312" w:cs="仿宋_GB2312"/>
          <w:kern w:val="0"/>
          <w:sz w:val="30"/>
          <w:szCs w:val="30"/>
        </w:rPr>
      </w:pPr>
    </w:p>
    <w:p w14:paraId="2BAF3F58">
      <w:pPr>
        <w:keepNext w:val="0"/>
        <w:keepLines w:val="0"/>
        <w:pageBreakBefore w:val="0"/>
        <w:widowControl w:val="0"/>
        <w:kinsoku/>
        <w:wordWrap/>
        <w:overflowPunct/>
        <w:topLinePunct w:val="0"/>
        <w:autoSpaceDE/>
        <w:autoSpaceDN/>
        <w:bidi w:val="0"/>
        <w:adjustRightInd/>
        <w:snapToGrid w:val="0"/>
        <w:spacing w:line="560" w:lineRule="exact"/>
        <w:ind w:left="0" w:leftChars="0"/>
        <w:jc w:val="center"/>
        <w:textAlignment w:val="auto"/>
        <w:rPr>
          <w:rFonts w:hint="eastAsia" w:ascii="仿宋_GB2312" w:hAnsi="仿宋_GB2312" w:eastAsia="仿宋_GB2312" w:cs="仿宋_GB2312"/>
          <w:kern w:val="0"/>
          <w:sz w:val="30"/>
          <w:szCs w:val="30"/>
        </w:rPr>
      </w:pPr>
    </w:p>
    <w:p w14:paraId="4158C534">
      <w:pPr>
        <w:keepNext w:val="0"/>
        <w:keepLines w:val="0"/>
        <w:pageBreakBefore w:val="0"/>
        <w:widowControl w:val="0"/>
        <w:kinsoku/>
        <w:wordWrap/>
        <w:overflowPunct/>
        <w:topLinePunct w:val="0"/>
        <w:autoSpaceDE/>
        <w:autoSpaceDN/>
        <w:bidi w:val="0"/>
        <w:adjustRightInd/>
        <w:snapToGrid w:val="0"/>
        <w:spacing w:line="560" w:lineRule="exact"/>
        <w:ind w:left="0" w:leftChars="0"/>
        <w:jc w:val="center"/>
        <w:textAlignment w:val="auto"/>
        <w:rPr>
          <w:rFonts w:hint="eastAsia" w:ascii="仿宋_GB2312" w:hAnsi="仿宋_GB2312" w:eastAsia="仿宋_GB2312" w:cs="仿宋_GB2312"/>
          <w:kern w:val="0"/>
          <w:sz w:val="30"/>
          <w:szCs w:val="30"/>
        </w:rPr>
      </w:pPr>
    </w:p>
    <w:p w14:paraId="0D67FB07">
      <w:pPr>
        <w:keepNext w:val="0"/>
        <w:keepLines w:val="0"/>
        <w:pageBreakBefore w:val="0"/>
        <w:widowControl w:val="0"/>
        <w:kinsoku/>
        <w:wordWrap/>
        <w:overflowPunct/>
        <w:topLinePunct w:val="0"/>
        <w:autoSpaceDE/>
        <w:autoSpaceDN/>
        <w:bidi w:val="0"/>
        <w:adjustRightInd/>
        <w:snapToGrid w:val="0"/>
        <w:spacing w:line="560" w:lineRule="exact"/>
        <w:ind w:left="0" w:leftChars="0"/>
        <w:textAlignment w:val="auto"/>
        <w:rPr>
          <w:rFonts w:hint="eastAsia" w:ascii="仿宋_GB2312" w:hAnsi="仿宋_GB2312" w:eastAsia="仿宋_GB2312" w:cs="仿宋_GB2312"/>
          <w:kern w:val="0"/>
          <w:sz w:val="30"/>
          <w:szCs w:val="30"/>
        </w:rPr>
      </w:pPr>
    </w:p>
    <w:p w14:paraId="2677DA18">
      <w:pPr>
        <w:keepNext w:val="0"/>
        <w:keepLines w:val="0"/>
        <w:pageBreakBefore w:val="0"/>
        <w:widowControl w:val="0"/>
        <w:kinsoku/>
        <w:wordWrap/>
        <w:overflowPunct/>
        <w:topLinePunct w:val="0"/>
        <w:autoSpaceDE/>
        <w:autoSpaceDN/>
        <w:bidi w:val="0"/>
        <w:adjustRightInd/>
        <w:snapToGrid w:val="0"/>
        <w:spacing w:line="560" w:lineRule="exact"/>
        <w:ind w:left="0" w:leftChars="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0"/>
          <w:szCs w:val="30"/>
        </w:rPr>
        <w:t xml:space="preserve"> </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项目名称：2023年“新粤情意深·合作促发展”新疆（深圳）产业交流恳谈会暨投资项目签约仪式活动</w:t>
      </w:r>
    </w:p>
    <w:p w14:paraId="5AE9E077">
      <w:pPr>
        <w:keepNext w:val="0"/>
        <w:keepLines w:val="0"/>
        <w:pageBreakBefore w:val="0"/>
        <w:widowControl w:val="0"/>
        <w:kinsoku/>
        <w:wordWrap/>
        <w:overflowPunct/>
        <w:topLinePunct w:val="0"/>
        <w:autoSpaceDE/>
        <w:autoSpaceDN/>
        <w:bidi w:val="0"/>
        <w:adjustRightInd/>
        <w:snapToGrid w:val="0"/>
        <w:spacing w:line="560" w:lineRule="exact"/>
        <w:ind w:left="0" w:leftChars="0"/>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实施单位（公章）：</w:t>
      </w:r>
      <w:r>
        <w:rPr>
          <w:rFonts w:hint="eastAsia" w:ascii="仿宋_GB2312" w:hAnsi="仿宋_GB2312" w:eastAsia="仿宋_GB2312" w:cs="仿宋_GB2312"/>
          <w:kern w:val="0"/>
          <w:sz w:val="32"/>
          <w:szCs w:val="32"/>
          <w:lang w:val="en-US" w:eastAsia="zh-CN"/>
        </w:rPr>
        <w:fldChar w:fldCharType="begin"/>
      </w:r>
      <w:r>
        <w:rPr>
          <w:rFonts w:hint="eastAsia" w:ascii="仿宋_GB2312" w:hAnsi="仿宋_GB2312" w:eastAsia="仿宋_GB2312" w:cs="仿宋_GB2312"/>
          <w:kern w:val="0"/>
          <w:sz w:val="32"/>
          <w:szCs w:val="32"/>
          <w:lang w:val="en-US" w:eastAsia="zh-CN"/>
        </w:rPr>
        <w:instrText xml:space="preserve">Addin 单位名称</w:instrText>
      </w:r>
      <w:r>
        <w:rPr>
          <w:rFonts w:hint="eastAsia" w:ascii="仿宋_GB2312" w:hAnsi="仿宋_GB2312" w:eastAsia="仿宋_GB2312" w:cs="仿宋_GB2312"/>
          <w:kern w:val="0"/>
          <w:sz w:val="32"/>
          <w:szCs w:val="32"/>
          <w:lang w:val="en-US" w:eastAsia="zh-CN"/>
        </w:rPr>
        <w:fldChar w:fldCharType="separate"/>
      </w:r>
      <w:r>
        <w:rPr>
          <w:rFonts w:hint="eastAsia" w:ascii="仿宋_GB2312" w:hAnsi="仿宋_GB2312" w:eastAsia="仿宋_GB2312" w:cs="仿宋_GB2312"/>
          <w:kern w:val="0"/>
          <w:sz w:val="32"/>
          <w:szCs w:val="32"/>
          <w:lang w:val="en-US" w:eastAsia="zh-CN"/>
        </w:rPr>
        <w:t>新疆维吾尔自治区工业和信息化厅</w:t>
      </w:r>
      <w:r>
        <w:rPr>
          <w:rFonts w:hint="eastAsia" w:ascii="仿宋_GB2312" w:hAnsi="仿宋_GB2312" w:eastAsia="仿宋_GB2312" w:cs="仿宋_GB2312"/>
          <w:kern w:val="0"/>
          <w:sz w:val="32"/>
          <w:szCs w:val="32"/>
          <w:lang w:val="en-US" w:eastAsia="zh-CN"/>
        </w:rPr>
        <w:fldChar w:fldCharType="end"/>
      </w:r>
    </w:p>
    <w:p w14:paraId="0389E396">
      <w:pPr>
        <w:keepNext w:val="0"/>
        <w:keepLines w:val="0"/>
        <w:pageBreakBefore w:val="0"/>
        <w:widowControl w:val="0"/>
        <w:kinsoku/>
        <w:wordWrap/>
        <w:overflowPunct/>
        <w:topLinePunct w:val="0"/>
        <w:autoSpaceDE/>
        <w:autoSpaceDN/>
        <w:bidi w:val="0"/>
        <w:adjustRightInd/>
        <w:snapToGrid w:val="0"/>
        <w:spacing w:line="560" w:lineRule="exact"/>
        <w:ind w:left="958" w:leftChars="456" w:firstLine="0" w:firstLineChars="0"/>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主管部门（公章）：</w:t>
      </w:r>
      <w:r>
        <w:rPr>
          <w:rFonts w:hint="eastAsia" w:ascii="仿宋_GB2312" w:hAnsi="仿宋_GB2312" w:eastAsia="仿宋_GB2312" w:cs="仿宋_GB2312"/>
          <w:kern w:val="0"/>
          <w:sz w:val="32"/>
          <w:szCs w:val="32"/>
          <w:lang w:val="en-US" w:eastAsia="zh-CN"/>
        </w:rPr>
        <w:fldChar w:fldCharType="begin"/>
      </w:r>
      <w:r>
        <w:rPr>
          <w:rFonts w:hint="eastAsia" w:ascii="仿宋_GB2312" w:hAnsi="仿宋_GB2312" w:eastAsia="仿宋_GB2312" w:cs="仿宋_GB2312"/>
          <w:kern w:val="0"/>
          <w:sz w:val="32"/>
          <w:szCs w:val="32"/>
          <w:lang w:val="en-US" w:eastAsia="zh-CN"/>
        </w:rPr>
        <w:instrText xml:space="preserve">Addin 单位名称</w:instrText>
      </w:r>
      <w:r>
        <w:rPr>
          <w:rFonts w:hint="eastAsia" w:ascii="仿宋_GB2312" w:hAnsi="仿宋_GB2312" w:eastAsia="仿宋_GB2312" w:cs="仿宋_GB2312"/>
          <w:kern w:val="0"/>
          <w:sz w:val="32"/>
          <w:szCs w:val="32"/>
          <w:lang w:val="en-US" w:eastAsia="zh-CN"/>
        </w:rPr>
        <w:fldChar w:fldCharType="separate"/>
      </w:r>
      <w:r>
        <w:rPr>
          <w:rFonts w:hint="eastAsia" w:ascii="仿宋_GB2312" w:hAnsi="仿宋_GB2312" w:eastAsia="仿宋_GB2312" w:cs="仿宋_GB2312"/>
          <w:kern w:val="0"/>
          <w:sz w:val="32"/>
          <w:szCs w:val="32"/>
          <w:lang w:val="en-US" w:eastAsia="zh-CN"/>
        </w:rPr>
        <w:t>新疆维吾尔自治区工业和信息化厅</w:t>
      </w:r>
      <w:r>
        <w:rPr>
          <w:rFonts w:hint="eastAsia" w:ascii="仿宋_GB2312" w:hAnsi="仿宋_GB2312" w:eastAsia="仿宋_GB2312" w:cs="仿宋_GB2312"/>
          <w:kern w:val="0"/>
          <w:sz w:val="32"/>
          <w:szCs w:val="32"/>
          <w:lang w:val="en-US" w:eastAsia="zh-CN"/>
        </w:rPr>
        <w:fldChar w:fldCharType="end"/>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项目负责人（签章）：</w:t>
      </w:r>
      <w:r>
        <w:rPr>
          <w:rFonts w:hint="eastAsia" w:ascii="仿宋_GB2312" w:hAnsi="仿宋_GB2312" w:eastAsia="仿宋_GB2312" w:cs="仿宋_GB2312"/>
          <w:kern w:val="0"/>
          <w:sz w:val="32"/>
          <w:szCs w:val="32"/>
          <w:lang w:val="en-US" w:eastAsia="zh-CN"/>
        </w:rPr>
        <w:t>刘宏建</w:t>
      </w:r>
    </w:p>
    <w:p w14:paraId="13E36C7B">
      <w:pPr>
        <w:keepNext w:val="0"/>
        <w:keepLines w:val="0"/>
        <w:pageBreakBefore w:val="0"/>
        <w:widowControl w:val="0"/>
        <w:kinsoku/>
        <w:wordWrap/>
        <w:overflowPunct/>
        <w:topLinePunct w:val="0"/>
        <w:autoSpaceDE/>
        <w:autoSpaceDN/>
        <w:bidi w:val="0"/>
        <w:adjustRightInd/>
        <w:snapToGrid w:val="0"/>
        <w:spacing w:line="560" w:lineRule="exact"/>
        <w:ind w:left="0" w:leftChars="0" w:firstLine="960" w:firstLineChars="3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填报时间：</w:t>
      </w:r>
      <w:r>
        <w:rPr>
          <w:rFonts w:hint="eastAsia" w:eastAsia="仿宋_GB2312"/>
          <w:b w:val="0"/>
          <w:bCs w:val="0"/>
          <w:sz w:val="32"/>
          <w:szCs w:val="32"/>
          <w:lang w:val="en-US" w:eastAsia="zh-CN"/>
        </w:rPr>
        <w:t>2024</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月</w:t>
      </w:r>
      <w:r>
        <w:rPr>
          <w:rFonts w:hint="eastAsia" w:ascii="仿宋_GB2312" w:hAnsi="仿宋_GB2312" w:eastAsia="仿宋_GB2312" w:cs="仿宋_GB2312"/>
          <w:kern w:val="0"/>
          <w:sz w:val="32"/>
          <w:szCs w:val="32"/>
          <w:lang w:val="en-US" w:eastAsia="zh-CN"/>
        </w:rPr>
        <w:t>14</w:t>
      </w:r>
      <w:r>
        <w:rPr>
          <w:rFonts w:hint="eastAsia" w:ascii="仿宋_GB2312" w:hAnsi="仿宋_GB2312" w:eastAsia="仿宋_GB2312" w:cs="仿宋_GB2312"/>
          <w:kern w:val="0"/>
          <w:sz w:val="32"/>
          <w:szCs w:val="32"/>
        </w:rPr>
        <w:t>日</w:t>
      </w:r>
    </w:p>
    <w:p w14:paraId="26EC7113">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textAlignment w:val="auto"/>
        <w:rPr>
          <w:rStyle w:val="23"/>
          <w:rFonts w:hint="eastAsia" w:ascii="仿宋_GB2312" w:hAnsi="仿宋_GB2312" w:eastAsia="仿宋_GB2312" w:cs="仿宋_GB2312"/>
          <w:b w:val="0"/>
          <w:spacing w:val="-4"/>
          <w:sz w:val="30"/>
          <w:szCs w:val="30"/>
        </w:rPr>
      </w:pPr>
    </w:p>
    <w:p w14:paraId="7C21100A">
      <w:pPr>
        <w:keepNext w:val="0"/>
        <w:keepLines w:val="0"/>
        <w:pageBreakBefore w:val="0"/>
        <w:widowControl w:val="0"/>
        <w:kinsoku/>
        <w:wordWrap/>
        <w:overflowPunct/>
        <w:topLinePunct w:val="0"/>
        <w:autoSpaceDE/>
        <w:autoSpaceDN/>
        <w:bidi w:val="0"/>
        <w:adjustRightInd/>
        <w:snapToGrid w:val="0"/>
        <w:spacing w:line="560" w:lineRule="exact"/>
        <w:ind w:left="0" w:leftChars="0"/>
        <w:textAlignment w:val="auto"/>
        <w:rPr>
          <w:rStyle w:val="23"/>
          <w:rFonts w:hint="eastAsia" w:ascii="仿宋_GB2312" w:hAnsi="仿宋_GB2312" w:eastAsia="仿宋_GB2312" w:cs="仿宋_GB2312"/>
          <w:b w:val="0"/>
          <w:spacing w:val="-4"/>
          <w:sz w:val="30"/>
          <w:szCs w:val="30"/>
        </w:rPr>
      </w:pPr>
    </w:p>
    <w:p w14:paraId="0BE084E6">
      <w:pPr>
        <w:pageBreakBefore w:val="0"/>
        <w:kinsoku/>
        <w:wordWrap/>
        <w:overflowPunct/>
        <w:topLinePunct w:val="0"/>
        <w:autoSpaceDE/>
        <w:autoSpaceDN/>
        <w:bidi w:val="0"/>
        <w:snapToGrid w:val="0"/>
        <w:spacing w:line="560" w:lineRule="exact"/>
        <w:ind w:left="0" w:leftChars="0"/>
        <w:jc w:val="center"/>
        <w:rPr>
          <w:rFonts w:eastAsia="黑体"/>
          <w:bCs/>
          <w:sz w:val="32"/>
          <w:szCs w:val="32"/>
        </w:rPr>
      </w:pPr>
    </w:p>
    <w:p w14:paraId="5E590302">
      <w:pPr>
        <w:pStyle w:val="20"/>
        <w:pageBreakBefore w:val="0"/>
        <w:kinsoku/>
        <w:wordWrap/>
        <w:overflowPunct/>
        <w:topLinePunct w:val="0"/>
        <w:autoSpaceDE/>
        <w:autoSpaceDN/>
        <w:bidi w:val="0"/>
        <w:snapToGrid w:val="0"/>
        <w:spacing w:after="0" w:line="560" w:lineRule="exact"/>
        <w:ind w:left="0" w:leftChars="0"/>
      </w:pPr>
    </w:p>
    <w:p w14:paraId="05CD9FED">
      <w:pPr>
        <w:pageBreakBefore w:val="0"/>
        <w:kinsoku/>
        <w:wordWrap/>
        <w:overflowPunct/>
        <w:topLinePunct w:val="0"/>
        <w:autoSpaceDE/>
        <w:autoSpaceDN/>
        <w:bidi w:val="0"/>
        <w:snapToGrid w:val="0"/>
        <w:spacing w:line="560" w:lineRule="exact"/>
        <w:ind w:left="0" w:leftChars="0"/>
        <w:rPr>
          <w:rFonts w:eastAsia="黑体"/>
          <w:bCs/>
          <w:sz w:val="32"/>
          <w:szCs w:val="32"/>
        </w:rPr>
      </w:pPr>
    </w:p>
    <w:p w14:paraId="54AFC2C8">
      <w:pPr>
        <w:pStyle w:val="20"/>
        <w:pageBreakBefore w:val="0"/>
        <w:kinsoku/>
        <w:wordWrap/>
        <w:overflowPunct/>
        <w:topLinePunct w:val="0"/>
        <w:autoSpaceDE/>
        <w:autoSpaceDN/>
        <w:bidi w:val="0"/>
        <w:snapToGrid w:val="0"/>
        <w:spacing w:after="0" w:line="560" w:lineRule="exact"/>
        <w:ind w:left="0" w:leftChars="0"/>
        <w:rPr>
          <w:rFonts w:eastAsia="黑体"/>
          <w:bCs/>
          <w:sz w:val="32"/>
          <w:szCs w:val="32"/>
        </w:rPr>
      </w:pPr>
    </w:p>
    <w:p w14:paraId="5F44F692">
      <w:pPr>
        <w:pStyle w:val="20"/>
        <w:pageBreakBefore w:val="0"/>
        <w:kinsoku/>
        <w:wordWrap/>
        <w:overflowPunct/>
        <w:topLinePunct w:val="0"/>
        <w:autoSpaceDE/>
        <w:autoSpaceDN/>
        <w:bidi w:val="0"/>
        <w:snapToGrid w:val="0"/>
        <w:spacing w:after="0" w:line="560" w:lineRule="exact"/>
        <w:ind w:left="0" w:leftChars="0"/>
        <w:rPr>
          <w:rFonts w:eastAsia="黑体"/>
          <w:bCs/>
          <w:sz w:val="32"/>
          <w:szCs w:val="32"/>
        </w:rPr>
      </w:pPr>
    </w:p>
    <w:p w14:paraId="53A80294">
      <w:pPr>
        <w:pStyle w:val="20"/>
        <w:pageBreakBefore w:val="0"/>
        <w:kinsoku/>
        <w:wordWrap/>
        <w:overflowPunct/>
        <w:topLinePunct w:val="0"/>
        <w:autoSpaceDE/>
        <w:autoSpaceDN/>
        <w:bidi w:val="0"/>
        <w:snapToGrid w:val="0"/>
        <w:spacing w:after="0" w:line="560" w:lineRule="exact"/>
        <w:ind w:left="0" w:leftChars="0"/>
        <w:rPr>
          <w:rFonts w:eastAsia="黑体"/>
          <w:bCs/>
          <w:sz w:val="32"/>
          <w:szCs w:val="32"/>
        </w:rPr>
      </w:pPr>
    </w:p>
    <w:p w14:paraId="74FA6DB4">
      <w:pPr>
        <w:pageBreakBefore w:val="0"/>
        <w:kinsoku/>
        <w:wordWrap/>
        <w:overflowPunct/>
        <w:topLinePunct w:val="0"/>
        <w:autoSpaceDE/>
        <w:autoSpaceDN/>
        <w:bidi w:val="0"/>
        <w:snapToGrid w:val="0"/>
        <w:spacing w:line="560" w:lineRule="exact"/>
        <w:ind w:left="0" w:leftChars="0"/>
        <w:rPr>
          <w:rFonts w:eastAsia="黑体"/>
          <w:bCs/>
          <w:sz w:val="32"/>
          <w:szCs w:val="32"/>
        </w:rPr>
      </w:pPr>
      <w:r>
        <w:rPr>
          <w:rFonts w:eastAsia="黑体"/>
          <w:bCs/>
          <w:sz w:val="32"/>
          <w:szCs w:val="32"/>
        </w:rPr>
        <w:t>一、基本情况</w:t>
      </w:r>
    </w:p>
    <w:p w14:paraId="4AD71647">
      <w:pPr>
        <w:pageBreakBefore w:val="0"/>
        <w:kinsoku/>
        <w:wordWrap/>
        <w:overflowPunct/>
        <w:topLinePunct w:val="0"/>
        <w:autoSpaceDE/>
        <w:autoSpaceDN/>
        <w:bidi w:val="0"/>
        <w:snapToGrid w:val="0"/>
        <w:spacing w:line="560" w:lineRule="exact"/>
        <w:ind w:left="0" w:leftChars="0" w:firstLine="641"/>
        <w:rPr>
          <w:rFonts w:eastAsia="楷体_GB2312"/>
          <w:b/>
          <w:bCs/>
          <w:sz w:val="32"/>
          <w:szCs w:val="32"/>
        </w:rPr>
      </w:pPr>
      <w:r>
        <w:rPr>
          <w:rFonts w:eastAsia="楷体_GB2312"/>
          <w:b/>
          <w:bCs/>
          <w:sz w:val="32"/>
          <w:szCs w:val="32"/>
        </w:rPr>
        <w:t>（一）项目概况</w:t>
      </w:r>
    </w:p>
    <w:p w14:paraId="51DEE05D">
      <w:pPr>
        <w:pageBreakBefore w:val="0"/>
        <w:kinsoku/>
        <w:wordWrap/>
        <w:overflowPunct/>
        <w:topLinePunct w:val="0"/>
        <w:autoSpaceDE/>
        <w:autoSpaceDN/>
        <w:bidi w:val="0"/>
        <w:snapToGrid w:val="0"/>
        <w:spacing w:line="560" w:lineRule="exact"/>
        <w:ind w:left="0" w:leftChars="0" w:firstLine="641"/>
        <w:rPr>
          <w:rFonts w:eastAsia="仿宋_GB2312"/>
          <w:b/>
          <w:bCs/>
          <w:sz w:val="32"/>
          <w:szCs w:val="32"/>
        </w:rPr>
      </w:pPr>
      <w:r>
        <w:rPr>
          <w:rFonts w:eastAsia="仿宋_GB2312"/>
          <w:b/>
          <w:bCs/>
          <w:sz w:val="32"/>
          <w:szCs w:val="32"/>
        </w:rPr>
        <w:t>1、项目背景</w:t>
      </w:r>
    </w:p>
    <w:p w14:paraId="0FD3C881">
      <w:pPr>
        <w:pageBreakBefore w:val="0"/>
        <w:kinsoku/>
        <w:wordWrap/>
        <w:overflowPunct/>
        <w:topLinePunct w:val="0"/>
        <w:autoSpaceDE/>
        <w:autoSpaceDN/>
        <w:bidi w:val="0"/>
        <w:snapToGrid w:val="0"/>
        <w:spacing w:line="560" w:lineRule="exact"/>
        <w:ind w:left="0" w:leftChars="0" w:firstLine="641"/>
        <w:rPr>
          <w:rFonts w:hint="default" w:eastAsia="仿宋_GB2312"/>
          <w:b w:val="0"/>
          <w:bCs w:val="0"/>
          <w:sz w:val="32"/>
          <w:szCs w:val="32"/>
          <w:lang w:val="en-US" w:eastAsia="zh-CN"/>
        </w:rPr>
      </w:pPr>
      <w:r>
        <w:rPr>
          <w:rFonts w:hint="default" w:eastAsia="仿宋_GB2312"/>
          <w:b w:val="0"/>
          <w:bCs w:val="0"/>
          <w:sz w:val="32"/>
          <w:szCs w:val="32"/>
          <w:lang w:val="en-US" w:eastAsia="zh-CN"/>
        </w:rPr>
        <w:t>自治区党委、政府对此次活动高度重视，马兴瑞书记亲自审定活动事项，艾尔肯·吐尼亚孜主席主持召开政府常务会审议活动方案，自治区分管领导在</w:t>
      </w:r>
      <w:r>
        <w:rPr>
          <w:rFonts w:hint="default" w:eastAsia="仿宋_GB2312"/>
          <w:b w:val="0"/>
          <w:bCs w:val="0"/>
          <w:sz w:val="32"/>
          <w:szCs w:val="32"/>
        </w:rPr>
        <w:t>今年2月</w:t>
      </w:r>
      <w:r>
        <w:rPr>
          <w:rFonts w:hint="default" w:eastAsia="仿宋_GB2312"/>
          <w:b w:val="0"/>
          <w:bCs w:val="0"/>
          <w:sz w:val="32"/>
          <w:szCs w:val="32"/>
          <w:lang w:val="en-US" w:eastAsia="zh-CN"/>
        </w:rPr>
        <w:t>带队赴</w:t>
      </w:r>
      <w:r>
        <w:rPr>
          <w:rFonts w:hint="default" w:eastAsia="仿宋_GB2312"/>
          <w:b w:val="0"/>
          <w:bCs w:val="0"/>
          <w:sz w:val="32"/>
          <w:szCs w:val="32"/>
        </w:rPr>
        <w:t>广东省学习考察</w:t>
      </w:r>
      <w:r>
        <w:rPr>
          <w:rFonts w:hint="default" w:eastAsia="仿宋_GB2312"/>
          <w:b w:val="0"/>
          <w:bCs w:val="0"/>
          <w:sz w:val="32"/>
          <w:szCs w:val="32"/>
          <w:lang w:val="en-US" w:eastAsia="zh-CN"/>
        </w:rPr>
        <w:t>和洽谈合作基础上，多次听取并研究有关事项，</w:t>
      </w:r>
      <w:r>
        <w:rPr>
          <w:rFonts w:hint="eastAsia" w:eastAsia="仿宋_GB2312"/>
          <w:b w:val="0"/>
          <w:bCs w:val="0"/>
          <w:sz w:val="32"/>
          <w:szCs w:val="32"/>
          <w:lang w:val="en-US" w:eastAsia="zh-CN"/>
        </w:rPr>
        <w:t>并</w:t>
      </w:r>
      <w:r>
        <w:rPr>
          <w:rFonts w:hint="default" w:eastAsia="仿宋_GB2312"/>
          <w:b w:val="0"/>
          <w:bCs w:val="0"/>
          <w:sz w:val="32"/>
          <w:szCs w:val="32"/>
          <w:lang w:val="en-US" w:eastAsia="zh-CN"/>
        </w:rPr>
        <w:t>邀请10余家深圳企业负责人恳谈交流。</w:t>
      </w:r>
      <w:r>
        <w:rPr>
          <w:rFonts w:hint="default" w:eastAsia="仿宋_GB2312"/>
          <w:b w:val="0"/>
          <w:bCs w:val="0"/>
          <w:sz w:val="32"/>
          <w:szCs w:val="32"/>
        </w:rPr>
        <w:t>自治区</w:t>
      </w:r>
      <w:r>
        <w:rPr>
          <w:rFonts w:hint="default" w:eastAsia="仿宋_GB2312"/>
          <w:b w:val="0"/>
          <w:bCs w:val="0"/>
          <w:sz w:val="32"/>
          <w:szCs w:val="32"/>
          <w:lang w:val="en-US" w:eastAsia="zh-CN"/>
        </w:rPr>
        <w:t>工信</w:t>
      </w:r>
      <w:r>
        <w:rPr>
          <w:rFonts w:hint="default" w:eastAsia="仿宋_GB2312"/>
          <w:b w:val="0"/>
          <w:bCs w:val="0"/>
          <w:sz w:val="32"/>
          <w:szCs w:val="32"/>
        </w:rPr>
        <w:t>厅</w:t>
      </w:r>
      <w:r>
        <w:rPr>
          <w:rFonts w:hint="default" w:eastAsia="仿宋_GB2312"/>
          <w:b w:val="0"/>
          <w:bCs w:val="0"/>
          <w:sz w:val="32"/>
          <w:szCs w:val="32"/>
          <w:lang w:val="en-US" w:eastAsia="zh-CN"/>
        </w:rPr>
        <w:t>精心组织</w:t>
      </w:r>
      <w:r>
        <w:rPr>
          <w:rFonts w:hint="default" w:eastAsia="仿宋_GB2312"/>
          <w:b w:val="0"/>
          <w:bCs w:val="0"/>
          <w:sz w:val="32"/>
          <w:szCs w:val="32"/>
          <w:lang w:eastAsia="zh-CN"/>
        </w:rPr>
        <w:t>，</w:t>
      </w:r>
      <w:r>
        <w:rPr>
          <w:rFonts w:hint="default" w:eastAsia="仿宋_GB2312"/>
          <w:b w:val="0"/>
          <w:bCs w:val="0"/>
          <w:sz w:val="32"/>
          <w:szCs w:val="32"/>
          <w:lang w:val="en-US" w:eastAsia="zh-CN"/>
        </w:rPr>
        <w:t>提早安排</w:t>
      </w:r>
      <w:r>
        <w:rPr>
          <w:rFonts w:hint="default" w:eastAsia="仿宋_GB2312"/>
          <w:b w:val="0"/>
          <w:bCs w:val="0"/>
          <w:sz w:val="32"/>
          <w:szCs w:val="32"/>
        </w:rPr>
        <w:t>伊犁</w:t>
      </w:r>
      <w:r>
        <w:rPr>
          <w:rFonts w:hint="default" w:eastAsia="仿宋_GB2312"/>
          <w:b w:val="0"/>
          <w:bCs w:val="0"/>
          <w:sz w:val="32"/>
          <w:szCs w:val="32"/>
          <w:lang w:val="en-US" w:eastAsia="zh-CN"/>
        </w:rPr>
        <w:t>州</w:t>
      </w:r>
      <w:r>
        <w:rPr>
          <w:rFonts w:hint="default" w:eastAsia="仿宋_GB2312"/>
          <w:b w:val="0"/>
          <w:bCs w:val="0"/>
          <w:sz w:val="32"/>
          <w:szCs w:val="32"/>
        </w:rPr>
        <w:t>、喀什</w:t>
      </w:r>
      <w:r>
        <w:rPr>
          <w:rFonts w:hint="default" w:eastAsia="仿宋_GB2312"/>
          <w:b w:val="0"/>
          <w:bCs w:val="0"/>
          <w:sz w:val="32"/>
          <w:szCs w:val="32"/>
          <w:lang w:val="en-US" w:eastAsia="zh-CN"/>
        </w:rPr>
        <w:t>地区</w:t>
      </w:r>
      <w:r>
        <w:rPr>
          <w:rFonts w:hint="default" w:eastAsia="仿宋_GB2312"/>
          <w:b w:val="0"/>
          <w:bCs w:val="0"/>
          <w:sz w:val="32"/>
          <w:szCs w:val="32"/>
        </w:rPr>
        <w:t>、克拉玛依</w:t>
      </w:r>
      <w:r>
        <w:rPr>
          <w:rFonts w:hint="default" w:eastAsia="仿宋_GB2312"/>
          <w:b w:val="0"/>
          <w:bCs w:val="0"/>
          <w:sz w:val="32"/>
          <w:szCs w:val="32"/>
          <w:lang w:val="en-US" w:eastAsia="zh-CN"/>
        </w:rPr>
        <w:t>市</w:t>
      </w:r>
      <w:r>
        <w:rPr>
          <w:rFonts w:hint="default" w:eastAsia="仿宋_GB2312"/>
          <w:b w:val="0"/>
          <w:bCs w:val="0"/>
          <w:sz w:val="32"/>
          <w:szCs w:val="32"/>
        </w:rPr>
        <w:t>等10个地</w:t>
      </w:r>
      <w:r>
        <w:rPr>
          <w:rFonts w:hint="default" w:eastAsia="仿宋_GB2312"/>
          <w:b w:val="0"/>
          <w:bCs w:val="0"/>
          <w:sz w:val="32"/>
          <w:szCs w:val="32"/>
          <w:lang w:eastAsia="zh-CN"/>
        </w:rPr>
        <w:t>（</w:t>
      </w:r>
      <w:r>
        <w:rPr>
          <w:rFonts w:hint="default" w:eastAsia="仿宋_GB2312"/>
          <w:b w:val="0"/>
          <w:bCs w:val="0"/>
          <w:sz w:val="32"/>
          <w:szCs w:val="32"/>
        </w:rPr>
        <w:t>州</w:t>
      </w:r>
      <w:r>
        <w:rPr>
          <w:rFonts w:hint="default" w:eastAsia="仿宋_GB2312"/>
          <w:b w:val="0"/>
          <w:bCs w:val="0"/>
          <w:sz w:val="32"/>
          <w:szCs w:val="32"/>
          <w:lang w:eastAsia="zh-CN"/>
        </w:rPr>
        <w:t>、</w:t>
      </w:r>
      <w:r>
        <w:rPr>
          <w:rFonts w:hint="default" w:eastAsia="仿宋_GB2312"/>
          <w:b w:val="0"/>
          <w:bCs w:val="0"/>
          <w:sz w:val="32"/>
          <w:szCs w:val="32"/>
        </w:rPr>
        <w:t>市</w:t>
      </w:r>
      <w:r>
        <w:rPr>
          <w:rFonts w:hint="default" w:eastAsia="仿宋_GB2312"/>
          <w:b w:val="0"/>
          <w:bCs w:val="0"/>
          <w:sz w:val="32"/>
          <w:szCs w:val="32"/>
          <w:lang w:eastAsia="zh-CN"/>
        </w:rPr>
        <w:t>）</w:t>
      </w:r>
      <w:r>
        <w:rPr>
          <w:rFonts w:hint="default" w:eastAsia="仿宋_GB2312"/>
          <w:b w:val="0"/>
          <w:bCs w:val="0"/>
          <w:sz w:val="32"/>
          <w:szCs w:val="32"/>
        </w:rPr>
        <w:t>和喀什经开区、霍尔果斯经开区、准东经济技术开发区</w:t>
      </w:r>
      <w:r>
        <w:rPr>
          <w:rFonts w:hint="default" w:eastAsia="仿宋_GB2312"/>
          <w:b w:val="0"/>
          <w:bCs w:val="0"/>
          <w:sz w:val="32"/>
          <w:szCs w:val="32"/>
          <w:lang w:val="en-US" w:eastAsia="zh-CN"/>
        </w:rPr>
        <w:t>等</w:t>
      </w:r>
      <w:r>
        <w:rPr>
          <w:rFonts w:hint="default" w:eastAsia="仿宋_GB2312"/>
          <w:b w:val="0"/>
          <w:bCs w:val="0"/>
          <w:sz w:val="32"/>
          <w:szCs w:val="32"/>
        </w:rPr>
        <w:t>5个园区（开发区）</w:t>
      </w:r>
      <w:r>
        <w:rPr>
          <w:rFonts w:hint="eastAsia" w:eastAsia="仿宋_GB2312"/>
          <w:b w:val="0"/>
          <w:bCs w:val="0"/>
          <w:sz w:val="32"/>
          <w:szCs w:val="32"/>
          <w:lang w:eastAsia="zh-CN"/>
        </w:rPr>
        <w:t>积极</w:t>
      </w:r>
      <w:r>
        <w:rPr>
          <w:rFonts w:hint="default" w:eastAsia="仿宋_GB2312"/>
          <w:b w:val="0"/>
          <w:bCs w:val="0"/>
          <w:sz w:val="32"/>
          <w:szCs w:val="32"/>
          <w:lang w:eastAsia="zh-CN"/>
        </w:rPr>
        <w:t>对接</w:t>
      </w:r>
      <w:r>
        <w:rPr>
          <w:rFonts w:hint="default" w:eastAsia="仿宋_GB2312"/>
          <w:b w:val="0"/>
          <w:bCs w:val="0"/>
          <w:sz w:val="32"/>
          <w:szCs w:val="32"/>
        </w:rPr>
        <w:t>，</w:t>
      </w:r>
      <w:r>
        <w:rPr>
          <w:rFonts w:hint="default" w:eastAsia="仿宋_GB2312"/>
          <w:b w:val="0"/>
          <w:bCs w:val="0"/>
          <w:sz w:val="32"/>
          <w:szCs w:val="32"/>
          <w:lang w:val="en-US" w:eastAsia="zh-CN"/>
        </w:rPr>
        <w:t>对洽谈项目反复梳理、沟通</w:t>
      </w:r>
      <w:r>
        <w:rPr>
          <w:rFonts w:hint="default" w:eastAsia="仿宋_GB2312"/>
          <w:b w:val="0"/>
          <w:bCs w:val="0"/>
          <w:sz w:val="32"/>
          <w:szCs w:val="32"/>
          <w:lang w:eastAsia="zh-CN"/>
        </w:rPr>
        <w:t>协调</w:t>
      </w:r>
      <w:r>
        <w:rPr>
          <w:rFonts w:hint="default" w:eastAsia="仿宋_GB2312"/>
          <w:b w:val="0"/>
          <w:bCs w:val="0"/>
          <w:sz w:val="32"/>
          <w:szCs w:val="32"/>
          <w:lang w:val="en-US" w:eastAsia="zh-CN"/>
        </w:rPr>
        <w:t>、核实确认，</w:t>
      </w:r>
      <w:r>
        <w:rPr>
          <w:rFonts w:hint="eastAsia" w:eastAsia="仿宋_GB2312"/>
          <w:b w:val="0"/>
          <w:bCs w:val="0"/>
          <w:sz w:val="32"/>
          <w:szCs w:val="32"/>
          <w:lang w:val="en-US" w:eastAsia="zh-CN"/>
        </w:rPr>
        <w:t>组织提前</w:t>
      </w:r>
      <w:r>
        <w:rPr>
          <w:rFonts w:hint="default" w:eastAsia="仿宋_GB2312"/>
          <w:b w:val="0"/>
          <w:bCs w:val="0"/>
          <w:sz w:val="32"/>
          <w:szCs w:val="32"/>
          <w:lang w:val="en-US" w:eastAsia="zh-CN"/>
        </w:rPr>
        <w:t>签约</w:t>
      </w:r>
      <w:r>
        <w:rPr>
          <w:rFonts w:hint="eastAsia" w:eastAsia="仿宋_GB2312"/>
          <w:b w:val="0"/>
          <w:bCs w:val="0"/>
          <w:sz w:val="32"/>
          <w:szCs w:val="32"/>
          <w:lang w:val="en-US" w:eastAsia="zh-CN"/>
        </w:rPr>
        <w:t>了一批</w:t>
      </w:r>
      <w:r>
        <w:rPr>
          <w:rFonts w:hint="default" w:eastAsia="仿宋_GB2312"/>
          <w:b w:val="0"/>
          <w:bCs w:val="0"/>
          <w:sz w:val="32"/>
          <w:szCs w:val="32"/>
          <w:lang w:val="en-US" w:eastAsia="zh-CN"/>
        </w:rPr>
        <w:t>条件成熟项目，谋划筛选了一批现场签约项目。</w:t>
      </w:r>
    </w:p>
    <w:p w14:paraId="3F380398">
      <w:pPr>
        <w:pStyle w:val="18"/>
        <w:pageBreakBefore w:val="0"/>
        <w:numPr>
          <w:ilvl w:val="0"/>
          <w:numId w:val="1"/>
        </w:numPr>
        <w:kinsoku/>
        <w:wordWrap/>
        <w:overflowPunct/>
        <w:topLinePunct w:val="0"/>
        <w:autoSpaceDE/>
        <w:autoSpaceDN/>
        <w:bidi w:val="0"/>
        <w:snapToGrid w:val="0"/>
        <w:spacing w:before="0" w:after="0" w:line="560" w:lineRule="exact"/>
        <w:ind w:left="0" w:leftChars="0" w:firstLine="643" w:firstLineChars="200"/>
        <w:jc w:val="both"/>
        <w:rPr>
          <w:rFonts w:ascii="Times New Roman" w:hAnsi="Times New Roman" w:eastAsia="仿宋_GB2312"/>
          <w:kern w:val="2"/>
        </w:rPr>
      </w:pPr>
      <w:r>
        <w:rPr>
          <w:rFonts w:ascii="Times New Roman" w:hAnsi="Times New Roman" w:eastAsia="仿宋_GB2312"/>
          <w:kern w:val="2"/>
        </w:rPr>
        <w:t>项目主要内容：</w:t>
      </w:r>
    </w:p>
    <w:p w14:paraId="3FCFBC7E">
      <w:pPr>
        <w:pageBreakBefore w:val="0"/>
        <w:kinsoku/>
        <w:wordWrap/>
        <w:overflowPunct/>
        <w:topLinePunct w:val="0"/>
        <w:autoSpaceDE/>
        <w:autoSpaceDN/>
        <w:bidi w:val="0"/>
        <w:snapToGrid w:val="0"/>
        <w:spacing w:line="560" w:lineRule="exact"/>
        <w:ind w:left="0" w:leftChars="0" w:firstLine="641"/>
        <w:rPr>
          <w:rFonts w:hint="eastAsia" w:eastAsia="仿宋_GB2312"/>
          <w:b w:val="0"/>
          <w:bCs w:val="0"/>
          <w:sz w:val="32"/>
          <w:szCs w:val="32"/>
          <w:lang w:val="en-US" w:eastAsia="zh-CN"/>
        </w:rPr>
      </w:pPr>
      <w:r>
        <w:rPr>
          <w:rFonts w:hint="default" w:eastAsia="仿宋_GB2312"/>
          <w:b w:val="0"/>
          <w:bCs w:val="0"/>
          <w:sz w:val="32"/>
          <w:szCs w:val="32"/>
          <w:lang w:val="en-US" w:eastAsia="zh-CN"/>
        </w:rPr>
        <w:t>2023年4月25日—27日，自治区党委</w:t>
      </w:r>
      <w:r>
        <w:rPr>
          <w:rFonts w:hint="default" w:eastAsia="仿宋_GB2312"/>
          <w:b w:val="0"/>
          <w:bCs w:val="0"/>
          <w:sz w:val="32"/>
          <w:szCs w:val="32"/>
        </w:rPr>
        <w:t>常委、</w:t>
      </w:r>
      <w:r>
        <w:rPr>
          <w:rFonts w:hint="eastAsia" w:eastAsia="仿宋_GB2312"/>
          <w:b w:val="0"/>
          <w:bCs w:val="0"/>
          <w:sz w:val="32"/>
          <w:szCs w:val="32"/>
          <w:lang w:eastAsia="zh-CN"/>
        </w:rPr>
        <w:t>自治区</w:t>
      </w:r>
      <w:r>
        <w:rPr>
          <w:rFonts w:hint="default" w:eastAsia="仿宋_GB2312"/>
          <w:b w:val="0"/>
          <w:bCs w:val="0"/>
          <w:sz w:val="32"/>
          <w:szCs w:val="32"/>
        </w:rPr>
        <w:t>副主席玉苏甫江·麦麦提</w:t>
      </w:r>
      <w:r>
        <w:rPr>
          <w:rFonts w:hint="default" w:eastAsia="仿宋_GB2312"/>
          <w:b w:val="0"/>
          <w:bCs w:val="0"/>
          <w:sz w:val="32"/>
          <w:szCs w:val="32"/>
          <w:lang w:val="en-US" w:eastAsia="zh-CN"/>
        </w:rPr>
        <w:t>同志带</w:t>
      </w:r>
      <w:r>
        <w:rPr>
          <w:rFonts w:hint="default" w:eastAsia="仿宋_GB2312"/>
          <w:b w:val="0"/>
          <w:bCs w:val="0"/>
          <w:sz w:val="32"/>
          <w:szCs w:val="32"/>
        </w:rPr>
        <w:t>领</w:t>
      </w:r>
      <w:r>
        <w:rPr>
          <w:rFonts w:hint="default" w:eastAsia="仿宋_GB2312"/>
          <w:b w:val="0"/>
          <w:bCs w:val="0"/>
          <w:sz w:val="32"/>
          <w:szCs w:val="32"/>
          <w:lang w:val="en-US" w:eastAsia="zh-CN"/>
        </w:rPr>
        <w:t>工信</w:t>
      </w:r>
      <w:r>
        <w:rPr>
          <w:rFonts w:hint="default" w:eastAsia="仿宋_GB2312"/>
          <w:b w:val="0"/>
          <w:bCs w:val="0"/>
          <w:sz w:val="32"/>
          <w:szCs w:val="32"/>
        </w:rPr>
        <w:t>厅和</w:t>
      </w:r>
      <w:r>
        <w:rPr>
          <w:rFonts w:hint="default" w:eastAsia="仿宋_GB2312"/>
          <w:b w:val="0"/>
          <w:bCs w:val="0"/>
          <w:sz w:val="32"/>
          <w:szCs w:val="32"/>
          <w:lang w:val="en-US" w:eastAsia="zh-CN"/>
        </w:rPr>
        <w:t>有关</w:t>
      </w:r>
      <w:r>
        <w:rPr>
          <w:rFonts w:hint="default" w:eastAsia="仿宋_GB2312"/>
          <w:b w:val="0"/>
          <w:bCs w:val="0"/>
          <w:sz w:val="32"/>
          <w:szCs w:val="32"/>
        </w:rPr>
        <w:t>地</w:t>
      </w:r>
      <w:r>
        <w:rPr>
          <w:rFonts w:hint="default" w:eastAsia="仿宋_GB2312"/>
          <w:b w:val="0"/>
          <w:bCs w:val="0"/>
          <w:sz w:val="32"/>
          <w:szCs w:val="32"/>
          <w:lang w:eastAsia="zh-CN"/>
        </w:rPr>
        <w:t>（</w:t>
      </w:r>
      <w:r>
        <w:rPr>
          <w:rFonts w:hint="default" w:eastAsia="仿宋_GB2312"/>
          <w:b w:val="0"/>
          <w:bCs w:val="0"/>
          <w:sz w:val="32"/>
          <w:szCs w:val="32"/>
        </w:rPr>
        <w:t>州</w:t>
      </w:r>
      <w:r>
        <w:rPr>
          <w:rFonts w:hint="default" w:eastAsia="仿宋_GB2312"/>
          <w:b w:val="0"/>
          <w:bCs w:val="0"/>
          <w:sz w:val="32"/>
          <w:szCs w:val="32"/>
          <w:lang w:eastAsia="zh-CN"/>
        </w:rPr>
        <w:t>、</w:t>
      </w:r>
      <w:r>
        <w:rPr>
          <w:rFonts w:hint="default" w:eastAsia="仿宋_GB2312"/>
          <w:b w:val="0"/>
          <w:bCs w:val="0"/>
          <w:sz w:val="32"/>
          <w:szCs w:val="32"/>
        </w:rPr>
        <w:t>市</w:t>
      </w:r>
      <w:r>
        <w:rPr>
          <w:rFonts w:hint="default" w:eastAsia="仿宋_GB2312"/>
          <w:b w:val="0"/>
          <w:bCs w:val="0"/>
          <w:sz w:val="32"/>
          <w:szCs w:val="32"/>
          <w:lang w:eastAsia="zh-CN"/>
        </w:rPr>
        <w:t>）</w:t>
      </w:r>
      <w:r>
        <w:rPr>
          <w:rFonts w:hint="default" w:eastAsia="仿宋_GB2312"/>
          <w:b w:val="0"/>
          <w:bCs w:val="0"/>
          <w:sz w:val="32"/>
          <w:szCs w:val="32"/>
        </w:rPr>
        <w:t>、园区（开发区）</w:t>
      </w:r>
      <w:r>
        <w:rPr>
          <w:rFonts w:hint="default" w:eastAsia="仿宋_GB2312"/>
          <w:b w:val="0"/>
          <w:bCs w:val="0"/>
          <w:sz w:val="32"/>
          <w:szCs w:val="32"/>
          <w:lang w:val="en-US" w:eastAsia="zh-CN"/>
        </w:rPr>
        <w:t>等</w:t>
      </w:r>
      <w:r>
        <w:rPr>
          <w:rFonts w:hint="default" w:eastAsia="仿宋_GB2312"/>
          <w:b w:val="0"/>
          <w:bCs w:val="0"/>
          <w:sz w:val="32"/>
          <w:szCs w:val="32"/>
        </w:rPr>
        <w:t>赴广东</w:t>
      </w:r>
      <w:r>
        <w:rPr>
          <w:rFonts w:hint="default" w:eastAsia="仿宋_GB2312"/>
          <w:b w:val="0"/>
          <w:bCs w:val="0"/>
          <w:sz w:val="32"/>
          <w:szCs w:val="32"/>
          <w:lang w:val="en-US" w:eastAsia="zh-CN"/>
        </w:rPr>
        <w:t>省</w:t>
      </w:r>
      <w:r>
        <w:rPr>
          <w:rFonts w:hint="default" w:eastAsia="仿宋_GB2312"/>
          <w:b w:val="0"/>
          <w:bCs w:val="0"/>
          <w:sz w:val="32"/>
          <w:szCs w:val="32"/>
        </w:rPr>
        <w:t>深圳</w:t>
      </w:r>
      <w:r>
        <w:rPr>
          <w:rFonts w:hint="default" w:eastAsia="仿宋_GB2312"/>
          <w:b w:val="0"/>
          <w:bCs w:val="0"/>
          <w:sz w:val="32"/>
          <w:szCs w:val="32"/>
          <w:lang w:val="en-US" w:eastAsia="zh-CN"/>
        </w:rPr>
        <w:t>市</w:t>
      </w:r>
      <w:r>
        <w:rPr>
          <w:rFonts w:hint="default" w:eastAsia="仿宋_GB2312"/>
          <w:b w:val="0"/>
          <w:bCs w:val="0"/>
          <w:sz w:val="32"/>
          <w:szCs w:val="32"/>
          <w:lang w:eastAsia="zh-CN"/>
        </w:rPr>
        <w:t>，</w:t>
      </w:r>
      <w:r>
        <w:rPr>
          <w:rFonts w:hint="default" w:eastAsia="仿宋_GB2312"/>
          <w:b w:val="0"/>
          <w:bCs w:val="0"/>
          <w:sz w:val="32"/>
          <w:szCs w:val="32"/>
          <w:lang w:val="en-US" w:eastAsia="zh-CN"/>
        </w:rPr>
        <w:t>举办</w:t>
      </w:r>
      <w:r>
        <w:rPr>
          <w:rFonts w:hint="default" w:eastAsia="仿宋_GB2312"/>
          <w:b w:val="0"/>
          <w:bCs w:val="0"/>
          <w:sz w:val="32"/>
          <w:szCs w:val="32"/>
        </w:rPr>
        <w:t>了</w:t>
      </w:r>
      <w:r>
        <w:rPr>
          <w:rFonts w:hint="default" w:eastAsia="仿宋_GB2312"/>
          <w:b w:val="0"/>
          <w:bCs w:val="0"/>
          <w:sz w:val="32"/>
          <w:szCs w:val="32"/>
          <w:lang w:eastAsia="zh-CN"/>
        </w:rPr>
        <w:t>“</w:t>
      </w:r>
      <w:r>
        <w:rPr>
          <w:rFonts w:hint="default" w:eastAsia="仿宋_GB2312"/>
          <w:b w:val="0"/>
          <w:bCs w:val="0"/>
          <w:sz w:val="32"/>
          <w:szCs w:val="32"/>
          <w:lang w:val="en-US" w:eastAsia="zh-CN"/>
        </w:rPr>
        <w:t>新粤情意深·合作促发展”新疆（深圳）产业合作交流活动，现场</w:t>
      </w:r>
      <w:r>
        <w:rPr>
          <w:rFonts w:hint="default" w:eastAsia="仿宋_GB2312"/>
          <w:b w:val="0"/>
          <w:bCs w:val="0"/>
          <w:sz w:val="32"/>
          <w:szCs w:val="32"/>
        </w:rPr>
        <w:t>集中签约项目15个，签约总额</w:t>
      </w:r>
      <w:r>
        <w:rPr>
          <w:rFonts w:hint="default" w:eastAsia="仿宋_GB2312"/>
          <w:b w:val="0"/>
          <w:bCs w:val="0"/>
          <w:sz w:val="32"/>
          <w:szCs w:val="32"/>
          <w:lang w:val="en-US" w:eastAsia="zh-CN"/>
        </w:rPr>
        <w:t>489.2亿元</w:t>
      </w:r>
      <w:r>
        <w:rPr>
          <w:rFonts w:hint="eastAsia" w:eastAsia="仿宋_GB2312"/>
          <w:b w:val="0"/>
          <w:bCs w:val="0"/>
          <w:sz w:val="32"/>
          <w:szCs w:val="32"/>
          <w:lang w:val="en-US" w:eastAsia="zh-CN"/>
        </w:rPr>
        <w:t>。</w:t>
      </w:r>
      <w:r>
        <w:rPr>
          <w:rFonts w:hint="default" w:eastAsia="仿宋_GB2312"/>
          <w:b w:val="0"/>
          <w:bCs w:val="0"/>
          <w:sz w:val="32"/>
          <w:szCs w:val="32"/>
          <w:lang w:val="en-US" w:eastAsia="zh-CN"/>
        </w:rPr>
        <w:t>通过恳谈交流、招商推介、考察学习等，进一步推动落实前期签约的31个项目（金额796.8亿元），活动圆满顺利</w:t>
      </w:r>
      <w:r>
        <w:rPr>
          <w:rFonts w:hint="eastAsia" w:eastAsia="仿宋_GB2312"/>
          <w:b w:val="0"/>
          <w:bCs w:val="0"/>
          <w:sz w:val="32"/>
          <w:szCs w:val="32"/>
          <w:lang w:val="en-US" w:eastAsia="zh-CN"/>
        </w:rPr>
        <w:t>、</w:t>
      </w:r>
      <w:r>
        <w:rPr>
          <w:rFonts w:hint="default" w:eastAsia="仿宋_GB2312"/>
          <w:b w:val="0"/>
          <w:bCs w:val="0"/>
          <w:sz w:val="32"/>
          <w:szCs w:val="32"/>
          <w:lang w:val="en-US" w:eastAsia="zh-CN"/>
        </w:rPr>
        <w:t>反响热烈，达到了预期效果。</w:t>
      </w:r>
    </w:p>
    <w:p w14:paraId="79BECE90">
      <w:pPr>
        <w:pageBreakBefore w:val="0"/>
        <w:kinsoku/>
        <w:wordWrap/>
        <w:overflowPunct/>
        <w:topLinePunct w:val="0"/>
        <w:autoSpaceDE/>
        <w:autoSpaceDN/>
        <w:bidi w:val="0"/>
        <w:snapToGrid w:val="0"/>
        <w:spacing w:line="560" w:lineRule="exact"/>
        <w:ind w:left="0" w:leftChars="0" w:firstLine="643" w:firstLineChars="200"/>
        <w:rPr>
          <w:rFonts w:eastAsia="仿宋_GB2312"/>
          <w:b/>
          <w:bCs/>
          <w:sz w:val="32"/>
          <w:szCs w:val="32"/>
        </w:rPr>
      </w:pPr>
      <w:r>
        <w:rPr>
          <w:rFonts w:eastAsia="仿宋_GB2312"/>
          <w:b/>
          <w:bCs/>
          <w:sz w:val="32"/>
          <w:szCs w:val="32"/>
        </w:rPr>
        <w:t>3、资金投入和使用情况</w:t>
      </w:r>
    </w:p>
    <w:p w14:paraId="61B207D8">
      <w:pPr>
        <w:keepNext w:val="0"/>
        <w:keepLines w:val="0"/>
        <w:pageBreakBefore w:val="0"/>
        <w:widowControl w:val="0"/>
        <w:kinsoku/>
        <w:wordWrap/>
        <w:overflowPunct/>
        <w:topLinePunct w:val="0"/>
        <w:autoSpaceDE/>
        <w:autoSpaceDN/>
        <w:bidi w:val="0"/>
        <w:adjustRightInd/>
        <w:snapToGrid w:val="0"/>
        <w:spacing w:line="560" w:lineRule="exact"/>
        <w:ind w:left="0" w:leftChars="0" w:firstLine="643" w:firstLineChars="200"/>
        <w:jc w:val="left"/>
        <w:textAlignment w:val="auto"/>
        <w:rPr>
          <w:rFonts w:hint="eastAsia" w:ascii="仿宋_GB2312" w:hAnsi="仿宋_GB2312" w:eastAsia="仿宋_GB2312" w:cs="仿宋_GB2312"/>
          <w:b/>
          <w:bCs/>
          <w:kern w:val="0"/>
          <w:sz w:val="32"/>
          <w:szCs w:val="32"/>
          <w:highlight w:val="none"/>
          <w:lang w:val="en-US" w:eastAsia="zh-CN"/>
        </w:rPr>
      </w:pPr>
      <w:r>
        <w:rPr>
          <w:rFonts w:hint="eastAsia" w:ascii="仿宋_GB2312" w:hAnsi="仿宋_GB2312" w:eastAsia="仿宋_GB2312" w:cs="仿宋_GB2312"/>
          <w:b/>
          <w:bCs/>
          <w:kern w:val="0"/>
          <w:sz w:val="32"/>
          <w:szCs w:val="32"/>
          <w:lang w:val="en-US" w:eastAsia="zh-CN"/>
        </w:rPr>
        <w:t>（1）资金安排</w:t>
      </w:r>
    </w:p>
    <w:p w14:paraId="612246FB">
      <w:pPr>
        <w:pageBreakBefore w:val="0"/>
        <w:kinsoku/>
        <w:wordWrap/>
        <w:overflowPunct/>
        <w:topLinePunct w:val="0"/>
        <w:autoSpaceDE/>
        <w:autoSpaceDN/>
        <w:bidi w:val="0"/>
        <w:snapToGrid w:val="0"/>
        <w:spacing w:line="560" w:lineRule="exact"/>
        <w:ind w:left="0" w:leftChars="0" w:firstLine="641"/>
        <w:rPr>
          <w:rFonts w:hint="eastAsia" w:eastAsia="仿宋_GB2312"/>
          <w:b w:val="0"/>
          <w:bCs w:val="0"/>
          <w:sz w:val="32"/>
          <w:szCs w:val="32"/>
          <w:lang w:val="en-US" w:eastAsia="zh-CN"/>
        </w:rPr>
      </w:pPr>
      <w:r>
        <w:rPr>
          <w:rFonts w:hint="eastAsia" w:eastAsia="仿宋_GB2312"/>
          <w:b w:val="0"/>
          <w:bCs w:val="0"/>
          <w:sz w:val="32"/>
          <w:szCs w:val="32"/>
          <w:lang w:val="en-US" w:eastAsia="zh-CN"/>
        </w:rPr>
        <w:t>项目总投资</w:t>
      </w:r>
      <w:r>
        <w:rPr>
          <w:rFonts w:hint="default" w:eastAsia="仿宋_GB2312"/>
          <w:b w:val="0"/>
          <w:bCs w:val="0"/>
          <w:sz w:val="32"/>
          <w:szCs w:val="32"/>
          <w:lang w:val="en-US" w:eastAsia="zh-CN"/>
        </w:rPr>
        <w:t>26.1</w:t>
      </w:r>
      <w:r>
        <w:rPr>
          <w:rFonts w:hint="eastAsia" w:eastAsia="仿宋_GB2312"/>
          <w:b w:val="0"/>
          <w:bCs w:val="0"/>
          <w:sz w:val="32"/>
          <w:szCs w:val="32"/>
          <w:lang w:val="en-US" w:eastAsia="zh-CN"/>
        </w:rPr>
        <w:t>万元，按照单位财务制度等相关规定，资金支出符合此次工作经费范围，做到了专款专用。在项目资金拨付和使用过程中，为确保项目资金的安全性，提高项目资金使用效率，严格遵循自治区招商引资专项工作经费资金的拨付程序，认真审核项目实施各阶段的相关材料和手续，根据项目实施进展情况拨付资金。</w:t>
      </w:r>
    </w:p>
    <w:p w14:paraId="44D12E7F">
      <w:pPr>
        <w:keepNext w:val="0"/>
        <w:keepLines w:val="0"/>
        <w:pageBreakBefore w:val="0"/>
        <w:widowControl w:val="0"/>
        <w:kinsoku/>
        <w:wordWrap/>
        <w:overflowPunct/>
        <w:topLinePunct w:val="0"/>
        <w:autoSpaceDE/>
        <w:autoSpaceDN/>
        <w:bidi w:val="0"/>
        <w:adjustRightInd/>
        <w:snapToGrid w:val="0"/>
        <w:spacing w:line="560" w:lineRule="exact"/>
        <w:ind w:left="0" w:leftChars="0" w:firstLine="643" w:firstLineChars="200"/>
        <w:jc w:val="left"/>
        <w:textAlignment w:val="auto"/>
        <w:rPr>
          <w:rFonts w:hint="eastAsia" w:ascii="仿宋_GB2312" w:hAnsi="仿宋_GB2312" w:eastAsia="仿宋_GB2312" w:cs="仿宋_GB2312"/>
          <w:b/>
          <w:bCs/>
          <w:kern w:val="0"/>
          <w:sz w:val="32"/>
          <w:szCs w:val="32"/>
          <w:highlight w:val="none"/>
          <w:lang w:val="en-US" w:eastAsia="zh-CN"/>
        </w:rPr>
      </w:pPr>
      <w:r>
        <w:rPr>
          <w:rFonts w:hint="eastAsia" w:ascii="仿宋_GB2312" w:hAnsi="仿宋_GB2312" w:eastAsia="仿宋_GB2312" w:cs="仿宋_GB2312"/>
          <w:b/>
          <w:bCs/>
          <w:kern w:val="0"/>
          <w:sz w:val="32"/>
          <w:szCs w:val="32"/>
          <w:highlight w:val="none"/>
          <w:lang w:val="en-US" w:eastAsia="zh-CN"/>
        </w:rPr>
        <w:t>（2）预算资金来源及使用情况</w:t>
      </w:r>
      <w:bookmarkStart w:id="0" w:name="page10"/>
      <w:bookmarkEnd w:id="0"/>
    </w:p>
    <w:p w14:paraId="11F8C853">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项目预算资金来源于自治区财政拨付，项目资金到位</w:t>
      </w:r>
      <w:r>
        <w:rPr>
          <w:rFonts w:hint="default" w:eastAsia="仿宋_GB2312"/>
          <w:b w:val="0"/>
          <w:bCs w:val="0"/>
          <w:sz w:val="32"/>
          <w:szCs w:val="32"/>
          <w:lang w:val="en-US" w:eastAsia="zh-CN"/>
        </w:rPr>
        <w:t>26.1</w:t>
      </w:r>
      <w:r>
        <w:rPr>
          <w:rFonts w:hint="eastAsia" w:ascii="仿宋_GB2312" w:hAnsi="仿宋_GB2312" w:eastAsia="仿宋_GB2312" w:cs="仿宋_GB2312"/>
          <w:kern w:val="0"/>
          <w:sz w:val="32"/>
          <w:szCs w:val="32"/>
          <w:highlight w:val="none"/>
          <w:lang w:val="en-US" w:eastAsia="zh-CN"/>
        </w:rPr>
        <w:t>万元，执</w:t>
      </w:r>
      <w:r>
        <w:rPr>
          <w:rFonts w:hint="eastAsia" w:eastAsia="仿宋_GB2312"/>
          <w:b w:val="0"/>
          <w:bCs w:val="0"/>
          <w:sz w:val="32"/>
          <w:szCs w:val="32"/>
          <w:lang w:val="en-US" w:eastAsia="zh-CN"/>
        </w:rPr>
        <w:t>行</w:t>
      </w:r>
      <w:r>
        <w:rPr>
          <w:rFonts w:hint="default" w:eastAsia="仿宋_GB2312"/>
          <w:b w:val="0"/>
          <w:bCs w:val="0"/>
          <w:sz w:val="32"/>
          <w:szCs w:val="32"/>
          <w:lang w:val="en-US" w:eastAsia="zh-CN"/>
        </w:rPr>
        <w:t>26.1</w:t>
      </w:r>
      <w:r>
        <w:rPr>
          <w:rFonts w:hint="eastAsia" w:eastAsia="仿宋_GB2312"/>
          <w:b w:val="0"/>
          <w:bCs w:val="0"/>
          <w:sz w:val="32"/>
          <w:szCs w:val="32"/>
          <w:lang w:val="en-US" w:eastAsia="zh-CN"/>
        </w:rPr>
        <w:t>万元，预算执行率为100%,主要用于支付项</w:t>
      </w:r>
      <w:r>
        <w:rPr>
          <w:rFonts w:hint="eastAsia" w:ascii="仿宋_GB2312" w:hAnsi="仿宋_GB2312" w:eastAsia="仿宋_GB2312" w:cs="仿宋_GB2312"/>
          <w:kern w:val="0"/>
          <w:sz w:val="32"/>
          <w:szCs w:val="32"/>
          <w:highlight w:val="none"/>
          <w:lang w:val="en-US" w:eastAsia="zh-CN"/>
        </w:rPr>
        <w:t>目实施进程中的各项费用。</w:t>
      </w:r>
    </w:p>
    <w:p w14:paraId="0E422F94">
      <w:pPr>
        <w:pageBreakBefore w:val="0"/>
        <w:kinsoku/>
        <w:wordWrap/>
        <w:overflowPunct/>
        <w:topLinePunct w:val="0"/>
        <w:autoSpaceDE/>
        <w:autoSpaceDN/>
        <w:bidi w:val="0"/>
        <w:snapToGrid w:val="0"/>
        <w:spacing w:line="560" w:lineRule="exact"/>
        <w:ind w:left="0" w:leftChars="0" w:firstLine="643" w:firstLineChars="200"/>
        <w:rPr>
          <w:rFonts w:eastAsia="楷体_GB2312"/>
          <w:b/>
          <w:bCs/>
          <w:sz w:val="32"/>
          <w:szCs w:val="32"/>
        </w:rPr>
      </w:pPr>
      <w:r>
        <w:rPr>
          <w:rFonts w:eastAsia="楷体_GB2312"/>
          <w:b/>
          <w:bCs/>
          <w:sz w:val="32"/>
          <w:szCs w:val="32"/>
        </w:rPr>
        <w:t>（二）项目绩效目标</w:t>
      </w:r>
    </w:p>
    <w:p w14:paraId="399E186D">
      <w:pPr>
        <w:keepNext w:val="0"/>
        <w:keepLines w:val="0"/>
        <w:pageBreakBefore w:val="0"/>
        <w:widowControl w:val="0"/>
        <w:kinsoku/>
        <w:wordWrap/>
        <w:overflowPunct/>
        <w:topLinePunct w:val="0"/>
        <w:autoSpaceDE/>
        <w:autoSpaceDN/>
        <w:bidi w:val="0"/>
        <w:adjustRightInd/>
        <w:snapToGrid w:val="0"/>
        <w:spacing w:line="560" w:lineRule="exact"/>
        <w:ind w:left="0" w:leftChars="0" w:firstLine="643" w:firstLineChars="200"/>
        <w:jc w:val="left"/>
        <w:textAlignment w:val="auto"/>
        <w:rPr>
          <w:rFonts w:hint="eastAsia" w:ascii="仿宋_GB2312" w:hAnsi="仿宋_GB2312" w:eastAsia="仿宋_GB2312" w:cs="仿宋_GB2312"/>
          <w:b/>
          <w:bCs/>
          <w:kern w:val="0"/>
          <w:sz w:val="32"/>
          <w:szCs w:val="32"/>
          <w:lang w:val="en-US" w:eastAsia="zh-CN"/>
        </w:rPr>
      </w:pPr>
      <w:r>
        <w:rPr>
          <w:rFonts w:hint="eastAsia" w:ascii="仿宋_GB2312" w:hAnsi="仿宋_GB2312" w:eastAsia="仿宋_GB2312" w:cs="仿宋_GB2312"/>
          <w:b/>
          <w:bCs/>
          <w:kern w:val="0"/>
          <w:sz w:val="32"/>
          <w:szCs w:val="32"/>
          <w:lang w:val="en-US" w:eastAsia="zh-CN"/>
        </w:rPr>
        <w:t>1、总体目标</w:t>
      </w:r>
    </w:p>
    <w:p w14:paraId="1E68574B">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突出招商重点，加大产业链招商，大力宣传新疆重点产业和投资优势，增强企业投资新疆信心，促进企业来疆考察及项目投资落地，撮合签约一批投资项目。</w:t>
      </w:r>
    </w:p>
    <w:p w14:paraId="61C794B2">
      <w:pPr>
        <w:pageBreakBefore w:val="0"/>
        <w:kinsoku/>
        <w:wordWrap/>
        <w:overflowPunct/>
        <w:topLinePunct w:val="0"/>
        <w:autoSpaceDE/>
        <w:autoSpaceDN/>
        <w:bidi w:val="0"/>
        <w:snapToGrid w:val="0"/>
        <w:spacing w:line="560" w:lineRule="exact"/>
        <w:ind w:left="0" w:leftChars="0" w:firstLine="643" w:firstLineChars="200"/>
        <w:rPr>
          <w:b/>
          <w:bCs/>
        </w:rPr>
      </w:pPr>
      <w:r>
        <w:rPr>
          <w:rFonts w:eastAsia="仿宋_GB2312"/>
          <w:b/>
          <w:bCs/>
          <w:sz w:val="32"/>
          <w:szCs w:val="32"/>
        </w:rPr>
        <w:t>2、阶段性目标</w:t>
      </w:r>
    </w:p>
    <w:p w14:paraId="676CA351">
      <w:pPr>
        <w:pageBreakBefore w:val="0"/>
        <w:kinsoku/>
        <w:wordWrap/>
        <w:overflowPunct/>
        <w:topLinePunct w:val="0"/>
        <w:autoSpaceDE/>
        <w:autoSpaceDN/>
        <w:bidi w:val="0"/>
        <w:snapToGrid w:val="0"/>
        <w:spacing w:line="560" w:lineRule="exact"/>
        <w:ind w:left="0" w:leftChars="0" w:firstLine="640" w:firstLineChars="200"/>
        <w:rPr>
          <w:rFonts w:hint="eastAsia" w:eastAsia="仿宋_GB2312"/>
          <w:b w:val="0"/>
          <w:bCs w:val="0"/>
          <w:sz w:val="32"/>
          <w:szCs w:val="32"/>
          <w:lang w:val="en-US" w:eastAsia="zh-CN"/>
        </w:rPr>
      </w:pPr>
      <w:r>
        <w:rPr>
          <w:rFonts w:hint="eastAsia" w:eastAsia="仿宋_GB2312"/>
          <w:b w:val="0"/>
          <w:bCs w:val="0"/>
          <w:sz w:val="32"/>
          <w:szCs w:val="32"/>
          <w:lang w:val="en-US" w:eastAsia="zh-CN"/>
        </w:rPr>
        <w:t>2023年5月底</w:t>
      </w:r>
      <w:r>
        <w:rPr>
          <w:rFonts w:hint="eastAsia" w:ascii="仿宋_GB2312" w:hAnsi="仿宋_GB2312" w:eastAsia="仿宋_GB2312" w:cs="仿宋_GB2312"/>
          <w:kern w:val="0"/>
          <w:sz w:val="32"/>
          <w:szCs w:val="32"/>
          <w:lang w:val="en-US" w:eastAsia="zh-CN"/>
        </w:rPr>
        <w:t>前完成</w:t>
      </w:r>
      <w:r>
        <w:rPr>
          <w:rFonts w:hint="default" w:ascii="Times New Roman" w:hAnsi="Times New Roman" w:eastAsia="方正仿宋简体" w:cs="Times New Roman"/>
          <w:sz w:val="32"/>
          <w:szCs w:val="32"/>
          <w:lang w:eastAsia="zh-CN"/>
        </w:rPr>
        <w:t>“</w:t>
      </w:r>
      <w:r>
        <w:rPr>
          <w:rFonts w:hint="default" w:eastAsia="仿宋_GB2312"/>
          <w:b w:val="0"/>
          <w:bCs w:val="0"/>
          <w:sz w:val="32"/>
          <w:szCs w:val="32"/>
          <w:lang w:val="en-US" w:eastAsia="zh-CN"/>
        </w:rPr>
        <w:t>新粤情意深·合作促发展”新疆（深圳）产业合作交流活动，通过恳谈交流、招商推介、考察学习等，现场集中签约</w:t>
      </w:r>
      <w:r>
        <w:rPr>
          <w:rFonts w:hint="eastAsia" w:eastAsia="仿宋_GB2312"/>
          <w:b w:val="0"/>
          <w:bCs w:val="0"/>
          <w:sz w:val="32"/>
          <w:szCs w:val="32"/>
          <w:lang w:val="en-US" w:eastAsia="zh-CN"/>
        </w:rPr>
        <w:t>一批</w:t>
      </w:r>
      <w:r>
        <w:rPr>
          <w:rFonts w:hint="default" w:eastAsia="仿宋_GB2312"/>
          <w:b w:val="0"/>
          <w:bCs w:val="0"/>
          <w:sz w:val="32"/>
          <w:szCs w:val="32"/>
          <w:lang w:val="en-US" w:eastAsia="zh-CN"/>
        </w:rPr>
        <w:t>项目</w:t>
      </w:r>
      <w:r>
        <w:rPr>
          <w:rFonts w:hint="eastAsia" w:eastAsia="仿宋_GB2312"/>
          <w:b w:val="0"/>
          <w:bCs w:val="0"/>
          <w:sz w:val="32"/>
          <w:szCs w:val="32"/>
          <w:lang w:val="en-US" w:eastAsia="zh-CN"/>
        </w:rPr>
        <w:t>。</w:t>
      </w:r>
    </w:p>
    <w:p w14:paraId="75EBDD71">
      <w:pPr>
        <w:pageBreakBefore w:val="0"/>
        <w:kinsoku/>
        <w:wordWrap/>
        <w:overflowPunct/>
        <w:topLinePunct w:val="0"/>
        <w:autoSpaceDE/>
        <w:autoSpaceDN/>
        <w:bidi w:val="0"/>
        <w:snapToGrid w:val="0"/>
        <w:spacing w:line="560" w:lineRule="exact"/>
        <w:ind w:left="0" w:leftChars="0" w:firstLine="640" w:firstLineChars="200"/>
        <w:rPr>
          <w:rFonts w:eastAsia="黑体"/>
          <w:sz w:val="32"/>
          <w:szCs w:val="32"/>
        </w:rPr>
      </w:pPr>
      <w:r>
        <w:rPr>
          <w:rFonts w:eastAsia="黑体"/>
          <w:sz w:val="32"/>
          <w:szCs w:val="32"/>
        </w:rPr>
        <w:t>二、绩效评价工作开展情况</w:t>
      </w:r>
    </w:p>
    <w:p w14:paraId="2493D2E2">
      <w:pPr>
        <w:pageBreakBefore w:val="0"/>
        <w:kinsoku/>
        <w:wordWrap/>
        <w:overflowPunct/>
        <w:topLinePunct w:val="0"/>
        <w:autoSpaceDE/>
        <w:autoSpaceDN/>
        <w:bidi w:val="0"/>
        <w:snapToGrid w:val="0"/>
        <w:spacing w:line="560" w:lineRule="exact"/>
        <w:ind w:left="0" w:leftChars="0" w:firstLine="643" w:firstLineChars="200"/>
        <w:rPr>
          <w:rFonts w:eastAsia="楷体_GB2312"/>
          <w:b/>
          <w:bCs/>
          <w:sz w:val="32"/>
          <w:szCs w:val="32"/>
        </w:rPr>
      </w:pPr>
      <w:r>
        <w:rPr>
          <w:rFonts w:eastAsia="楷体_GB2312"/>
          <w:b/>
          <w:bCs/>
          <w:sz w:val="32"/>
          <w:szCs w:val="32"/>
        </w:rPr>
        <w:t>（一）绩效评价目的、对象和范围</w:t>
      </w:r>
    </w:p>
    <w:p w14:paraId="65D06FA0">
      <w:pPr>
        <w:pStyle w:val="18"/>
        <w:pageBreakBefore w:val="0"/>
        <w:widowControl w:val="0"/>
        <w:kinsoku/>
        <w:wordWrap/>
        <w:overflowPunct/>
        <w:topLinePunct w:val="0"/>
        <w:autoSpaceDE/>
        <w:autoSpaceDN/>
        <w:bidi w:val="0"/>
        <w:snapToGrid w:val="0"/>
        <w:spacing w:before="0" w:after="0" w:line="560" w:lineRule="exact"/>
        <w:ind w:left="0" w:leftChars="0" w:firstLine="643" w:firstLineChars="200"/>
        <w:jc w:val="both"/>
        <w:outlineLvl w:val="9"/>
        <w:rPr>
          <w:rFonts w:hint="eastAsia" w:ascii="仿宋_GB2312" w:hAnsi="仿宋_GB2312" w:eastAsia="仿宋_GB2312" w:cs="仿宋_GB2312"/>
          <w:b/>
          <w:bCs/>
          <w:kern w:val="0"/>
          <w:sz w:val="32"/>
          <w:szCs w:val="32"/>
          <w:lang w:val="en-US" w:eastAsia="zh-CN" w:bidi="ar-SA"/>
        </w:rPr>
      </w:pPr>
      <w:r>
        <w:rPr>
          <w:rFonts w:hint="eastAsia" w:ascii="仿宋_GB2312" w:hAnsi="仿宋_GB2312" w:eastAsia="仿宋_GB2312" w:cs="仿宋_GB2312"/>
          <w:b/>
          <w:bCs/>
          <w:kern w:val="0"/>
          <w:sz w:val="32"/>
          <w:szCs w:val="32"/>
          <w:lang w:val="en-US" w:eastAsia="zh-CN" w:bidi="ar-SA"/>
        </w:rPr>
        <w:t>1、绩效评价的目的</w:t>
      </w:r>
    </w:p>
    <w:p w14:paraId="3FCF50B9">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严格执行《预算法》，强化支出责任，对本年度资金使用、管理及效益情况进行分析和评价，提高自治区招商引资专项资金的资源配置效率和使用效益，达到改进预算管理、控制节约成本，提高预算资金使用效益的目的。</w:t>
      </w:r>
    </w:p>
    <w:p w14:paraId="7DCECCA1">
      <w:pPr>
        <w:pStyle w:val="18"/>
        <w:pageBreakBefore w:val="0"/>
        <w:widowControl w:val="0"/>
        <w:kinsoku/>
        <w:wordWrap/>
        <w:overflowPunct/>
        <w:topLinePunct w:val="0"/>
        <w:autoSpaceDE/>
        <w:autoSpaceDN/>
        <w:bidi w:val="0"/>
        <w:snapToGrid w:val="0"/>
        <w:spacing w:before="0" w:after="0" w:line="560" w:lineRule="exact"/>
        <w:ind w:left="0" w:leftChars="0" w:firstLine="643" w:firstLineChars="200"/>
        <w:jc w:val="both"/>
        <w:outlineLvl w:val="9"/>
        <w:rPr>
          <w:rFonts w:hint="eastAsia" w:ascii="仿宋_GB2312" w:hAnsi="仿宋_GB2312" w:eastAsia="仿宋_GB2312" w:cs="仿宋_GB2312"/>
          <w:b/>
          <w:bCs/>
          <w:kern w:val="0"/>
          <w:sz w:val="32"/>
          <w:szCs w:val="32"/>
          <w:lang w:val="en-US" w:eastAsia="zh-CN" w:bidi="ar-SA"/>
        </w:rPr>
      </w:pPr>
      <w:r>
        <w:rPr>
          <w:rFonts w:hint="eastAsia" w:ascii="仿宋_GB2312" w:hAnsi="仿宋_GB2312" w:eastAsia="仿宋_GB2312" w:cs="仿宋_GB2312"/>
          <w:b/>
          <w:bCs/>
          <w:kern w:val="0"/>
          <w:sz w:val="32"/>
          <w:szCs w:val="32"/>
          <w:lang w:val="en-US" w:eastAsia="zh-CN" w:bidi="ar-SA"/>
        </w:rPr>
        <w:t>2、绩效评价的对象</w:t>
      </w:r>
    </w:p>
    <w:p w14:paraId="27A40636">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绩效评价对象为自治区工业和信息化厅招商协作发展处利用自治区招商引资专项工作经费实施的全部项目建设内容。</w:t>
      </w:r>
    </w:p>
    <w:p w14:paraId="4275C877">
      <w:pPr>
        <w:pStyle w:val="18"/>
        <w:pageBreakBefore w:val="0"/>
        <w:widowControl w:val="0"/>
        <w:kinsoku/>
        <w:wordWrap/>
        <w:overflowPunct/>
        <w:topLinePunct w:val="0"/>
        <w:autoSpaceDE/>
        <w:autoSpaceDN/>
        <w:bidi w:val="0"/>
        <w:snapToGrid w:val="0"/>
        <w:spacing w:before="0" w:after="0" w:line="560" w:lineRule="exact"/>
        <w:ind w:left="0" w:leftChars="0" w:firstLine="643" w:firstLineChars="200"/>
        <w:jc w:val="both"/>
        <w:outlineLvl w:val="9"/>
        <w:rPr>
          <w:rFonts w:hint="eastAsia" w:ascii="仿宋_GB2312" w:hAnsi="仿宋_GB2312" w:eastAsia="仿宋_GB2312" w:cs="仿宋_GB2312"/>
          <w:b/>
          <w:bCs/>
          <w:kern w:val="0"/>
          <w:sz w:val="32"/>
          <w:szCs w:val="32"/>
          <w:lang w:val="en-US" w:eastAsia="zh-CN" w:bidi="ar-SA"/>
        </w:rPr>
      </w:pPr>
      <w:r>
        <w:rPr>
          <w:rFonts w:hint="eastAsia" w:ascii="仿宋_GB2312" w:hAnsi="仿宋_GB2312" w:eastAsia="仿宋_GB2312" w:cs="仿宋_GB2312"/>
          <w:b/>
          <w:bCs/>
          <w:kern w:val="0"/>
          <w:sz w:val="32"/>
          <w:szCs w:val="32"/>
          <w:lang w:val="en-US" w:eastAsia="zh-CN" w:bidi="ar-SA"/>
        </w:rPr>
        <w:t>3、绩效评价的范围</w:t>
      </w:r>
    </w:p>
    <w:p w14:paraId="7C024B6C">
      <w:pPr>
        <w:pageBreakBefore w:val="0"/>
        <w:kinsoku/>
        <w:wordWrap/>
        <w:overflowPunct/>
        <w:topLinePunct w:val="0"/>
        <w:autoSpaceDE/>
        <w:autoSpaceDN/>
        <w:bidi w:val="0"/>
        <w:snapToGrid w:val="0"/>
        <w:spacing w:line="560" w:lineRule="exact"/>
        <w:ind w:left="0" w:leftChars="0" w:firstLine="640" w:firstLineChars="200"/>
        <w:rPr>
          <w:rFonts w:hint="eastAsia"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b w:val="0"/>
          <w:bCs w:val="0"/>
          <w:kern w:val="0"/>
          <w:sz w:val="32"/>
          <w:szCs w:val="32"/>
          <w:lang w:val="en-US" w:eastAsia="zh-CN" w:bidi="ar-SA"/>
        </w:rPr>
        <w:t>绩效评价范围为招商协作发展处自治区招商引资专项专项资金使用项目的决策、过程、产出、效益等。</w:t>
      </w:r>
    </w:p>
    <w:p w14:paraId="4582CDBB">
      <w:pPr>
        <w:pageBreakBefore w:val="0"/>
        <w:kinsoku/>
        <w:wordWrap/>
        <w:overflowPunct/>
        <w:topLinePunct w:val="0"/>
        <w:autoSpaceDE/>
        <w:autoSpaceDN/>
        <w:bidi w:val="0"/>
        <w:snapToGrid w:val="0"/>
        <w:spacing w:line="560" w:lineRule="exact"/>
        <w:ind w:left="0" w:leftChars="0" w:firstLine="643" w:firstLineChars="200"/>
        <w:rPr>
          <w:rFonts w:eastAsia="楷体_GB2312"/>
          <w:b/>
          <w:bCs/>
          <w:sz w:val="32"/>
          <w:szCs w:val="32"/>
        </w:rPr>
      </w:pPr>
      <w:r>
        <w:rPr>
          <w:rFonts w:eastAsia="楷体_GB2312"/>
          <w:b/>
          <w:bCs/>
          <w:sz w:val="32"/>
          <w:szCs w:val="32"/>
        </w:rPr>
        <w:t>（二）绩效评价原则、评价指标体系（详情见表1）、评价方法、评价标准。</w:t>
      </w:r>
    </w:p>
    <w:p w14:paraId="24203142">
      <w:pPr>
        <w:pStyle w:val="18"/>
        <w:pageBreakBefore w:val="0"/>
        <w:widowControl w:val="0"/>
        <w:kinsoku/>
        <w:wordWrap/>
        <w:overflowPunct/>
        <w:topLinePunct w:val="0"/>
        <w:autoSpaceDE/>
        <w:autoSpaceDN/>
        <w:bidi w:val="0"/>
        <w:snapToGrid w:val="0"/>
        <w:spacing w:before="0" w:after="0" w:line="560" w:lineRule="exact"/>
        <w:ind w:left="0" w:leftChars="0" w:firstLine="643" w:firstLineChars="200"/>
        <w:jc w:val="both"/>
        <w:outlineLvl w:val="9"/>
        <w:rPr>
          <w:rFonts w:hint="eastAsia" w:ascii="仿宋_GB2312" w:hAnsi="仿宋_GB2312" w:eastAsia="仿宋_GB2312" w:cs="仿宋_GB2312"/>
          <w:b/>
          <w:bCs/>
          <w:kern w:val="0"/>
          <w:sz w:val="32"/>
          <w:szCs w:val="32"/>
          <w:lang w:val="en-US" w:eastAsia="zh-CN" w:bidi="ar-SA"/>
        </w:rPr>
      </w:pPr>
      <w:r>
        <w:rPr>
          <w:rFonts w:hint="eastAsia" w:ascii="仿宋_GB2312" w:hAnsi="仿宋_GB2312" w:eastAsia="仿宋_GB2312" w:cs="仿宋_GB2312"/>
          <w:b/>
          <w:bCs/>
          <w:kern w:val="0"/>
          <w:sz w:val="32"/>
          <w:szCs w:val="32"/>
          <w:lang w:val="en-US" w:eastAsia="zh-CN" w:bidi="ar-SA"/>
        </w:rPr>
        <w:t>1、绩效评价原则</w:t>
      </w:r>
    </w:p>
    <w:p w14:paraId="4BCDD4A8">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本次项目绩效评价遵循以下基本原则：</w:t>
      </w:r>
    </w:p>
    <w:p w14:paraId="165BCA4C">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（1）科学公正。绩效评价应当运用科学合理的方法，按照规范的程序，对项目绩效进行客观、公正的反映。</w:t>
      </w:r>
    </w:p>
    <w:p w14:paraId="23F7C4BC">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（2）统筹兼顾。单位自评、部门评价和财政评价应职责明确，各有侧重，相互衔接。单位自评应由项目单位自主实施，即“谁支出、谁自评”。部门评价和财政评价应在单位自评的基础上开展。</w:t>
      </w:r>
    </w:p>
    <w:p w14:paraId="6B76AD90">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（3）激励约束。绩效评价结果应与预算安排、政策调整、改进管理实质性挂钩，体现奖优罚劣和激励相容导向，有效要安排、低效要压减、无效要问责。</w:t>
      </w:r>
    </w:p>
    <w:p w14:paraId="04BEC89B">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（4）公开透明。绩效评价结果应依法依规公开，并自觉接受社会监督。</w:t>
      </w:r>
    </w:p>
    <w:p w14:paraId="2735B6CA">
      <w:pPr>
        <w:pStyle w:val="18"/>
        <w:pageBreakBefore w:val="0"/>
        <w:widowControl w:val="0"/>
        <w:kinsoku/>
        <w:wordWrap/>
        <w:overflowPunct/>
        <w:topLinePunct w:val="0"/>
        <w:autoSpaceDE/>
        <w:autoSpaceDN/>
        <w:bidi w:val="0"/>
        <w:snapToGrid w:val="0"/>
        <w:spacing w:before="0" w:after="0" w:line="560" w:lineRule="exact"/>
        <w:ind w:left="0" w:leftChars="0" w:firstLine="643" w:firstLineChars="200"/>
        <w:jc w:val="both"/>
        <w:outlineLvl w:val="9"/>
        <w:rPr>
          <w:rFonts w:hint="eastAsia" w:ascii="仿宋_GB2312" w:hAnsi="仿宋_GB2312" w:eastAsia="仿宋_GB2312" w:cs="仿宋_GB2312"/>
          <w:b/>
          <w:bCs/>
          <w:kern w:val="0"/>
          <w:sz w:val="32"/>
          <w:szCs w:val="32"/>
          <w:lang w:val="en-US" w:eastAsia="zh-CN" w:bidi="ar-SA"/>
        </w:rPr>
      </w:pPr>
      <w:r>
        <w:rPr>
          <w:rFonts w:hint="eastAsia" w:ascii="仿宋_GB2312" w:hAnsi="仿宋_GB2312" w:eastAsia="仿宋_GB2312" w:cs="仿宋_GB2312"/>
          <w:b/>
          <w:bCs/>
          <w:kern w:val="0"/>
          <w:sz w:val="32"/>
          <w:szCs w:val="32"/>
          <w:lang w:val="en-US" w:eastAsia="zh-CN" w:bidi="ar-SA"/>
        </w:rPr>
        <w:t>2、评价指标体系</w:t>
      </w:r>
    </w:p>
    <w:p w14:paraId="694AD42B">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绩效评价框架是开展绩效评价的核心。绩效评价框架包括评价准则、关键评价问题、评价指标、数据来源、数据收集方法等。指标体系建立过程如下：</w:t>
      </w:r>
    </w:p>
    <w:p w14:paraId="74D65A41">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（1）确定评价指标</w:t>
      </w:r>
    </w:p>
    <w:p w14:paraId="47BE48B4">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采用层次分析法，建立评价指标体系。绩效评价将指标分为项目决策指标、项目过程指标、项目产出指标、项目效益指标四个维度，最终形成一个由多个相互联系的指标组成的多层次指标体系。</w:t>
      </w:r>
    </w:p>
    <w:p w14:paraId="4F37A979">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（2）确定权重</w:t>
      </w:r>
    </w:p>
    <w:p w14:paraId="0A8B96F2">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rPr>
          <w:rFonts w:hint="eastAsia" w:eastAsia="仿宋_GB2312"/>
          <w:b w:val="0"/>
          <w:bCs w:val="0"/>
          <w:sz w:val="32"/>
          <w:szCs w:val="32"/>
          <w:lang w:val="en-US" w:eastAsia="zh-CN"/>
        </w:rPr>
      </w:pPr>
      <w:r>
        <w:rPr>
          <w:rFonts w:hint="eastAsia" w:ascii="仿宋_GB2312" w:hAnsi="仿宋_GB2312" w:eastAsia="仿宋_GB2312" w:cs="仿宋_GB2312"/>
          <w:kern w:val="0"/>
          <w:sz w:val="32"/>
          <w:szCs w:val="32"/>
          <w:lang w:val="en-US" w:eastAsia="zh-CN"/>
        </w:rPr>
        <w:t>确定各个指标相对于项目总体绩效的权重分值。在绩效评价指标体系中，项目决策权重</w:t>
      </w:r>
      <w:r>
        <w:rPr>
          <w:rFonts w:hint="eastAsia" w:eastAsia="仿宋_GB2312"/>
          <w:b w:val="0"/>
          <w:bCs w:val="0"/>
          <w:sz w:val="32"/>
          <w:szCs w:val="32"/>
          <w:lang w:val="en-US" w:eastAsia="zh-CN"/>
        </w:rPr>
        <w:t>为5分，项目过程权重为5分，项目产出权重为50分，项目效益权重为40分。</w:t>
      </w:r>
    </w:p>
    <w:p w14:paraId="24B86998">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（3）确定指标标准值</w:t>
      </w:r>
    </w:p>
    <w:p w14:paraId="5ADEB6E8">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rPr>
          <w:rFonts w:hint="eastAsia" w:eastAsia="仿宋_GB2312"/>
          <w:b w:val="0"/>
          <w:bCs w:val="0"/>
          <w:sz w:val="32"/>
          <w:szCs w:val="32"/>
          <w:lang w:val="en-US" w:eastAsia="zh-CN"/>
        </w:rPr>
      </w:pPr>
      <w:r>
        <w:rPr>
          <w:rFonts w:hint="eastAsia" w:eastAsia="仿宋_GB2312"/>
          <w:b w:val="0"/>
          <w:bCs w:val="0"/>
          <w:sz w:val="32"/>
          <w:szCs w:val="32"/>
          <w:lang w:val="en-US" w:eastAsia="zh-CN"/>
        </w:rPr>
        <w:t>指标标准值是绩效评价指标的尺度，既要反映同类项目的先进水平，又要符合项目的实际绩效水平。具体采用计划标准等确定此次绩效评价指标标准值。</w:t>
      </w:r>
    </w:p>
    <w:p w14:paraId="53C8BC19">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rPr>
          <w:rFonts w:hint="eastAsia" w:eastAsia="仿宋_GB2312"/>
          <w:b w:val="0"/>
          <w:bCs w:val="0"/>
          <w:sz w:val="32"/>
          <w:szCs w:val="32"/>
          <w:lang w:val="en-US" w:eastAsia="zh-CN"/>
        </w:rPr>
      </w:pPr>
      <w:r>
        <w:rPr>
          <w:rFonts w:hint="eastAsia" w:eastAsia="仿宋_GB2312"/>
          <w:b w:val="0"/>
          <w:bCs w:val="0"/>
          <w:sz w:val="32"/>
          <w:szCs w:val="32"/>
          <w:lang w:val="en-US" w:eastAsia="zh-CN"/>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6978505A">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rPr>
          <w:rFonts w:hint="eastAsia" w:eastAsia="仿宋_GB2312"/>
          <w:b w:val="0"/>
          <w:bCs w:val="0"/>
          <w:sz w:val="32"/>
          <w:szCs w:val="32"/>
          <w:lang w:val="en-US" w:eastAsia="zh-CN"/>
        </w:rPr>
      </w:pPr>
      <w:r>
        <w:rPr>
          <w:rFonts w:hint="eastAsia" w:eastAsia="仿宋_GB2312"/>
          <w:b w:val="0"/>
          <w:bCs w:val="0"/>
          <w:sz w:val="32"/>
          <w:szCs w:val="32"/>
          <w:lang w:val="en-US" w:eastAsia="zh-CN"/>
        </w:rPr>
        <w:t>具体评价指标体系详情见附件1</w:t>
      </w:r>
    </w:p>
    <w:p w14:paraId="0892E38C">
      <w:pPr>
        <w:pStyle w:val="18"/>
        <w:pageBreakBefore w:val="0"/>
        <w:widowControl w:val="0"/>
        <w:kinsoku/>
        <w:wordWrap/>
        <w:overflowPunct/>
        <w:topLinePunct w:val="0"/>
        <w:autoSpaceDE/>
        <w:autoSpaceDN/>
        <w:bidi w:val="0"/>
        <w:snapToGrid w:val="0"/>
        <w:spacing w:before="0" w:after="0" w:line="560" w:lineRule="exact"/>
        <w:ind w:left="0" w:leftChars="0" w:firstLine="643" w:firstLineChars="200"/>
        <w:jc w:val="both"/>
        <w:outlineLvl w:val="9"/>
        <w:rPr>
          <w:rFonts w:hint="eastAsia" w:ascii="仿宋_GB2312" w:hAnsi="仿宋_GB2312" w:eastAsia="仿宋_GB2312" w:cs="仿宋_GB2312"/>
          <w:b/>
          <w:bCs/>
          <w:kern w:val="0"/>
          <w:sz w:val="32"/>
          <w:szCs w:val="32"/>
          <w:lang w:val="en-US" w:eastAsia="zh-CN" w:bidi="ar-SA"/>
        </w:rPr>
      </w:pPr>
      <w:r>
        <w:rPr>
          <w:rFonts w:hint="eastAsia" w:ascii="仿宋_GB2312" w:hAnsi="仿宋_GB2312" w:eastAsia="仿宋_GB2312" w:cs="仿宋_GB2312"/>
          <w:b/>
          <w:bCs/>
          <w:kern w:val="0"/>
          <w:sz w:val="32"/>
          <w:szCs w:val="32"/>
          <w:lang w:val="en-US" w:eastAsia="zh-CN" w:bidi="ar-SA"/>
        </w:rPr>
        <w:t>3、绩效评价方法</w:t>
      </w:r>
    </w:p>
    <w:p w14:paraId="3B5A6BFA">
      <w:pPr>
        <w:pageBreakBefore w:val="0"/>
        <w:kinsoku/>
        <w:wordWrap/>
        <w:overflowPunct/>
        <w:topLinePunct w:val="0"/>
        <w:autoSpaceDE/>
        <w:autoSpaceDN/>
        <w:bidi w:val="0"/>
        <w:snapToGrid w:val="0"/>
        <w:spacing w:line="560" w:lineRule="exact"/>
        <w:ind w:left="0" w:leftChars="0" w:firstLine="640" w:firstLineChars="200"/>
        <w:rPr>
          <w:rFonts w:hint="eastAsia"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b w:val="0"/>
          <w:bCs w:val="0"/>
          <w:kern w:val="0"/>
          <w:sz w:val="32"/>
          <w:szCs w:val="32"/>
          <w:lang w:val="en-US" w:eastAsia="zh-CN" w:bidi="ar-SA"/>
        </w:rPr>
        <w:t>绩效评价从项目决策、项目过程、项目产出、项目效益四个维度进行评价。评价对象为项目目标实施情况，  评价核心为资金的支出完成情况和项目的产出效益。</w:t>
      </w:r>
    </w:p>
    <w:p w14:paraId="1F7C57A2">
      <w:pPr>
        <w:pageBreakBefore w:val="0"/>
        <w:kinsoku/>
        <w:wordWrap/>
        <w:overflowPunct/>
        <w:topLinePunct w:val="0"/>
        <w:autoSpaceDE/>
        <w:autoSpaceDN/>
        <w:bidi w:val="0"/>
        <w:snapToGrid w:val="0"/>
        <w:spacing w:line="560" w:lineRule="exact"/>
        <w:ind w:left="0" w:leftChars="0" w:firstLine="640" w:firstLineChars="200"/>
        <w:rPr>
          <w:rFonts w:hint="eastAsia"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b w:val="0"/>
          <w:bCs w:val="0"/>
          <w:kern w:val="0"/>
          <w:sz w:val="32"/>
          <w:szCs w:val="32"/>
          <w:lang w:val="en-US" w:eastAsia="zh-CN" w:bidi="ar-SA"/>
        </w:rPr>
        <w:t>本次评价指标中，既有定性指标又有定量指标，各类指标因考核内容不同和客观标准不同存在较大差异，因此核定具体指标时采用了不同方法，具体评价方法如下：</w:t>
      </w:r>
    </w:p>
    <w:p w14:paraId="46633126">
      <w:pPr>
        <w:pageBreakBefore w:val="0"/>
        <w:kinsoku/>
        <w:wordWrap/>
        <w:overflowPunct/>
        <w:topLinePunct w:val="0"/>
        <w:autoSpaceDE/>
        <w:autoSpaceDN/>
        <w:bidi w:val="0"/>
        <w:snapToGrid w:val="0"/>
        <w:spacing w:line="560" w:lineRule="exact"/>
        <w:ind w:left="0" w:leftChars="0" w:firstLine="640" w:firstLineChars="200"/>
        <w:rPr>
          <w:rFonts w:hint="eastAsia"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b w:val="0"/>
          <w:bCs w:val="0"/>
          <w:kern w:val="0"/>
          <w:sz w:val="32"/>
          <w:szCs w:val="32"/>
          <w:lang w:val="en-US" w:eastAsia="zh-CN" w:bidi="ar-SA"/>
        </w:rPr>
        <w:t>（1）比较法</w:t>
      </w:r>
    </w:p>
    <w:p w14:paraId="36EE97D1">
      <w:pPr>
        <w:pageBreakBefore w:val="0"/>
        <w:kinsoku/>
        <w:wordWrap/>
        <w:overflowPunct/>
        <w:topLinePunct w:val="0"/>
        <w:autoSpaceDE/>
        <w:autoSpaceDN/>
        <w:bidi w:val="0"/>
        <w:snapToGrid w:val="0"/>
        <w:spacing w:line="560" w:lineRule="exact"/>
        <w:ind w:left="0" w:leftChars="0" w:firstLine="640" w:firstLineChars="200"/>
        <w:rPr>
          <w:rFonts w:hint="eastAsia"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b w:val="0"/>
          <w:bCs w:val="0"/>
          <w:kern w:val="0"/>
          <w:sz w:val="32"/>
          <w:szCs w:val="32"/>
          <w:lang w:val="en-US" w:eastAsia="zh-CN" w:bidi="ar-SA"/>
        </w:rPr>
        <w:t>通过对绩效目标与实施效果、历史与当期情况，综合分析绩效目标实现程度。对项目最终验收情况与年度绩效目标对比、预算资金执行情况等相关因素进行比较。</w:t>
      </w:r>
    </w:p>
    <w:p w14:paraId="7513978A">
      <w:pPr>
        <w:pageBreakBefore w:val="0"/>
        <w:kinsoku/>
        <w:wordWrap/>
        <w:overflowPunct/>
        <w:topLinePunct w:val="0"/>
        <w:autoSpaceDE/>
        <w:autoSpaceDN/>
        <w:bidi w:val="0"/>
        <w:snapToGrid w:val="0"/>
        <w:spacing w:line="560" w:lineRule="exact"/>
        <w:ind w:left="0" w:leftChars="0" w:firstLine="640" w:firstLineChars="200"/>
        <w:rPr>
          <w:rFonts w:hint="eastAsia"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b w:val="0"/>
          <w:bCs w:val="0"/>
          <w:kern w:val="0"/>
          <w:sz w:val="32"/>
          <w:szCs w:val="32"/>
          <w:lang w:val="en-US" w:eastAsia="zh-CN" w:bidi="ar-SA"/>
        </w:rPr>
        <w:t>（2）因素分析法</w:t>
      </w:r>
    </w:p>
    <w:p w14:paraId="021188D0">
      <w:pPr>
        <w:pageBreakBefore w:val="0"/>
        <w:kinsoku/>
        <w:wordWrap/>
        <w:overflowPunct/>
        <w:topLinePunct w:val="0"/>
        <w:autoSpaceDE/>
        <w:autoSpaceDN/>
        <w:bidi w:val="0"/>
        <w:snapToGrid w:val="0"/>
        <w:spacing w:line="560" w:lineRule="exact"/>
        <w:ind w:left="0" w:leftChars="0" w:firstLine="640" w:firstLineChars="200"/>
        <w:rPr>
          <w:rFonts w:hint="eastAsia"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b w:val="0"/>
          <w:bCs w:val="0"/>
          <w:kern w:val="0"/>
          <w:sz w:val="32"/>
          <w:szCs w:val="32"/>
          <w:lang w:val="en-US" w:eastAsia="zh-CN" w:bidi="ar-SA"/>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14:paraId="14FE52A7">
      <w:pPr>
        <w:pStyle w:val="18"/>
        <w:pageBreakBefore w:val="0"/>
        <w:widowControl w:val="0"/>
        <w:kinsoku/>
        <w:wordWrap/>
        <w:overflowPunct/>
        <w:topLinePunct w:val="0"/>
        <w:autoSpaceDE/>
        <w:autoSpaceDN/>
        <w:bidi w:val="0"/>
        <w:snapToGrid w:val="0"/>
        <w:spacing w:before="0" w:after="0" w:line="560" w:lineRule="exact"/>
        <w:ind w:left="0" w:leftChars="0" w:firstLine="643" w:firstLineChars="200"/>
        <w:jc w:val="both"/>
        <w:outlineLvl w:val="9"/>
        <w:rPr>
          <w:rFonts w:hint="eastAsia" w:ascii="仿宋_GB2312" w:hAnsi="仿宋_GB2312" w:eastAsia="仿宋_GB2312" w:cs="仿宋_GB2312"/>
          <w:b/>
          <w:bCs/>
          <w:kern w:val="0"/>
          <w:sz w:val="32"/>
          <w:szCs w:val="32"/>
          <w:lang w:val="en-US" w:eastAsia="zh-CN" w:bidi="ar-SA"/>
        </w:rPr>
      </w:pPr>
      <w:r>
        <w:rPr>
          <w:rFonts w:hint="eastAsia" w:ascii="仿宋_GB2312" w:hAnsi="仿宋_GB2312" w:eastAsia="仿宋_GB2312" w:cs="仿宋_GB2312"/>
          <w:b/>
          <w:bCs/>
          <w:kern w:val="0"/>
          <w:sz w:val="32"/>
          <w:szCs w:val="32"/>
          <w:lang w:val="en-US" w:eastAsia="zh-CN" w:bidi="ar-SA"/>
        </w:rPr>
        <w:t>4、评价标准</w:t>
      </w:r>
    </w:p>
    <w:p w14:paraId="1D6F3E85">
      <w:pPr>
        <w:pageBreakBefore w:val="0"/>
        <w:kinsoku/>
        <w:wordWrap/>
        <w:overflowPunct/>
        <w:topLinePunct w:val="0"/>
        <w:autoSpaceDE/>
        <w:autoSpaceDN/>
        <w:bidi w:val="0"/>
        <w:snapToGrid w:val="0"/>
        <w:spacing w:line="560" w:lineRule="exact"/>
        <w:ind w:left="0" w:leftChars="0" w:firstLine="640" w:firstLineChars="200"/>
        <w:rPr>
          <w:rFonts w:hint="eastAsia"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b w:val="0"/>
          <w:bCs w:val="0"/>
          <w:kern w:val="0"/>
          <w:sz w:val="32"/>
          <w:szCs w:val="32"/>
          <w:lang w:val="en-US" w:eastAsia="zh-CN" w:bidi="ar-SA"/>
        </w:rPr>
        <w:t>绩效评价标准通常包括计划标准、行业标准、历史标准等，用于对绩效指标完成情况进行比较。本次评价主要采用了计划标准和行业标准。</w:t>
      </w:r>
    </w:p>
    <w:p w14:paraId="20886BE4">
      <w:pPr>
        <w:pStyle w:val="18"/>
        <w:pageBreakBefore w:val="0"/>
        <w:numPr>
          <w:ilvl w:val="0"/>
          <w:numId w:val="2"/>
        </w:numPr>
        <w:kinsoku/>
        <w:wordWrap/>
        <w:overflowPunct/>
        <w:topLinePunct w:val="0"/>
        <w:autoSpaceDE/>
        <w:autoSpaceDN/>
        <w:bidi w:val="0"/>
        <w:snapToGrid w:val="0"/>
        <w:spacing w:before="0" w:after="0" w:line="560" w:lineRule="exact"/>
        <w:ind w:left="0" w:leftChars="0" w:firstLine="711"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14:paraId="7ACC005C">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按照《项目支出绩效评价管理办法》要求，成立绩效自评小组。绩效自评小组对自治区招商引资专项资金开展的各项工作进展情况进行汇总，收集绩效评价相关数据资料，选择评价方法，制定评价标准。绩效自评小组对资金使用情况及绩效目标完成情况进行综合分析，得出结论。根据绩效自评小组得出的最终结论，编写自治区招商引资专项资金绩效自评报告。</w:t>
      </w:r>
    </w:p>
    <w:p w14:paraId="399B2247">
      <w:pPr>
        <w:keepNext w:val="0"/>
        <w:keepLines w:val="0"/>
        <w:pageBreakBefore w:val="0"/>
        <w:widowControl w:val="0"/>
        <w:numPr>
          <w:ilvl w:val="0"/>
          <w:numId w:val="3"/>
        </w:numPr>
        <w:kinsoku/>
        <w:wordWrap/>
        <w:overflowPunct/>
        <w:topLinePunct w:val="0"/>
        <w:autoSpaceDE/>
        <w:autoSpaceDN/>
        <w:bidi w:val="0"/>
        <w:adjustRightInd/>
        <w:snapToGrid w:val="0"/>
        <w:spacing w:line="500" w:lineRule="exact"/>
        <w:ind w:left="0" w:leftChars="0" w:firstLine="640" w:firstLineChars="200"/>
        <w:textAlignment w:val="auto"/>
        <w:rPr>
          <w:rFonts w:eastAsia="黑体"/>
          <w:sz w:val="32"/>
          <w:szCs w:val="32"/>
        </w:rPr>
      </w:pPr>
      <w:r>
        <w:rPr>
          <w:rFonts w:eastAsia="黑体"/>
          <w:sz w:val="32"/>
          <w:szCs w:val="32"/>
        </w:rPr>
        <w:t>综合评价情况及评价结论（附相关评分表）</w:t>
      </w:r>
    </w:p>
    <w:p w14:paraId="42859F5D">
      <w:pPr>
        <w:pStyle w:val="18"/>
        <w:keepNext w:val="0"/>
        <w:keepLines w:val="0"/>
        <w:pageBreakBefore w:val="0"/>
        <w:widowControl w:val="0"/>
        <w:kinsoku/>
        <w:wordWrap/>
        <w:overflowPunct/>
        <w:topLinePunct w:val="0"/>
        <w:autoSpaceDE/>
        <w:autoSpaceDN/>
        <w:bidi w:val="0"/>
        <w:adjustRightInd/>
        <w:snapToGrid w:val="0"/>
        <w:spacing w:before="0" w:after="0" w:line="520" w:lineRule="exact"/>
        <w:ind w:left="0" w:leftChars="0" w:firstLine="640" w:firstLineChars="200"/>
        <w:jc w:val="both"/>
        <w:textAlignment w:val="auto"/>
        <w:outlineLvl w:val="9"/>
        <w:rPr>
          <w:rFonts w:hint="eastAsia" w:ascii="Times New Roman" w:hAnsi="Times New Roman" w:eastAsia="仿宋_GB2312" w:cs="Times New Roman"/>
          <w:b w:val="0"/>
          <w:bCs w:val="0"/>
          <w:kern w:val="2"/>
          <w:sz w:val="32"/>
          <w:szCs w:val="32"/>
          <w:lang w:val="en-US" w:eastAsia="zh-CN" w:bidi="ar-SA"/>
        </w:rPr>
      </w:pPr>
      <w:r>
        <w:rPr>
          <w:rFonts w:ascii="Times New Roman" w:hAnsi="Times New Roman" w:eastAsia="仿宋_GB2312"/>
          <w:b w:val="0"/>
          <w:bCs w:val="0"/>
        </w:rPr>
        <w:t>对</w:t>
      </w:r>
      <w:r>
        <w:rPr>
          <w:rFonts w:hint="eastAsia" w:ascii="仿宋_GB2312" w:hAnsi="仿宋_GB2312" w:eastAsia="仿宋_GB2312" w:cs="仿宋_GB2312"/>
          <w:b w:val="0"/>
          <w:bCs w:val="0"/>
          <w:kern w:val="0"/>
          <w:sz w:val="32"/>
          <w:szCs w:val="32"/>
          <w:lang w:val="en-US" w:eastAsia="zh-CN" w:bidi="ar-SA"/>
        </w:rPr>
        <w:t>项目进行客观评价，最终评分结果：</w:t>
      </w:r>
      <w:r>
        <w:rPr>
          <w:rFonts w:hint="eastAsia" w:ascii="Times New Roman" w:hAnsi="Times New Roman" w:eastAsia="仿宋_GB2312" w:cs="Times New Roman"/>
          <w:b w:val="0"/>
          <w:bCs w:val="0"/>
          <w:kern w:val="2"/>
          <w:sz w:val="32"/>
          <w:szCs w:val="32"/>
          <w:lang w:val="en-US" w:eastAsia="zh-CN" w:bidi="ar-SA"/>
        </w:rPr>
        <w:t>总得分为100分，属于“优”。其中，项目决策类指标权重为20分，得分为20分，得分率为100%。项目过程类指标权重为20分，得分为20分，得分率为100%。项目产出类指标权重为40分，得分为20分，得分率为100%。项目效益类指标权重为20分，得分为20分，得分率为100%。</w:t>
      </w:r>
    </w:p>
    <w:p w14:paraId="24779D8E">
      <w:pPr>
        <w:pStyle w:val="18"/>
        <w:pageBreakBefore w:val="0"/>
        <w:kinsoku/>
        <w:wordWrap/>
        <w:overflowPunct/>
        <w:topLinePunct w:val="0"/>
        <w:autoSpaceDE/>
        <w:autoSpaceDN/>
        <w:bidi w:val="0"/>
        <w:snapToGrid w:val="0"/>
        <w:spacing w:before="0" w:after="0" w:line="560" w:lineRule="exact"/>
        <w:ind w:left="0" w:leftChars="0"/>
        <w:jc w:val="both"/>
        <w:rPr>
          <w:rFonts w:ascii="Times New Roman" w:hAnsi="Times New Roman" w:eastAsia="仿宋_GB2312"/>
          <w:sz w:val="30"/>
          <w:szCs w:val="30"/>
        </w:rPr>
      </w:pPr>
      <w:r>
        <w:rPr>
          <w:rFonts w:ascii="Times New Roman" w:hAnsi="Times New Roman" w:eastAsia="仿宋_GB2312"/>
          <w:sz w:val="30"/>
          <w:szCs w:val="30"/>
        </w:rPr>
        <w:t>表1综合评分表</w:t>
      </w:r>
    </w:p>
    <w:tbl>
      <w:tblPr>
        <w:tblStyle w:val="21"/>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14:paraId="252A87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14:paraId="336F7754">
            <w:pPr>
              <w:pageBreakBefore w:val="0"/>
              <w:widowControl/>
              <w:kinsoku/>
              <w:wordWrap/>
              <w:overflowPunct/>
              <w:topLinePunct w:val="0"/>
              <w:autoSpaceDE/>
              <w:autoSpaceDN/>
              <w:bidi w:val="0"/>
              <w:snapToGrid w:val="0"/>
              <w:spacing w:line="560" w:lineRule="exact"/>
              <w:ind w:left="0" w:leftChars="0"/>
              <w:rPr>
                <w:b/>
                <w:bCs/>
                <w:color w:val="000000"/>
                <w:kern w:val="0"/>
                <w:sz w:val="22"/>
                <w:szCs w:val="22"/>
              </w:rPr>
            </w:pPr>
            <w:r>
              <w:rPr>
                <w:b/>
                <w:bCs/>
                <w:color w:val="000000"/>
                <w:kern w:val="0"/>
                <w:sz w:val="22"/>
                <w:szCs w:val="22"/>
              </w:rPr>
              <w:t>一级指标</w:t>
            </w:r>
          </w:p>
        </w:tc>
        <w:tc>
          <w:tcPr>
            <w:tcW w:w="990" w:type="dxa"/>
            <w:shd w:val="clear" w:color="auto" w:fill="BFBFBF"/>
            <w:vAlign w:val="center"/>
          </w:tcPr>
          <w:p w14:paraId="1341604D">
            <w:pPr>
              <w:pageBreakBefore w:val="0"/>
              <w:widowControl/>
              <w:kinsoku/>
              <w:wordWrap/>
              <w:overflowPunct/>
              <w:topLinePunct w:val="0"/>
              <w:autoSpaceDE/>
              <w:autoSpaceDN/>
              <w:bidi w:val="0"/>
              <w:snapToGrid w:val="0"/>
              <w:spacing w:line="560" w:lineRule="exact"/>
              <w:ind w:left="0" w:leftChars="0"/>
              <w:jc w:val="center"/>
              <w:rPr>
                <w:b/>
                <w:bCs/>
                <w:color w:val="000000"/>
                <w:kern w:val="0"/>
                <w:sz w:val="22"/>
                <w:szCs w:val="22"/>
              </w:rPr>
            </w:pPr>
            <w:r>
              <w:rPr>
                <w:b/>
                <w:bCs/>
                <w:color w:val="000000"/>
                <w:kern w:val="0"/>
                <w:sz w:val="22"/>
                <w:szCs w:val="22"/>
              </w:rPr>
              <w:t>分值</w:t>
            </w:r>
          </w:p>
        </w:tc>
        <w:tc>
          <w:tcPr>
            <w:tcW w:w="1283" w:type="dxa"/>
            <w:shd w:val="clear" w:color="auto" w:fill="BFBFBF"/>
            <w:vAlign w:val="center"/>
          </w:tcPr>
          <w:p w14:paraId="4337A949">
            <w:pPr>
              <w:pageBreakBefore w:val="0"/>
              <w:widowControl/>
              <w:kinsoku/>
              <w:wordWrap/>
              <w:overflowPunct/>
              <w:topLinePunct w:val="0"/>
              <w:autoSpaceDE/>
              <w:autoSpaceDN/>
              <w:bidi w:val="0"/>
              <w:snapToGrid w:val="0"/>
              <w:spacing w:line="560" w:lineRule="exact"/>
              <w:ind w:left="0" w:leftChars="0"/>
              <w:jc w:val="center"/>
              <w:rPr>
                <w:b/>
                <w:bCs/>
                <w:color w:val="000000"/>
                <w:kern w:val="0"/>
                <w:sz w:val="22"/>
                <w:szCs w:val="22"/>
              </w:rPr>
            </w:pPr>
            <w:r>
              <w:rPr>
                <w:b/>
                <w:bCs/>
                <w:color w:val="000000"/>
                <w:kern w:val="0"/>
                <w:sz w:val="22"/>
                <w:szCs w:val="22"/>
              </w:rPr>
              <w:t>二级指标</w:t>
            </w:r>
          </w:p>
        </w:tc>
        <w:tc>
          <w:tcPr>
            <w:tcW w:w="1707" w:type="dxa"/>
            <w:shd w:val="clear" w:color="auto" w:fill="BFBFBF"/>
            <w:vAlign w:val="center"/>
          </w:tcPr>
          <w:p w14:paraId="3CFDC481">
            <w:pPr>
              <w:pageBreakBefore w:val="0"/>
              <w:widowControl/>
              <w:kinsoku/>
              <w:wordWrap/>
              <w:overflowPunct/>
              <w:topLinePunct w:val="0"/>
              <w:autoSpaceDE/>
              <w:autoSpaceDN/>
              <w:bidi w:val="0"/>
              <w:snapToGrid w:val="0"/>
              <w:spacing w:line="560" w:lineRule="exact"/>
              <w:ind w:left="0" w:leftChars="0"/>
              <w:jc w:val="center"/>
              <w:rPr>
                <w:b/>
                <w:bCs/>
                <w:color w:val="000000"/>
                <w:kern w:val="0"/>
                <w:sz w:val="22"/>
                <w:szCs w:val="22"/>
              </w:rPr>
            </w:pPr>
            <w:r>
              <w:rPr>
                <w:b/>
                <w:bCs/>
                <w:color w:val="000000"/>
                <w:kern w:val="0"/>
                <w:sz w:val="22"/>
                <w:szCs w:val="22"/>
              </w:rPr>
              <w:t>三级指标</w:t>
            </w:r>
          </w:p>
        </w:tc>
        <w:tc>
          <w:tcPr>
            <w:tcW w:w="727" w:type="dxa"/>
            <w:shd w:val="clear" w:color="auto" w:fill="BFBFBF"/>
            <w:vAlign w:val="center"/>
          </w:tcPr>
          <w:p w14:paraId="7137B994">
            <w:pPr>
              <w:pageBreakBefore w:val="0"/>
              <w:widowControl/>
              <w:kinsoku/>
              <w:wordWrap/>
              <w:overflowPunct/>
              <w:topLinePunct w:val="0"/>
              <w:autoSpaceDE/>
              <w:autoSpaceDN/>
              <w:bidi w:val="0"/>
              <w:snapToGrid w:val="0"/>
              <w:spacing w:line="560" w:lineRule="exact"/>
              <w:ind w:left="0" w:leftChars="0"/>
              <w:jc w:val="center"/>
              <w:rPr>
                <w:b/>
                <w:bCs/>
                <w:color w:val="000000"/>
                <w:kern w:val="0"/>
                <w:sz w:val="22"/>
                <w:szCs w:val="22"/>
              </w:rPr>
            </w:pPr>
            <w:r>
              <w:rPr>
                <w:b/>
                <w:bCs/>
                <w:color w:val="000000"/>
                <w:kern w:val="0"/>
                <w:sz w:val="22"/>
                <w:szCs w:val="22"/>
              </w:rPr>
              <w:t>权重</w:t>
            </w:r>
          </w:p>
        </w:tc>
        <w:tc>
          <w:tcPr>
            <w:tcW w:w="1044" w:type="dxa"/>
            <w:shd w:val="clear" w:color="auto" w:fill="BFBFBF"/>
            <w:vAlign w:val="center"/>
          </w:tcPr>
          <w:p w14:paraId="4A451049">
            <w:pPr>
              <w:pageBreakBefore w:val="0"/>
              <w:widowControl/>
              <w:tabs>
                <w:tab w:val="left" w:pos="1333"/>
                <w:tab w:val="center" w:pos="3623"/>
              </w:tabs>
              <w:kinsoku/>
              <w:wordWrap/>
              <w:overflowPunct/>
              <w:topLinePunct w:val="0"/>
              <w:autoSpaceDE/>
              <w:autoSpaceDN/>
              <w:bidi w:val="0"/>
              <w:snapToGrid w:val="0"/>
              <w:spacing w:line="560" w:lineRule="exact"/>
              <w:ind w:left="0" w:leftChars="0"/>
              <w:jc w:val="center"/>
              <w:rPr>
                <w:b/>
                <w:bCs/>
                <w:color w:val="000000"/>
                <w:kern w:val="0"/>
                <w:sz w:val="22"/>
                <w:szCs w:val="22"/>
              </w:rPr>
            </w:pPr>
            <w:r>
              <w:rPr>
                <w:b/>
                <w:bCs/>
                <w:color w:val="000000"/>
                <w:kern w:val="0"/>
                <w:sz w:val="22"/>
                <w:szCs w:val="22"/>
              </w:rPr>
              <w:t>目标值</w:t>
            </w:r>
          </w:p>
        </w:tc>
        <w:tc>
          <w:tcPr>
            <w:tcW w:w="924" w:type="dxa"/>
            <w:shd w:val="clear" w:color="auto" w:fill="BFBFBF"/>
            <w:vAlign w:val="center"/>
          </w:tcPr>
          <w:p w14:paraId="1CC85E42">
            <w:pPr>
              <w:pageBreakBefore w:val="0"/>
              <w:widowControl/>
              <w:tabs>
                <w:tab w:val="left" w:pos="1333"/>
                <w:tab w:val="center" w:pos="3623"/>
              </w:tabs>
              <w:kinsoku/>
              <w:wordWrap/>
              <w:overflowPunct/>
              <w:topLinePunct w:val="0"/>
              <w:autoSpaceDE/>
              <w:autoSpaceDN/>
              <w:bidi w:val="0"/>
              <w:snapToGrid w:val="0"/>
              <w:spacing w:line="560" w:lineRule="exact"/>
              <w:ind w:left="0" w:leftChars="0"/>
              <w:jc w:val="center"/>
              <w:rPr>
                <w:b/>
                <w:bCs/>
                <w:color w:val="000000"/>
                <w:kern w:val="0"/>
                <w:sz w:val="22"/>
                <w:szCs w:val="22"/>
              </w:rPr>
            </w:pPr>
            <w:r>
              <w:rPr>
                <w:b/>
                <w:bCs/>
                <w:color w:val="000000"/>
                <w:kern w:val="0"/>
                <w:sz w:val="22"/>
                <w:szCs w:val="22"/>
              </w:rPr>
              <w:t>业绩值</w:t>
            </w:r>
          </w:p>
        </w:tc>
        <w:tc>
          <w:tcPr>
            <w:tcW w:w="1215" w:type="dxa"/>
            <w:shd w:val="clear" w:color="auto" w:fill="BFBFBF"/>
            <w:vAlign w:val="center"/>
          </w:tcPr>
          <w:p w14:paraId="08C1E401">
            <w:pPr>
              <w:pageBreakBefore w:val="0"/>
              <w:widowControl/>
              <w:tabs>
                <w:tab w:val="left" w:pos="1333"/>
                <w:tab w:val="center" w:pos="3623"/>
              </w:tabs>
              <w:kinsoku/>
              <w:wordWrap/>
              <w:overflowPunct/>
              <w:topLinePunct w:val="0"/>
              <w:autoSpaceDE/>
              <w:autoSpaceDN/>
              <w:bidi w:val="0"/>
              <w:snapToGrid w:val="0"/>
              <w:spacing w:line="560" w:lineRule="exact"/>
              <w:ind w:left="0" w:leftChars="0"/>
              <w:jc w:val="center"/>
              <w:rPr>
                <w:b/>
                <w:bCs/>
                <w:color w:val="000000"/>
                <w:kern w:val="0"/>
                <w:sz w:val="22"/>
                <w:szCs w:val="22"/>
              </w:rPr>
            </w:pPr>
            <w:r>
              <w:rPr>
                <w:b/>
                <w:bCs/>
                <w:color w:val="000000"/>
                <w:kern w:val="0"/>
                <w:sz w:val="22"/>
                <w:szCs w:val="22"/>
              </w:rPr>
              <w:t>得分率</w:t>
            </w:r>
          </w:p>
        </w:tc>
        <w:tc>
          <w:tcPr>
            <w:tcW w:w="960" w:type="dxa"/>
            <w:shd w:val="clear" w:color="auto" w:fill="BFBFBF"/>
            <w:vAlign w:val="center"/>
          </w:tcPr>
          <w:p w14:paraId="6B967EEA">
            <w:pPr>
              <w:pageBreakBefore w:val="0"/>
              <w:widowControl/>
              <w:tabs>
                <w:tab w:val="left" w:pos="1333"/>
                <w:tab w:val="center" w:pos="3623"/>
              </w:tabs>
              <w:kinsoku/>
              <w:wordWrap/>
              <w:overflowPunct/>
              <w:topLinePunct w:val="0"/>
              <w:autoSpaceDE/>
              <w:autoSpaceDN/>
              <w:bidi w:val="0"/>
              <w:snapToGrid w:val="0"/>
              <w:spacing w:line="560" w:lineRule="exact"/>
              <w:ind w:left="0" w:leftChars="0"/>
              <w:jc w:val="center"/>
              <w:rPr>
                <w:b/>
                <w:bCs/>
                <w:color w:val="000000"/>
                <w:kern w:val="0"/>
                <w:sz w:val="22"/>
                <w:szCs w:val="22"/>
              </w:rPr>
            </w:pPr>
            <w:r>
              <w:rPr>
                <w:b/>
                <w:bCs/>
                <w:color w:val="000000"/>
                <w:kern w:val="0"/>
                <w:sz w:val="22"/>
                <w:szCs w:val="22"/>
              </w:rPr>
              <w:t>得分</w:t>
            </w:r>
          </w:p>
        </w:tc>
      </w:tr>
      <w:tr w14:paraId="38FA9A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37" w:hRule="atLeast"/>
        </w:trPr>
        <w:tc>
          <w:tcPr>
            <w:tcW w:w="1104" w:type="dxa"/>
            <w:vMerge w:val="restart"/>
            <w:shd w:val="clear" w:color="auto" w:fill="FFFFFF"/>
            <w:vAlign w:val="center"/>
          </w:tcPr>
          <w:p w14:paraId="346D5AFC">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决策</w:t>
            </w:r>
          </w:p>
          <w:p w14:paraId="074D794E">
            <w:pPr>
              <w:pageBreakBefore w:val="0"/>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　</w:t>
            </w:r>
          </w:p>
          <w:p w14:paraId="0B3173D4">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　</w:t>
            </w:r>
          </w:p>
        </w:tc>
        <w:tc>
          <w:tcPr>
            <w:tcW w:w="990" w:type="dxa"/>
            <w:vMerge w:val="restart"/>
            <w:shd w:val="clear" w:color="auto" w:fill="FFFFFF"/>
            <w:vAlign w:val="center"/>
          </w:tcPr>
          <w:p w14:paraId="0946812A">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14:paraId="62D55A39">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项目立项　</w:t>
            </w:r>
          </w:p>
        </w:tc>
        <w:tc>
          <w:tcPr>
            <w:tcW w:w="1707" w:type="dxa"/>
            <w:shd w:val="clear" w:color="auto" w:fill="FFFFFF"/>
            <w:vAlign w:val="center"/>
          </w:tcPr>
          <w:p w14:paraId="4D560BD3">
            <w:pPr>
              <w:pageBreakBefore w:val="0"/>
              <w:widowControl/>
              <w:kinsoku/>
              <w:wordWrap/>
              <w:overflowPunct/>
              <w:topLinePunct w:val="0"/>
              <w:autoSpaceDE/>
              <w:autoSpaceDN/>
              <w:bidi w:val="0"/>
              <w:snapToGrid w:val="0"/>
              <w:spacing w:line="560" w:lineRule="exact"/>
              <w:ind w:left="0" w:leftChars="0"/>
              <w:jc w:val="center"/>
              <w:rPr>
                <w:color w:val="000000"/>
                <w:kern w:val="0"/>
                <w:sz w:val="18"/>
                <w:szCs w:val="18"/>
              </w:rPr>
            </w:pPr>
            <w:r>
              <w:rPr>
                <w:color w:val="000000"/>
                <w:kern w:val="0"/>
                <w:sz w:val="18"/>
                <w:szCs w:val="18"/>
              </w:rPr>
              <w:t>立项依据充分性</w:t>
            </w:r>
          </w:p>
        </w:tc>
        <w:tc>
          <w:tcPr>
            <w:tcW w:w="727" w:type="dxa"/>
            <w:shd w:val="clear" w:color="auto" w:fill="FFFFFF"/>
            <w:vAlign w:val="center"/>
          </w:tcPr>
          <w:p w14:paraId="32C533F5">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14:paraId="2C2CCEC0">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充分</w:t>
            </w:r>
          </w:p>
        </w:tc>
        <w:tc>
          <w:tcPr>
            <w:tcW w:w="924" w:type="dxa"/>
            <w:shd w:val="clear" w:color="auto" w:fill="FFFFFF"/>
            <w:vAlign w:val="center"/>
          </w:tcPr>
          <w:p w14:paraId="71A02E86">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充分</w:t>
            </w:r>
          </w:p>
        </w:tc>
        <w:tc>
          <w:tcPr>
            <w:tcW w:w="1215" w:type="dxa"/>
            <w:shd w:val="clear" w:color="auto" w:fill="FFFFFF"/>
            <w:vAlign w:val="center"/>
          </w:tcPr>
          <w:p w14:paraId="14C4B1F2">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highlight w:val="yellow"/>
              </w:rPr>
            </w:pPr>
            <w:r>
              <w:rPr>
                <w:color w:val="000000"/>
                <w:kern w:val="0"/>
                <w:sz w:val="22"/>
                <w:szCs w:val="22"/>
              </w:rPr>
              <w:t>100%</w:t>
            </w:r>
          </w:p>
        </w:tc>
        <w:tc>
          <w:tcPr>
            <w:tcW w:w="960" w:type="dxa"/>
            <w:shd w:val="clear" w:color="auto" w:fill="FFFFFF"/>
            <w:vAlign w:val="center"/>
          </w:tcPr>
          <w:p w14:paraId="2F1A4BE5">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highlight w:val="yellow"/>
              </w:rPr>
            </w:pPr>
            <w:r>
              <w:rPr>
                <w:rFonts w:hint="eastAsia"/>
                <w:color w:val="000000"/>
                <w:kern w:val="0"/>
                <w:sz w:val="22"/>
                <w:szCs w:val="22"/>
              </w:rPr>
              <w:t>3</w:t>
            </w:r>
          </w:p>
        </w:tc>
      </w:tr>
      <w:tr w14:paraId="56226C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7" w:hRule="atLeast"/>
        </w:trPr>
        <w:tc>
          <w:tcPr>
            <w:tcW w:w="1104" w:type="dxa"/>
            <w:vMerge w:val="continue"/>
            <w:shd w:val="clear" w:color="auto" w:fill="FFFFFF"/>
            <w:vAlign w:val="center"/>
          </w:tcPr>
          <w:p w14:paraId="63FEF560">
            <w:pPr>
              <w:pageBreakBefore w:val="0"/>
              <w:kinsoku/>
              <w:wordWrap/>
              <w:overflowPunct/>
              <w:topLinePunct w:val="0"/>
              <w:autoSpaceDE/>
              <w:autoSpaceDN/>
              <w:bidi w:val="0"/>
              <w:snapToGrid w:val="0"/>
              <w:spacing w:line="560" w:lineRule="exact"/>
              <w:ind w:left="0" w:leftChars="0"/>
              <w:jc w:val="center"/>
              <w:rPr>
                <w:color w:val="000000"/>
                <w:kern w:val="0"/>
                <w:sz w:val="22"/>
                <w:szCs w:val="22"/>
              </w:rPr>
            </w:pPr>
          </w:p>
        </w:tc>
        <w:tc>
          <w:tcPr>
            <w:tcW w:w="990" w:type="dxa"/>
            <w:vMerge w:val="continue"/>
            <w:shd w:val="clear" w:color="auto" w:fill="FFFFFF"/>
            <w:vAlign w:val="center"/>
          </w:tcPr>
          <w:p w14:paraId="0D1D4D64">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p>
        </w:tc>
        <w:tc>
          <w:tcPr>
            <w:tcW w:w="1283" w:type="dxa"/>
            <w:vMerge w:val="continue"/>
            <w:shd w:val="clear" w:color="auto" w:fill="FFFFFF"/>
            <w:vAlign w:val="center"/>
          </w:tcPr>
          <w:p w14:paraId="18A91299">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p>
        </w:tc>
        <w:tc>
          <w:tcPr>
            <w:tcW w:w="1707" w:type="dxa"/>
            <w:shd w:val="clear" w:color="auto" w:fill="FFFFFF"/>
            <w:vAlign w:val="center"/>
          </w:tcPr>
          <w:p w14:paraId="0A8F20D6">
            <w:pPr>
              <w:pageBreakBefore w:val="0"/>
              <w:widowControl/>
              <w:kinsoku/>
              <w:wordWrap/>
              <w:overflowPunct/>
              <w:topLinePunct w:val="0"/>
              <w:autoSpaceDE/>
              <w:autoSpaceDN/>
              <w:bidi w:val="0"/>
              <w:snapToGrid w:val="0"/>
              <w:spacing w:line="560" w:lineRule="exact"/>
              <w:ind w:left="0" w:leftChars="0"/>
              <w:jc w:val="center"/>
              <w:rPr>
                <w:color w:val="000000"/>
                <w:kern w:val="0"/>
                <w:sz w:val="18"/>
                <w:szCs w:val="18"/>
              </w:rPr>
            </w:pPr>
            <w:r>
              <w:rPr>
                <w:color w:val="000000"/>
                <w:kern w:val="0"/>
                <w:sz w:val="18"/>
                <w:szCs w:val="18"/>
              </w:rPr>
              <w:t>立项程序规范性</w:t>
            </w:r>
          </w:p>
        </w:tc>
        <w:tc>
          <w:tcPr>
            <w:tcW w:w="727" w:type="dxa"/>
            <w:shd w:val="clear" w:color="auto" w:fill="FFFFFF"/>
            <w:vAlign w:val="center"/>
          </w:tcPr>
          <w:p w14:paraId="3430EB69">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14:paraId="005F532B">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规范</w:t>
            </w:r>
          </w:p>
        </w:tc>
        <w:tc>
          <w:tcPr>
            <w:tcW w:w="924" w:type="dxa"/>
            <w:shd w:val="clear" w:color="auto" w:fill="FFFFFF"/>
            <w:vAlign w:val="center"/>
          </w:tcPr>
          <w:p w14:paraId="24F6617F">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规范</w:t>
            </w:r>
          </w:p>
        </w:tc>
        <w:tc>
          <w:tcPr>
            <w:tcW w:w="1215" w:type="dxa"/>
            <w:shd w:val="clear" w:color="auto" w:fill="FFFFFF"/>
            <w:vAlign w:val="center"/>
          </w:tcPr>
          <w:p w14:paraId="1119139D">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100%</w:t>
            </w:r>
          </w:p>
        </w:tc>
        <w:tc>
          <w:tcPr>
            <w:tcW w:w="960" w:type="dxa"/>
            <w:shd w:val="clear" w:color="auto" w:fill="FFFFFF"/>
            <w:vAlign w:val="center"/>
          </w:tcPr>
          <w:p w14:paraId="792CFB43">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3</w:t>
            </w:r>
          </w:p>
        </w:tc>
      </w:tr>
      <w:tr w14:paraId="46A33E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7" w:hRule="atLeast"/>
        </w:trPr>
        <w:tc>
          <w:tcPr>
            <w:tcW w:w="1104" w:type="dxa"/>
            <w:vMerge w:val="continue"/>
            <w:shd w:val="clear" w:color="auto" w:fill="FFFFFF"/>
            <w:vAlign w:val="center"/>
          </w:tcPr>
          <w:p w14:paraId="45A4318D">
            <w:pPr>
              <w:pageBreakBefore w:val="0"/>
              <w:kinsoku/>
              <w:wordWrap/>
              <w:overflowPunct/>
              <w:topLinePunct w:val="0"/>
              <w:autoSpaceDE/>
              <w:autoSpaceDN/>
              <w:bidi w:val="0"/>
              <w:snapToGrid w:val="0"/>
              <w:spacing w:line="560" w:lineRule="exact"/>
              <w:ind w:left="0" w:leftChars="0"/>
              <w:jc w:val="center"/>
              <w:rPr>
                <w:color w:val="000000"/>
                <w:kern w:val="0"/>
                <w:sz w:val="22"/>
                <w:szCs w:val="22"/>
              </w:rPr>
            </w:pPr>
          </w:p>
        </w:tc>
        <w:tc>
          <w:tcPr>
            <w:tcW w:w="990" w:type="dxa"/>
            <w:vMerge w:val="continue"/>
            <w:shd w:val="clear" w:color="auto" w:fill="FFFFFF"/>
            <w:vAlign w:val="center"/>
          </w:tcPr>
          <w:p w14:paraId="45FB0628">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p>
        </w:tc>
        <w:tc>
          <w:tcPr>
            <w:tcW w:w="1283" w:type="dxa"/>
            <w:vMerge w:val="restart"/>
            <w:shd w:val="clear" w:color="auto" w:fill="FFFFFF"/>
            <w:vAlign w:val="center"/>
          </w:tcPr>
          <w:p w14:paraId="07306AE3">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绩效目标　</w:t>
            </w:r>
          </w:p>
        </w:tc>
        <w:tc>
          <w:tcPr>
            <w:tcW w:w="1707" w:type="dxa"/>
            <w:shd w:val="clear" w:color="auto" w:fill="FFFFFF"/>
            <w:vAlign w:val="center"/>
          </w:tcPr>
          <w:p w14:paraId="520BB230">
            <w:pPr>
              <w:pageBreakBefore w:val="0"/>
              <w:widowControl/>
              <w:kinsoku/>
              <w:wordWrap/>
              <w:overflowPunct/>
              <w:topLinePunct w:val="0"/>
              <w:autoSpaceDE/>
              <w:autoSpaceDN/>
              <w:bidi w:val="0"/>
              <w:snapToGrid w:val="0"/>
              <w:spacing w:line="560" w:lineRule="exact"/>
              <w:ind w:left="0" w:leftChars="0"/>
              <w:jc w:val="center"/>
              <w:rPr>
                <w:color w:val="000000"/>
                <w:kern w:val="0"/>
                <w:sz w:val="18"/>
                <w:szCs w:val="18"/>
              </w:rPr>
            </w:pPr>
            <w:r>
              <w:rPr>
                <w:color w:val="000000"/>
                <w:kern w:val="0"/>
                <w:sz w:val="18"/>
                <w:szCs w:val="18"/>
              </w:rPr>
              <w:t>绩效目标合理性</w:t>
            </w:r>
          </w:p>
        </w:tc>
        <w:tc>
          <w:tcPr>
            <w:tcW w:w="727" w:type="dxa"/>
            <w:shd w:val="clear" w:color="000000" w:fill="FFFFFF"/>
            <w:vAlign w:val="center"/>
          </w:tcPr>
          <w:p w14:paraId="77ABDBB1">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14:paraId="657E2796">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合理</w:t>
            </w:r>
          </w:p>
        </w:tc>
        <w:tc>
          <w:tcPr>
            <w:tcW w:w="924" w:type="dxa"/>
            <w:shd w:val="clear" w:color="000000" w:fill="FFFFFF"/>
            <w:vAlign w:val="center"/>
          </w:tcPr>
          <w:p w14:paraId="65AF31EC">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合理</w:t>
            </w:r>
          </w:p>
        </w:tc>
        <w:tc>
          <w:tcPr>
            <w:tcW w:w="1215" w:type="dxa"/>
            <w:shd w:val="clear" w:color="000000" w:fill="FFFFFF"/>
            <w:vAlign w:val="center"/>
          </w:tcPr>
          <w:p w14:paraId="7B30B8AB">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100%</w:t>
            </w:r>
          </w:p>
        </w:tc>
        <w:tc>
          <w:tcPr>
            <w:tcW w:w="960" w:type="dxa"/>
            <w:shd w:val="clear" w:color="000000" w:fill="FFFFFF"/>
            <w:vAlign w:val="center"/>
          </w:tcPr>
          <w:p w14:paraId="70DD45B2">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4</w:t>
            </w:r>
          </w:p>
        </w:tc>
      </w:tr>
      <w:tr w14:paraId="49A4E9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7" w:hRule="atLeast"/>
        </w:trPr>
        <w:tc>
          <w:tcPr>
            <w:tcW w:w="1104" w:type="dxa"/>
            <w:vMerge w:val="continue"/>
            <w:shd w:val="clear" w:color="auto" w:fill="FFFFFF"/>
            <w:vAlign w:val="center"/>
          </w:tcPr>
          <w:p w14:paraId="53B22ADC">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p>
        </w:tc>
        <w:tc>
          <w:tcPr>
            <w:tcW w:w="990" w:type="dxa"/>
            <w:vMerge w:val="continue"/>
            <w:shd w:val="clear" w:color="auto" w:fill="FFFFFF"/>
            <w:vAlign w:val="center"/>
          </w:tcPr>
          <w:p w14:paraId="518FDAB1">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p>
        </w:tc>
        <w:tc>
          <w:tcPr>
            <w:tcW w:w="1283" w:type="dxa"/>
            <w:vMerge w:val="continue"/>
            <w:shd w:val="clear" w:color="auto" w:fill="FFFFFF"/>
            <w:vAlign w:val="center"/>
          </w:tcPr>
          <w:p w14:paraId="3EB4810F">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p>
        </w:tc>
        <w:tc>
          <w:tcPr>
            <w:tcW w:w="1707" w:type="dxa"/>
            <w:shd w:val="clear" w:color="auto" w:fill="FFFFFF"/>
            <w:vAlign w:val="center"/>
          </w:tcPr>
          <w:p w14:paraId="09FCDD9A">
            <w:pPr>
              <w:pageBreakBefore w:val="0"/>
              <w:widowControl/>
              <w:kinsoku/>
              <w:wordWrap/>
              <w:overflowPunct/>
              <w:topLinePunct w:val="0"/>
              <w:autoSpaceDE/>
              <w:autoSpaceDN/>
              <w:bidi w:val="0"/>
              <w:snapToGrid w:val="0"/>
              <w:spacing w:line="560" w:lineRule="exact"/>
              <w:ind w:left="0" w:leftChars="0"/>
              <w:jc w:val="center"/>
              <w:rPr>
                <w:color w:val="000000"/>
                <w:kern w:val="0"/>
                <w:sz w:val="18"/>
                <w:szCs w:val="18"/>
              </w:rPr>
            </w:pPr>
            <w:r>
              <w:rPr>
                <w:color w:val="000000"/>
                <w:kern w:val="0"/>
                <w:sz w:val="18"/>
                <w:szCs w:val="18"/>
              </w:rPr>
              <w:t>绩效指标明确性</w:t>
            </w:r>
          </w:p>
        </w:tc>
        <w:tc>
          <w:tcPr>
            <w:tcW w:w="727" w:type="dxa"/>
            <w:shd w:val="clear" w:color="000000" w:fill="FFFFFF"/>
            <w:vAlign w:val="center"/>
          </w:tcPr>
          <w:p w14:paraId="0FECBB11">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3</w:t>
            </w:r>
          </w:p>
        </w:tc>
        <w:tc>
          <w:tcPr>
            <w:tcW w:w="1044" w:type="dxa"/>
            <w:shd w:val="clear" w:color="000000" w:fill="FFFFFF"/>
            <w:vAlign w:val="center"/>
          </w:tcPr>
          <w:p w14:paraId="6321B4BD">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明确</w:t>
            </w:r>
          </w:p>
        </w:tc>
        <w:tc>
          <w:tcPr>
            <w:tcW w:w="924" w:type="dxa"/>
            <w:shd w:val="clear" w:color="000000" w:fill="FFFFFF"/>
            <w:vAlign w:val="center"/>
          </w:tcPr>
          <w:p w14:paraId="2344A157">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明确</w:t>
            </w:r>
          </w:p>
        </w:tc>
        <w:tc>
          <w:tcPr>
            <w:tcW w:w="1215" w:type="dxa"/>
            <w:shd w:val="clear" w:color="000000" w:fill="FFFFFF"/>
            <w:vAlign w:val="center"/>
          </w:tcPr>
          <w:p w14:paraId="49B56B25">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100%</w:t>
            </w:r>
          </w:p>
        </w:tc>
        <w:tc>
          <w:tcPr>
            <w:tcW w:w="960" w:type="dxa"/>
            <w:shd w:val="clear" w:color="000000" w:fill="FFFFFF"/>
            <w:vAlign w:val="center"/>
          </w:tcPr>
          <w:p w14:paraId="7C11B6E7">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3</w:t>
            </w:r>
          </w:p>
        </w:tc>
      </w:tr>
      <w:tr w14:paraId="55F490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37" w:hRule="atLeast"/>
        </w:trPr>
        <w:tc>
          <w:tcPr>
            <w:tcW w:w="1104" w:type="dxa"/>
            <w:vMerge w:val="continue"/>
            <w:shd w:val="clear" w:color="auto" w:fill="FFFFFF"/>
            <w:vAlign w:val="center"/>
          </w:tcPr>
          <w:p w14:paraId="793837CF">
            <w:pPr>
              <w:pageBreakBefore w:val="0"/>
              <w:kinsoku/>
              <w:wordWrap/>
              <w:overflowPunct/>
              <w:topLinePunct w:val="0"/>
              <w:autoSpaceDE/>
              <w:autoSpaceDN/>
              <w:bidi w:val="0"/>
              <w:snapToGrid w:val="0"/>
              <w:spacing w:line="560" w:lineRule="exact"/>
              <w:ind w:left="0" w:leftChars="0"/>
              <w:jc w:val="center"/>
              <w:rPr>
                <w:color w:val="000000"/>
                <w:kern w:val="0"/>
                <w:sz w:val="22"/>
                <w:szCs w:val="22"/>
              </w:rPr>
            </w:pPr>
          </w:p>
        </w:tc>
        <w:tc>
          <w:tcPr>
            <w:tcW w:w="990" w:type="dxa"/>
            <w:vMerge w:val="continue"/>
            <w:shd w:val="clear" w:color="auto" w:fill="FFFFFF"/>
            <w:vAlign w:val="center"/>
          </w:tcPr>
          <w:p w14:paraId="230388E6">
            <w:pPr>
              <w:pageBreakBefore w:val="0"/>
              <w:kinsoku/>
              <w:wordWrap/>
              <w:overflowPunct/>
              <w:topLinePunct w:val="0"/>
              <w:autoSpaceDE/>
              <w:autoSpaceDN/>
              <w:bidi w:val="0"/>
              <w:snapToGrid w:val="0"/>
              <w:spacing w:line="560" w:lineRule="exact"/>
              <w:ind w:left="0" w:leftChars="0"/>
              <w:jc w:val="center"/>
              <w:rPr>
                <w:color w:val="000000"/>
                <w:kern w:val="0"/>
                <w:sz w:val="22"/>
                <w:szCs w:val="22"/>
              </w:rPr>
            </w:pPr>
          </w:p>
        </w:tc>
        <w:tc>
          <w:tcPr>
            <w:tcW w:w="1283" w:type="dxa"/>
            <w:vMerge w:val="restart"/>
            <w:shd w:val="clear" w:color="auto" w:fill="FFFFFF"/>
            <w:vAlign w:val="center"/>
          </w:tcPr>
          <w:p w14:paraId="7FD96DB9">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资金投入</w:t>
            </w:r>
          </w:p>
        </w:tc>
        <w:tc>
          <w:tcPr>
            <w:tcW w:w="1707" w:type="dxa"/>
            <w:shd w:val="clear" w:color="auto" w:fill="FFFFFF"/>
            <w:vAlign w:val="center"/>
          </w:tcPr>
          <w:p w14:paraId="21420A81">
            <w:pPr>
              <w:pageBreakBefore w:val="0"/>
              <w:widowControl/>
              <w:kinsoku/>
              <w:wordWrap/>
              <w:overflowPunct/>
              <w:topLinePunct w:val="0"/>
              <w:autoSpaceDE/>
              <w:autoSpaceDN/>
              <w:bidi w:val="0"/>
              <w:snapToGrid w:val="0"/>
              <w:spacing w:line="560" w:lineRule="exact"/>
              <w:ind w:left="0" w:leftChars="0"/>
              <w:jc w:val="center"/>
              <w:rPr>
                <w:color w:val="000000"/>
                <w:kern w:val="0"/>
                <w:sz w:val="18"/>
                <w:szCs w:val="18"/>
              </w:rPr>
            </w:pPr>
            <w:r>
              <w:rPr>
                <w:color w:val="000000"/>
                <w:kern w:val="0"/>
                <w:sz w:val="18"/>
                <w:szCs w:val="18"/>
              </w:rPr>
              <w:t>预算编制科学性</w:t>
            </w:r>
          </w:p>
        </w:tc>
        <w:tc>
          <w:tcPr>
            <w:tcW w:w="727" w:type="dxa"/>
            <w:shd w:val="clear" w:color="auto" w:fill="FFFFFF"/>
            <w:vAlign w:val="center"/>
          </w:tcPr>
          <w:p w14:paraId="02592908">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4</w:t>
            </w:r>
          </w:p>
        </w:tc>
        <w:tc>
          <w:tcPr>
            <w:tcW w:w="1044" w:type="dxa"/>
            <w:shd w:val="clear" w:color="auto" w:fill="FFFFFF"/>
            <w:vAlign w:val="center"/>
          </w:tcPr>
          <w:p w14:paraId="5940A4CF">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科学</w:t>
            </w:r>
          </w:p>
        </w:tc>
        <w:tc>
          <w:tcPr>
            <w:tcW w:w="924" w:type="dxa"/>
            <w:shd w:val="clear" w:color="auto" w:fill="FFFFFF"/>
            <w:vAlign w:val="center"/>
          </w:tcPr>
          <w:p w14:paraId="7669AE20">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科学</w:t>
            </w:r>
          </w:p>
        </w:tc>
        <w:tc>
          <w:tcPr>
            <w:tcW w:w="1215" w:type="dxa"/>
            <w:shd w:val="clear" w:color="auto" w:fill="FFFFFF"/>
            <w:vAlign w:val="center"/>
          </w:tcPr>
          <w:p w14:paraId="2DB3EC81">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100%</w:t>
            </w:r>
          </w:p>
        </w:tc>
        <w:tc>
          <w:tcPr>
            <w:tcW w:w="960" w:type="dxa"/>
            <w:shd w:val="clear" w:color="auto" w:fill="FFFFFF"/>
            <w:vAlign w:val="center"/>
          </w:tcPr>
          <w:p w14:paraId="1D58F1BE">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4</w:t>
            </w:r>
          </w:p>
        </w:tc>
      </w:tr>
      <w:tr w14:paraId="31859C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7" w:hRule="atLeast"/>
        </w:trPr>
        <w:tc>
          <w:tcPr>
            <w:tcW w:w="1104" w:type="dxa"/>
            <w:vMerge w:val="continue"/>
            <w:shd w:val="clear" w:color="auto" w:fill="FFFFFF"/>
            <w:vAlign w:val="center"/>
          </w:tcPr>
          <w:p w14:paraId="0F15DEE5">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p>
        </w:tc>
        <w:tc>
          <w:tcPr>
            <w:tcW w:w="990" w:type="dxa"/>
            <w:vMerge w:val="continue"/>
            <w:shd w:val="clear" w:color="auto" w:fill="FFFFFF"/>
            <w:vAlign w:val="center"/>
          </w:tcPr>
          <w:p w14:paraId="40D2BEEF">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p>
        </w:tc>
        <w:tc>
          <w:tcPr>
            <w:tcW w:w="1283" w:type="dxa"/>
            <w:vMerge w:val="continue"/>
            <w:shd w:val="clear" w:color="auto" w:fill="FFFFFF"/>
            <w:vAlign w:val="center"/>
          </w:tcPr>
          <w:p w14:paraId="574A970D">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p>
        </w:tc>
        <w:tc>
          <w:tcPr>
            <w:tcW w:w="1707" w:type="dxa"/>
            <w:shd w:val="clear" w:color="auto" w:fill="FFFFFF"/>
            <w:vAlign w:val="center"/>
          </w:tcPr>
          <w:p w14:paraId="1A1AEC5A">
            <w:pPr>
              <w:pageBreakBefore w:val="0"/>
              <w:widowControl/>
              <w:kinsoku/>
              <w:wordWrap/>
              <w:overflowPunct/>
              <w:topLinePunct w:val="0"/>
              <w:autoSpaceDE/>
              <w:autoSpaceDN/>
              <w:bidi w:val="0"/>
              <w:snapToGrid w:val="0"/>
              <w:spacing w:line="560" w:lineRule="exact"/>
              <w:ind w:left="0" w:leftChars="0"/>
              <w:jc w:val="center"/>
              <w:rPr>
                <w:color w:val="000000"/>
                <w:kern w:val="0"/>
                <w:sz w:val="18"/>
                <w:szCs w:val="18"/>
              </w:rPr>
            </w:pPr>
            <w:r>
              <w:rPr>
                <w:color w:val="000000"/>
                <w:kern w:val="0"/>
                <w:sz w:val="18"/>
                <w:szCs w:val="18"/>
              </w:rPr>
              <w:t>资金分配合理性</w:t>
            </w:r>
          </w:p>
        </w:tc>
        <w:tc>
          <w:tcPr>
            <w:tcW w:w="727" w:type="dxa"/>
            <w:shd w:val="clear" w:color="auto" w:fill="FFFFFF"/>
            <w:vAlign w:val="center"/>
          </w:tcPr>
          <w:p w14:paraId="0A45AB1D">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14:paraId="67074E62">
            <w:pPr>
              <w:pageBreakBefore w:val="0"/>
              <w:widowControl/>
              <w:kinsoku/>
              <w:wordWrap/>
              <w:overflowPunct/>
              <w:topLinePunct w:val="0"/>
              <w:autoSpaceDE/>
              <w:autoSpaceDN/>
              <w:bidi w:val="0"/>
              <w:snapToGrid w:val="0"/>
              <w:spacing w:line="560" w:lineRule="exact"/>
              <w:ind w:left="0" w:leftChars="0"/>
              <w:jc w:val="center"/>
              <w:rPr>
                <w:rFonts w:eastAsia="宋体"/>
                <w:color w:val="000000"/>
                <w:kern w:val="0"/>
                <w:sz w:val="22"/>
                <w:szCs w:val="22"/>
              </w:rPr>
            </w:pPr>
            <w:r>
              <w:rPr>
                <w:rFonts w:eastAsia="宋体"/>
                <w:color w:val="000000"/>
                <w:kern w:val="0"/>
                <w:sz w:val="22"/>
                <w:szCs w:val="22"/>
              </w:rPr>
              <w:t>合理</w:t>
            </w:r>
          </w:p>
        </w:tc>
        <w:tc>
          <w:tcPr>
            <w:tcW w:w="924" w:type="dxa"/>
            <w:shd w:val="clear" w:color="auto" w:fill="FFFFFF"/>
            <w:vAlign w:val="center"/>
          </w:tcPr>
          <w:p w14:paraId="6B1797A9">
            <w:pPr>
              <w:pageBreakBefore w:val="0"/>
              <w:widowControl/>
              <w:kinsoku/>
              <w:wordWrap/>
              <w:overflowPunct/>
              <w:topLinePunct w:val="0"/>
              <w:autoSpaceDE/>
              <w:autoSpaceDN/>
              <w:bidi w:val="0"/>
              <w:snapToGrid w:val="0"/>
              <w:spacing w:line="560" w:lineRule="exact"/>
              <w:ind w:left="0" w:leftChars="0"/>
              <w:jc w:val="center"/>
              <w:rPr>
                <w:rFonts w:eastAsia="宋体"/>
                <w:color w:val="000000"/>
                <w:kern w:val="0"/>
                <w:sz w:val="22"/>
                <w:szCs w:val="22"/>
              </w:rPr>
            </w:pPr>
            <w:r>
              <w:rPr>
                <w:rFonts w:eastAsia="宋体"/>
                <w:color w:val="000000"/>
                <w:kern w:val="0"/>
                <w:sz w:val="22"/>
                <w:szCs w:val="22"/>
              </w:rPr>
              <w:t>合理</w:t>
            </w:r>
          </w:p>
        </w:tc>
        <w:tc>
          <w:tcPr>
            <w:tcW w:w="1215" w:type="dxa"/>
            <w:shd w:val="clear" w:color="auto" w:fill="FFFFFF"/>
            <w:vAlign w:val="center"/>
          </w:tcPr>
          <w:p w14:paraId="24680D07">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100%</w:t>
            </w:r>
          </w:p>
        </w:tc>
        <w:tc>
          <w:tcPr>
            <w:tcW w:w="960" w:type="dxa"/>
            <w:shd w:val="clear" w:color="auto" w:fill="FFFFFF"/>
            <w:vAlign w:val="center"/>
          </w:tcPr>
          <w:p w14:paraId="60231EB8">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3</w:t>
            </w:r>
          </w:p>
        </w:tc>
      </w:tr>
      <w:tr w14:paraId="640729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44F1649F">
            <w:pPr>
              <w:pageBreakBefore w:val="0"/>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过程</w:t>
            </w:r>
          </w:p>
          <w:p w14:paraId="5CF5BE04">
            <w:pPr>
              <w:pageBreakBefore w:val="0"/>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　</w:t>
            </w:r>
          </w:p>
        </w:tc>
        <w:tc>
          <w:tcPr>
            <w:tcW w:w="990" w:type="dxa"/>
            <w:vMerge w:val="restart"/>
            <w:shd w:val="clear" w:color="auto" w:fill="FFFFFF"/>
            <w:vAlign w:val="center"/>
          </w:tcPr>
          <w:p w14:paraId="367732D8">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14:paraId="5B95EC3B">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资金管理</w:t>
            </w:r>
          </w:p>
        </w:tc>
        <w:tc>
          <w:tcPr>
            <w:tcW w:w="1707" w:type="dxa"/>
            <w:shd w:val="clear" w:color="auto" w:fill="FFFFFF"/>
            <w:vAlign w:val="center"/>
          </w:tcPr>
          <w:p w14:paraId="10241FAD">
            <w:pPr>
              <w:pageBreakBefore w:val="0"/>
              <w:widowControl/>
              <w:kinsoku/>
              <w:wordWrap/>
              <w:overflowPunct/>
              <w:topLinePunct w:val="0"/>
              <w:autoSpaceDE/>
              <w:autoSpaceDN/>
              <w:bidi w:val="0"/>
              <w:snapToGrid w:val="0"/>
              <w:spacing w:line="560" w:lineRule="exact"/>
              <w:ind w:left="0" w:leftChars="0"/>
              <w:jc w:val="center"/>
              <w:rPr>
                <w:color w:val="000000"/>
                <w:kern w:val="0"/>
                <w:sz w:val="18"/>
                <w:szCs w:val="18"/>
              </w:rPr>
            </w:pPr>
            <w:r>
              <w:rPr>
                <w:color w:val="000000"/>
                <w:kern w:val="0"/>
                <w:sz w:val="18"/>
                <w:szCs w:val="18"/>
              </w:rPr>
              <w:t>资金到位率</w:t>
            </w:r>
          </w:p>
        </w:tc>
        <w:tc>
          <w:tcPr>
            <w:tcW w:w="727" w:type="dxa"/>
            <w:shd w:val="clear" w:color="000000" w:fill="FFFFFF"/>
            <w:vAlign w:val="center"/>
          </w:tcPr>
          <w:p w14:paraId="0818A1E7">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14:paraId="46CDE9F2">
            <w:pPr>
              <w:pageBreakBefore w:val="0"/>
              <w:widowControl/>
              <w:kinsoku/>
              <w:wordWrap/>
              <w:overflowPunct/>
              <w:topLinePunct w:val="0"/>
              <w:autoSpaceDE/>
              <w:autoSpaceDN/>
              <w:bidi w:val="0"/>
              <w:snapToGrid w:val="0"/>
              <w:spacing w:line="560" w:lineRule="exact"/>
              <w:ind w:left="0" w:leftChars="0"/>
              <w:jc w:val="center"/>
              <w:rPr>
                <w:rFonts w:eastAsia="宋体"/>
                <w:color w:val="000000"/>
                <w:kern w:val="0"/>
                <w:sz w:val="22"/>
                <w:szCs w:val="22"/>
              </w:rPr>
            </w:pPr>
            <w:r>
              <w:rPr>
                <w:rFonts w:eastAsia="宋体"/>
                <w:color w:val="000000"/>
                <w:kern w:val="0"/>
                <w:sz w:val="22"/>
                <w:szCs w:val="22"/>
              </w:rPr>
              <w:t>100%</w:t>
            </w:r>
          </w:p>
        </w:tc>
        <w:tc>
          <w:tcPr>
            <w:tcW w:w="924" w:type="dxa"/>
            <w:shd w:val="clear" w:color="000000" w:fill="FFFFFF"/>
            <w:vAlign w:val="center"/>
          </w:tcPr>
          <w:p w14:paraId="3EEEDA6F">
            <w:pPr>
              <w:pageBreakBefore w:val="0"/>
              <w:widowControl/>
              <w:kinsoku/>
              <w:wordWrap/>
              <w:overflowPunct/>
              <w:topLinePunct w:val="0"/>
              <w:autoSpaceDE/>
              <w:autoSpaceDN/>
              <w:bidi w:val="0"/>
              <w:snapToGrid w:val="0"/>
              <w:spacing w:line="560" w:lineRule="exact"/>
              <w:ind w:left="0" w:leftChars="0"/>
              <w:jc w:val="center"/>
              <w:rPr>
                <w:rFonts w:eastAsia="宋体"/>
                <w:color w:val="000000"/>
                <w:kern w:val="0"/>
                <w:sz w:val="22"/>
                <w:szCs w:val="22"/>
              </w:rPr>
            </w:pPr>
            <w:r>
              <w:rPr>
                <w:rFonts w:hint="eastAsia" w:eastAsia="宋体"/>
                <w:color w:val="000000"/>
                <w:kern w:val="0"/>
                <w:sz w:val="22"/>
                <w:szCs w:val="22"/>
                <w:lang w:val="en-US" w:eastAsia="zh-CN"/>
              </w:rPr>
              <w:t>100</w:t>
            </w:r>
            <w:r>
              <w:rPr>
                <w:rFonts w:eastAsia="宋体"/>
                <w:color w:val="000000"/>
                <w:kern w:val="0"/>
                <w:sz w:val="22"/>
                <w:szCs w:val="22"/>
              </w:rPr>
              <w:t>%</w:t>
            </w:r>
          </w:p>
        </w:tc>
        <w:tc>
          <w:tcPr>
            <w:tcW w:w="1215" w:type="dxa"/>
            <w:shd w:val="clear" w:color="000000" w:fill="FFFFFF"/>
            <w:vAlign w:val="center"/>
          </w:tcPr>
          <w:p w14:paraId="760E9C94">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100%</w:t>
            </w:r>
          </w:p>
        </w:tc>
        <w:tc>
          <w:tcPr>
            <w:tcW w:w="960" w:type="dxa"/>
            <w:shd w:val="clear" w:color="000000" w:fill="FFFFFF"/>
            <w:vAlign w:val="center"/>
          </w:tcPr>
          <w:p w14:paraId="07819FBE">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4</w:t>
            </w:r>
          </w:p>
        </w:tc>
      </w:tr>
      <w:tr w14:paraId="6AD75F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169CCE8">
            <w:pPr>
              <w:pageBreakBefore w:val="0"/>
              <w:kinsoku/>
              <w:wordWrap/>
              <w:overflowPunct/>
              <w:topLinePunct w:val="0"/>
              <w:autoSpaceDE/>
              <w:autoSpaceDN/>
              <w:bidi w:val="0"/>
              <w:snapToGrid w:val="0"/>
              <w:spacing w:line="560" w:lineRule="exact"/>
              <w:ind w:left="0" w:leftChars="0"/>
              <w:jc w:val="center"/>
              <w:rPr>
                <w:color w:val="000000"/>
                <w:kern w:val="0"/>
                <w:sz w:val="22"/>
                <w:szCs w:val="22"/>
              </w:rPr>
            </w:pPr>
          </w:p>
        </w:tc>
        <w:tc>
          <w:tcPr>
            <w:tcW w:w="990" w:type="dxa"/>
            <w:vMerge w:val="continue"/>
            <w:shd w:val="clear" w:color="auto" w:fill="FFFFFF"/>
            <w:vAlign w:val="center"/>
          </w:tcPr>
          <w:p w14:paraId="64822D85">
            <w:pPr>
              <w:pageBreakBefore w:val="0"/>
              <w:kinsoku/>
              <w:wordWrap/>
              <w:overflowPunct/>
              <w:topLinePunct w:val="0"/>
              <w:autoSpaceDE/>
              <w:autoSpaceDN/>
              <w:bidi w:val="0"/>
              <w:snapToGrid w:val="0"/>
              <w:spacing w:line="560" w:lineRule="exact"/>
              <w:ind w:left="0" w:leftChars="0"/>
              <w:jc w:val="center"/>
              <w:rPr>
                <w:color w:val="000000"/>
                <w:kern w:val="0"/>
                <w:sz w:val="22"/>
                <w:szCs w:val="22"/>
              </w:rPr>
            </w:pPr>
          </w:p>
        </w:tc>
        <w:tc>
          <w:tcPr>
            <w:tcW w:w="1283" w:type="dxa"/>
            <w:vMerge w:val="continue"/>
            <w:shd w:val="clear" w:color="auto" w:fill="FFFFFF"/>
            <w:vAlign w:val="center"/>
          </w:tcPr>
          <w:p w14:paraId="0A100678">
            <w:pPr>
              <w:pageBreakBefore w:val="0"/>
              <w:kinsoku/>
              <w:wordWrap/>
              <w:overflowPunct/>
              <w:topLinePunct w:val="0"/>
              <w:autoSpaceDE/>
              <w:autoSpaceDN/>
              <w:bidi w:val="0"/>
              <w:snapToGrid w:val="0"/>
              <w:spacing w:line="560" w:lineRule="exact"/>
              <w:ind w:left="0" w:leftChars="0"/>
              <w:jc w:val="center"/>
              <w:rPr>
                <w:color w:val="000000"/>
                <w:kern w:val="0"/>
                <w:sz w:val="22"/>
                <w:szCs w:val="22"/>
              </w:rPr>
            </w:pPr>
          </w:p>
        </w:tc>
        <w:tc>
          <w:tcPr>
            <w:tcW w:w="1707" w:type="dxa"/>
            <w:shd w:val="clear" w:color="auto" w:fill="FFFFFF"/>
            <w:vAlign w:val="center"/>
          </w:tcPr>
          <w:p w14:paraId="498EFF9D">
            <w:pPr>
              <w:pageBreakBefore w:val="0"/>
              <w:widowControl/>
              <w:kinsoku/>
              <w:wordWrap/>
              <w:overflowPunct/>
              <w:topLinePunct w:val="0"/>
              <w:autoSpaceDE/>
              <w:autoSpaceDN/>
              <w:bidi w:val="0"/>
              <w:snapToGrid w:val="0"/>
              <w:spacing w:line="560" w:lineRule="exact"/>
              <w:ind w:left="0" w:leftChars="0"/>
              <w:jc w:val="center"/>
              <w:rPr>
                <w:color w:val="000000"/>
                <w:kern w:val="0"/>
                <w:sz w:val="18"/>
                <w:szCs w:val="18"/>
              </w:rPr>
            </w:pPr>
            <w:r>
              <w:rPr>
                <w:color w:val="000000"/>
                <w:kern w:val="0"/>
                <w:sz w:val="18"/>
                <w:szCs w:val="18"/>
              </w:rPr>
              <w:t>预算执行率</w:t>
            </w:r>
          </w:p>
        </w:tc>
        <w:tc>
          <w:tcPr>
            <w:tcW w:w="727" w:type="dxa"/>
            <w:shd w:val="clear" w:color="auto" w:fill="FFFFFF"/>
            <w:vAlign w:val="center"/>
          </w:tcPr>
          <w:p w14:paraId="72F4FA9E">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4</w:t>
            </w:r>
          </w:p>
        </w:tc>
        <w:tc>
          <w:tcPr>
            <w:tcW w:w="1044" w:type="dxa"/>
            <w:shd w:val="clear" w:color="auto" w:fill="FFFFFF"/>
            <w:vAlign w:val="center"/>
          </w:tcPr>
          <w:p w14:paraId="57BADB15">
            <w:pPr>
              <w:pageBreakBefore w:val="0"/>
              <w:widowControl/>
              <w:kinsoku/>
              <w:wordWrap/>
              <w:overflowPunct/>
              <w:topLinePunct w:val="0"/>
              <w:autoSpaceDE/>
              <w:autoSpaceDN/>
              <w:bidi w:val="0"/>
              <w:snapToGrid w:val="0"/>
              <w:spacing w:line="560" w:lineRule="exact"/>
              <w:ind w:left="0" w:leftChars="0"/>
              <w:jc w:val="center"/>
              <w:rPr>
                <w:rFonts w:eastAsia="宋体"/>
                <w:color w:val="000000"/>
                <w:kern w:val="0"/>
                <w:sz w:val="22"/>
                <w:szCs w:val="22"/>
              </w:rPr>
            </w:pPr>
            <w:r>
              <w:rPr>
                <w:rFonts w:eastAsia="宋体"/>
                <w:color w:val="000000"/>
                <w:kern w:val="0"/>
                <w:sz w:val="22"/>
                <w:szCs w:val="22"/>
              </w:rPr>
              <w:t>100%</w:t>
            </w:r>
          </w:p>
        </w:tc>
        <w:tc>
          <w:tcPr>
            <w:tcW w:w="924" w:type="dxa"/>
            <w:shd w:val="clear" w:color="auto" w:fill="FFFFFF"/>
            <w:vAlign w:val="center"/>
          </w:tcPr>
          <w:p w14:paraId="74BB06F5">
            <w:pPr>
              <w:pageBreakBefore w:val="0"/>
              <w:widowControl/>
              <w:kinsoku/>
              <w:wordWrap/>
              <w:overflowPunct/>
              <w:topLinePunct w:val="0"/>
              <w:autoSpaceDE/>
              <w:autoSpaceDN/>
              <w:bidi w:val="0"/>
              <w:snapToGrid w:val="0"/>
              <w:spacing w:line="560" w:lineRule="exact"/>
              <w:ind w:left="0" w:leftChars="0"/>
              <w:jc w:val="center"/>
              <w:rPr>
                <w:rFonts w:eastAsia="宋体"/>
                <w:color w:val="000000"/>
                <w:kern w:val="0"/>
                <w:sz w:val="22"/>
                <w:szCs w:val="22"/>
              </w:rPr>
            </w:pPr>
            <w:r>
              <w:rPr>
                <w:rFonts w:hint="eastAsia" w:eastAsia="宋体"/>
                <w:color w:val="000000"/>
                <w:kern w:val="0"/>
                <w:sz w:val="22"/>
                <w:szCs w:val="22"/>
                <w:lang w:val="en-US" w:eastAsia="zh-CN"/>
              </w:rPr>
              <w:t>100</w:t>
            </w:r>
            <w:r>
              <w:rPr>
                <w:rFonts w:eastAsia="宋体"/>
                <w:color w:val="000000"/>
                <w:kern w:val="0"/>
                <w:sz w:val="22"/>
                <w:szCs w:val="22"/>
              </w:rPr>
              <w:t>%</w:t>
            </w:r>
          </w:p>
        </w:tc>
        <w:tc>
          <w:tcPr>
            <w:tcW w:w="1215" w:type="dxa"/>
            <w:shd w:val="clear" w:color="auto" w:fill="FFFFFF"/>
            <w:vAlign w:val="center"/>
          </w:tcPr>
          <w:p w14:paraId="3E54E1B8">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100%</w:t>
            </w:r>
          </w:p>
        </w:tc>
        <w:tc>
          <w:tcPr>
            <w:tcW w:w="960" w:type="dxa"/>
            <w:shd w:val="clear" w:color="auto" w:fill="FFFFFF"/>
            <w:vAlign w:val="center"/>
          </w:tcPr>
          <w:p w14:paraId="52A6E3AF">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4</w:t>
            </w:r>
          </w:p>
        </w:tc>
      </w:tr>
      <w:tr w14:paraId="4EBCC0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C19E1FE">
            <w:pPr>
              <w:pageBreakBefore w:val="0"/>
              <w:kinsoku/>
              <w:wordWrap/>
              <w:overflowPunct/>
              <w:topLinePunct w:val="0"/>
              <w:autoSpaceDE/>
              <w:autoSpaceDN/>
              <w:bidi w:val="0"/>
              <w:snapToGrid w:val="0"/>
              <w:spacing w:line="560" w:lineRule="exact"/>
              <w:ind w:left="0" w:leftChars="0"/>
              <w:jc w:val="center"/>
              <w:rPr>
                <w:color w:val="000000"/>
                <w:kern w:val="0"/>
                <w:sz w:val="22"/>
                <w:szCs w:val="22"/>
              </w:rPr>
            </w:pPr>
          </w:p>
        </w:tc>
        <w:tc>
          <w:tcPr>
            <w:tcW w:w="990" w:type="dxa"/>
            <w:vMerge w:val="continue"/>
            <w:shd w:val="clear" w:color="auto" w:fill="FFFFFF"/>
            <w:vAlign w:val="center"/>
          </w:tcPr>
          <w:p w14:paraId="675A5753">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p>
        </w:tc>
        <w:tc>
          <w:tcPr>
            <w:tcW w:w="1283" w:type="dxa"/>
            <w:shd w:val="clear" w:color="auto" w:fill="FFFFFF"/>
            <w:vAlign w:val="center"/>
          </w:tcPr>
          <w:p w14:paraId="6820E79C">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资金管理</w:t>
            </w:r>
          </w:p>
        </w:tc>
        <w:tc>
          <w:tcPr>
            <w:tcW w:w="1707" w:type="dxa"/>
            <w:shd w:val="clear" w:color="auto" w:fill="FFFFFF"/>
            <w:vAlign w:val="center"/>
          </w:tcPr>
          <w:p w14:paraId="16B52F6C">
            <w:pPr>
              <w:pageBreakBefore w:val="0"/>
              <w:widowControl/>
              <w:kinsoku/>
              <w:wordWrap/>
              <w:overflowPunct/>
              <w:topLinePunct w:val="0"/>
              <w:autoSpaceDE/>
              <w:autoSpaceDN/>
              <w:bidi w:val="0"/>
              <w:snapToGrid w:val="0"/>
              <w:spacing w:line="560" w:lineRule="exact"/>
              <w:ind w:left="0" w:leftChars="0"/>
              <w:jc w:val="center"/>
              <w:rPr>
                <w:color w:val="000000"/>
                <w:kern w:val="0"/>
                <w:sz w:val="18"/>
                <w:szCs w:val="18"/>
              </w:rPr>
            </w:pPr>
            <w:r>
              <w:rPr>
                <w:color w:val="000000"/>
                <w:kern w:val="0"/>
                <w:sz w:val="18"/>
                <w:szCs w:val="18"/>
              </w:rPr>
              <w:t>资金使用合规性</w:t>
            </w:r>
          </w:p>
        </w:tc>
        <w:tc>
          <w:tcPr>
            <w:tcW w:w="727" w:type="dxa"/>
            <w:shd w:val="clear" w:color="000000" w:fill="FFFFFF"/>
            <w:vAlign w:val="center"/>
          </w:tcPr>
          <w:p w14:paraId="52181C3C">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14:paraId="0597BEEA">
            <w:pPr>
              <w:pageBreakBefore w:val="0"/>
              <w:widowControl/>
              <w:kinsoku/>
              <w:wordWrap/>
              <w:overflowPunct/>
              <w:topLinePunct w:val="0"/>
              <w:autoSpaceDE/>
              <w:autoSpaceDN/>
              <w:bidi w:val="0"/>
              <w:snapToGrid w:val="0"/>
              <w:spacing w:line="560" w:lineRule="exact"/>
              <w:ind w:left="0" w:leftChars="0"/>
              <w:jc w:val="center"/>
              <w:rPr>
                <w:rFonts w:eastAsia="宋体"/>
                <w:color w:val="000000"/>
                <w:kern w:val="0"/>
                <w:sz w:val="22"/>
                <w:szCs w:val="22"/>
              </w:rPr>
            </w:pPr>
            <w:r>
              <w:rPr>
                <w:rFonts w:eastAsia="宋体"/>
                <w:color w:val="000000"/>
                <w:kern w:val="0"/>
                <w:sz w:val="22"/>
                <w:szCs w:val="22"/>
              </w:rPr>
              <w:t>合格</w:t>
            </w:r>
          </w:p>
        </w:tc>
        <w:tc>
          <w:tcPr>
            <w:tcW w:w="924" w:type="dxa"/>
            <w:shd w:val="clear" w:color="000000" w:fill="FFFFFF"/>
            <w:vAlign w:val="center"/>
          </w:tcPr>
          <w:p w14:paraId="32940238">
            <w:pPr>
              <w:pageBreakBefore w:val="0"/>
              <w:widowControl/>
              <w:kinsoku/>
              <w:wordWrap/>
              <w:overflowPunct/>
              <w:topLinePunct w:val="0"/>
              <w:autoSpaceDE/>
              <w:autoSpaceDN/>
              <w:bidi w:val="0"/>
              <w:snapToGrid w:val="0"/>
              <w:spacing w:line="560" w:lineRule="exact"/>
              <w:ind w:left="0" w:leftChars="0"/>
              <w:jc w:val="center"/>
              <w:rPr>
                <w:rFonts w:eastAsia="宋体"/>
                <w:color w:val="000000"/>
                <w:kern w:val="0"/>
                <w:sz w:val="22"/>
                <w:szCs w:val="22"/>
              </w:rPr>
            </w:pPr>
            <w:r>
              <w:rPr>
                <w:rFonts w:eastAsia="宋体"/>
                <w:color w:val="000000"/>
                <w:kern w:val="0"/>
                <w:sz w:val="22"/>
                <w:szCs w:val="22"/>
              </w:rPr>
              <w:t>合格</w:t>
            </w:r>
          </w:p>
        </w:tc>
        <w:tc>
          <w:tcPr>
            <w:tcW w:w="1215" w:type="dxa"/>
            <w:shd w:val="clear" w:color="000000" w:fill="FFFFFF"/>
            <w:vAlign w:val="center"/>
          </w:tcPr>
          <w:p w14:paraId="6D5B4B3C">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100%</w:t>
            </w:r>
          </w:p>
        </w:tc>
        <w:tc>
          <w:tcPr>
            <w:tcW w:w="960" w:type="dxa"/>
            <w:shd w:val="clear" w:color="000000" w:fill="FFFFFF"/>
            <w:vAlign w:val="center"/>
          </w:tcPr>
          <w:p w14:paraId="2C7F8AC4">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4</w:t>
            </w:r>
          </w:p>
        </w:tc>
      </w:tr>
      <w:tr w14:paraId="4805BC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42D117A8">
            <w:pPr>
              <w:pageBreakBefore w:val="0"/>
              <w:kinsoku/>
              <w:wordWrap/>
              <w:overflowPunct/>
              <w:topLinePunct w:val="0"/>
              <w:autoSpaceDE/>
              <w:autoSpaceDN/>
              <w:bidi w:val="0"/>
              <w:snapToGrid w:val="0"/>
              <w:spacing w:line="560" w:lineRule="exact"/>
              <w:ind w:left="0" w:leftChars="0"/>
              <w:jc w:val="center"/>
              <w:rPr>
                <w:color w:val="000000"/>
                <w:kern w:val="0"/>
                <w:sz w:val="22"/>
                <w:szCs w:val="22"/>
              </w:rPr>
            </w:pPr>
          </w:p>
        </w:tc>
        <w:tc>
          <w:tcPr>
            <w:tcW w:w="990" w:type="dxa"/>
            <w:vMerge w:val="continue"/>
            <w:shd w:val="clear" w:color="auto" w:fill="FFFFFF"/>
            <w:vAlign w:val="center"/>
          </w:tcPr>
          <w:p w14:paraId="7D44EB80">
            <w:pPr>
              <w:pageBreakBefore w:val="0"/>
              <w:kinsoku/>
              <w:wordWrap/>
              <w:overflowPunct/>
              <w:topLinePunct w:val="0"/>
              <w:autoSpaceDE/>
              <w:autoSpaceDN/>
              <w:bidi w:val="0"/>
              <w:snapToGrid w:val="0"/>
              <w:spacing w:line="560" w:lineRule="exact"/>
              <w:ind w:left="0" w:leftChars="0"/>
              <w:jc w:val="center"/>
              <w:rPr>
                <w:color w:val="000000"/>
                <w:kern w:val="0"/>
                <w:sz w:val="22"/>
                <w:szCs w:val="22"/>
              </w:rPr>
            </w:pPr>
          </w:p>
        </w:tc>
        <w:tc>
          <w:tcPr>
            <w:tcW w:w="1283" w:type="dxa"/>
            <w:vMerge w:val="restart"/>
            <w:shd w:val="clear" w:color="auto" w:fill="FFFFFF"/>
            <w:vAlign w:val="center"/>
          </w:tcPr>
          <w:p w14:paraId="02AEA9F5">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组织实施</w:t>
            </w:r>
          </w:p>
        </w:tc>
        <w:tc>
          <w:tcPr>
            <w:tcW w:w="1707" w:type="dxa"/>
            <w:shd w:val="clear" w:color="auto" w:fill="FFFFFF"/>
            <w:vAlign w:val="center"/>
          </w:tcPr>
          <w:p w14:paraId="4F28ABB9">
            <w:pPr>
              <w:pageBreakBefore w:val="0"/>
              <w:widowControl/>
              <w:kinsoku/>
              <w:wordWrap/>
              <w:overflowPunct/>
              <w:topLinePunct w:val="0"/>
              <w:autoSpaceDE/>
              <w:autoSpaceDN/>
              <w:bidi w:val="0"/>
              <w:snapToGrid w:val="0"/>
              <w:spacing w:line="560" w:lineRule="exact"/>
              <w:ind w:left="0" w:leftChars="0"/>
              <w:jc w:val="center"/>
              <w:rPr>
                <w:color w:val="000000"/>
                <w:kern w:val="0"/>
                <w:sz w:val="18"/>
                <w:szCs w:val="18"/>
              </w:rPr>
            </w:pPr>
            <w:r>
              <w:rPr>
                <w:color w:val="000000"/>
                <w:kern w:val="0"/>
                <w:sz w:val="18"/>
                <w:szCs w:val="18"/>
              </w:rPr>
              <w:t>管理制度健全性</w:t>
            </w:r>
          </w:p>
        </w:tc>
        <w:tc>
          <w:tcPr>
            <w:tcW w:w="727" w:type="dxa"/>
            <w:shd w:val="clear" w:color="000000" w:fill="FFFFFF"/>
            <w:vAlign w:val="center"/>
          </w:tcPr>
          <w:p w14:paraId="0EA078D6">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14:paraId="512A24FF">
            <w:pPr>
              <w:pageBreakBefore w:val="0"/>
              <w:widowControl/>
              <w:kinsoku/>
              <w:wordWrap/>
              <w:overflowPunct/>
              <w:topLinePunct w:val="0"/>
              <w:autoSpaceDE/>
              <w:autoSpaceDN/>
              <w:bidi w:val="0"/>
              <w:snapToGrid w:val="0"/>
              <w:spacing w:line="560" w:lineRule="exact"/>
              <w:ind w:left="0" w:leftChars="0"/>
              <w:jc w:val="center"/>
              <w:rPr>
                <w:rFonts w:eastAsia="宋体"/>
                <w:color w:val="000000"/>
                <w:kern w:val="0"/>
                <w:sz w:val="22"/>
                <w:szCs w:val="22"/>
              </w:rPr>
            </w:pPr>
            <w:r>
              <w:rPr>
                <w:rFonts w:eastAsia="宋体"/>
                <w:color w:val="000000"/>
                <w:kern w:val="0"/>
                <w:sz w:val="22"/>
                <w:szCs w:val="22"/>
              </w:rPr>
              <w:t>健全</w:t>
            </w:r>
          </w:p>
        </w:tc>
        <w:tc>
          <w:tcPr>
            <w:tcW w:w="924" w:type="dxa"/>
            <w:shd w:val="clear" w:color="000000" w:fill="FFFFFF"/>
            <w:vAlign w:val="center"/>
          </w:tcPr>
          <w:p w14:paraId="2A3C3265">
            <w:pPr>
              <w:pageBreakBefore w:val="0"/>
              <w:widowControl/>
              <w:kinsoku/>
              <w:wordWrap/>
              <w:overflowPunct/>
              <w:topLinePunct w:val="0"/>
              <w:autoSpaceDE/>
              <w:autoSpaceDN/>
              <w:bidi w:val="0"/>
              <w:snapToGrid w:val="0"/>
              <w:spacing w:line="560" w:lineRule="exact"/>
              <w:ind w:left="0" w:leftChars="0"/>
              <w:jc w:val="center"/>
              <w:rPr>
                <w:rFonts w:eastAsia="宋体"/>
                <w:color w:val="000000"/>
                <w:kern w:val="0"/>
                <w:sz w:val="22"/>
                <w:szCs w:val="22"/>
              </w:rPr>
            </w:pPr>
            <w:r>
              <w:rPr>
                <w:rFonts w:eastAsia="宋体"/>
                <w:color w:val="000000"/>
                <w:kern w:val="0"/>
                <w:sz w:val="22"/>
                <w:szCs w:val="22"/>
              </w:rPr>
              <w:t>健全</w:t>
            </w:r>
          </w:p>
        </w:tc>
        <w:tc>
          <w:tcPr>
            <w:tcW w:w="1215" w:type="dxa"/>
            <w:shd w:val="clear" w:color="000000" w:fill="FFFFFF"/>
            <w:vAlign w:val="center"/>
          </w:tcPr>
          <w:p w14:paraId="09F73E3D">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100%</w:t>
            </w:r>
          </w:p>
        </w:tc>
        <w:tc>
          <w:tcPr>
            <w:tcW w:w="960" w:type="dxa"/>
            <w:shd w:val="clear" w:color="000000" w:fill="FFFFFF"/>
            <w:vAlign w:val="center"/>
          </w:tcPr>
          <w:p w14:paraId="3F887131">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4</w:t>
            </w:r>
          </w:p>
        </w:tc>
      </w:tr>
      <w:tr w14:paraId="5561CC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0E23D791">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p>
        </w:tc>
        <w:tc>
          <w:tcPr>
            <w:tcW w:w="990" w:type="dxa"/>
            <w:vMerge w:val="continue"/>
            <w:shd w:val="clear" w:color="auto" w:fill="FFFFFF"/>
            <w:vAlign w:val="center"/>
          </w:tcPr>
          <w:p w14:paraId="7D664938">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p>
        </w:tc>
        <w:tc>
          <w:tcPr>
            <w:tcW w:w="1283" w:type="dxa"/>
            <w:vMerge w:val="continue"/>
            <w:shd w:val="clear" w:color="auto" w:fill="FFFFFF"/>
            <w:vAlign w:val="center"/>
          </w:tcPr>
          <w:p w14:paraId="1C5CD3C4">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p>
        </w:tc>
        <w:tc>
          <w:tcPr>
            <w:tcW w:w="1707" w:type="dxa"/>
            <w:shd w:val="clear" w:color="auto" w:fill="FFFFFF"/>
            <w:vAlign w:val="center"/>
          </w:tcPr>
          <w:p w14:paraId="521E4092">
            <w:pPr>
              <w:pageBreakBefore w:val="0"/>
              <w:widowControl/>
              <w:kinsoku/>
              <w:wordWrap/>
              <w:overflowPunct/>
              <w:topLinePunct w:val="0"/>
              <w:autoSpaceDE/>
              <w:autoSpaceDN/>
              <w:bidi w:val="0"/>
              <w:snapToGrid w:val="0"/>
              <w:spacing w:line="560" w:lineRule="exact"/>
              <w:ind w:left="0" w:leftChars="0"/>
              <w:jc w:val="center"/>
              <w:rPr>
                <w:color w:val="000000"/>
                <w:kern w:val="0"/>
                <w:sz w:val="18"/>
                <w:szCs w:val="18"/>
              </w:rPr>
            </w:pPr>
            <w:r>
              <w:rPr>
                <w:color w:val="000000"/>
                <w:kern w:val="0"/>
                <w:sz w:val="18"/>
                <w:szCs w:val="18"/>
              </w:rPr>
              <w:t>制度执行有效性</w:t>
            </w:r>
          </w:p>
        </w:tc>
        <w:tc>
          <w:tcPr>
            <w:tcW w:w="727" w:type="dxa"/>
            <w:shd w:val="clear" w:color="000000" w:fill="FFFFFF"/>
            <w:vAlign w:val="center"/>
          </w:tcPr>
          <w:p w14:paraId="2E962024">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14:paraId="50DA0375">
            <w:pPr>
              <w:pageBreakBefore w:val="0"/>
              <w:widowControl/>
              <w:kinsoku/>
              <w:wordWrap/>
              <w:overflowPunct/>
              <w:topLinePunct w:val="0"/>
              <w:autoSpaceDE/>
              <w:autoSpaceDN/>
              <w:bidi w:val="0"/>
              <w:snapToGrid w:val="0"/>
              <w:spacing w:line="560" w:lineRule="exact"/>
              <w:ind w:left="0" w:leftChars="0"/>
              <w:jc w:val="center"/>
              <w:rPr>
                <w:rFonts w:eastAsia="宋体"/>
                <w:color w:val="000000"/>
                <w:kern w:val="0"/>
                <w:sz w:val="22"/>
                <w:szCs w:val="22"/>
              </w:rPr>
            </w:pPr>
            <w:r>
              <w:rPr>
                <w:rFonts w:eastAsia="宋体"/>
                <w:color w:val="000000"/>
                <w:kern w:val="0"/>
                <w:sz w:val="22"/>
                <w:szCs w:val="22"/>
              </w:rPr>
              <w:t>有效</w:t>
            </w:r>
          </w:p>
        </w:tc>
        <w:tc>
          <w:tcPr>
            <w:tcW w:w="924" w:type="dxa"/>
            <w:shd w:val="clear" w:color="000000" w:fill="FFFFFF"/>
            <w:vAlign w:val="center"/>
          </w:tcPr>
          <w:p w14:paraId="2DF0F6CC">
            <w:pPr>
              <w:pageBreakBefore w:val="0"/>
              <w:widowControl/>
              <w:kinsoku/>
              <w:wordWrap/>
              <w:overflowPunct/>
              <w:topLinePunct w:val="0"/>
              <w:autoSpaceDE/>
              <w:autoSpaceDN/>
              <w:bidi w:val="0"/>
              <w:snapToGrid w:val="0"/>
              <w:spacing w:line="560" w:lineRule="exact"/>
              <w:ind w:left="0" w:leftChars="0"/>
              <w:jc w:val="center"/>
              <w:rPr>
                <w:rFonts w:eastAsia="宋体"/>
                <w:color w:val="000000"/>
                <w:kern w:val="0"/>
                <w:sz w:val="22"/>
                <w:szCs w:val="22"/>
              </w:rPr>
            </w:pPr>
            <w:r>
              <w:rPr>
                <w:rFonts w:eastAsia="宋体"/>
                <w:color w:val="000000"/>
                <w:kern w:val="0"/>
                <w:sz w:val="22"/>
                <w:szCs w:val="22"/>
              </w:rPr>
              <w:t>有效</w:t>
            </w:r>
          </w:p>
        </w:tc>
        <w:tc>
          <w:tcPr>
            <w:tcW w:w="1215" w:type="dxa"/>
            <w:shd w:val="clear" w:color="000000" w:fill="FFFFFF"/>
            <w:vAlign w:val="center"/>
          </w:tcPr>
          <w:p w14:paraId="0D4C7926">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100%</w:t>
            </w:r>
          </w:p>
        </w:tc>
        <w:tc>
          <w:tcPr>
            <w:tcW w:w="960" w:type="dxa"/>
            <w:shd w:val="clear" w:color="000000" w:fill="FFFFFF"/>
            <w:vAlign w:val="center"/>
          </w:tcPr>
          <w:p w14:paraId="0C924043">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4</w:t>
            </w:r>
          </w:p>
        </w:tc>
      </w:tr>
      <w:tr w14:paraId="3C9555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1D1757A7">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产出</w:t>
            </w:r>
          </w:p>
        </w:tc>
        <w:tc>
          <w:tcPr>
            <w:tcW w:w="990" w:type="dxa"/>
            <w:vMerge w:val="restart"/>
            <w:shd w:val="clear" w:color="auto" w:fill="FFFFFF"/>
            <w:vAlign w:val="center"/>
          </w:tcPr>
          <w:p w14:paraId="101B921D">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kern w:val="0"/>
                <w:sz w:val="22"/>
                <w:szCs w:val="22"/>
              </w:rPr>
              <w:t>40</w:t>
            </w:r>
            <w:r>
              <w:rPr>
                <w:kern w:val="0"/>
                <w:sz w:val="22"/>
                <w:szCs w:val="22"/>
              </w:rPr>
              <w:t>分</w:t>
            </w:r>
          </w:p>
        </w:tc>
        <w:tc>
          <w:tcPr>
            <w:tcW w:w="1283" w:type="dxa"/>
            <w:shd w:val="clear" w:color="auto" w:fill="FFFFFF"/>
            <w:vAlign w:val="center"/>
          </w:tcPr>
          <w:p w14:paraId="56231B6A">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产出数量</w:t>
            </w:r>
          </w:p>
        </w:tc>
        <w:tc>
          <w:tcPr>
            <w:tcW w:w="1707" w:type="dxa"/>
            <w:shd w:val="clear" w:color="auto" w:fill="FFFFFF"/>
            <w:vAlign w:val="center"/>
          </w:tcPr>
          <w:p w14:paraId="47511CDD">
            <w:pPr>
              <w:pageBreakBefore w:val="0"/>
              <w:widowControl/>
              <w:kinsoku/>
              <w:wordWrap/>
              <w:overflowPunct/>
              <w:topLinePunct w:val="0"/>
              <w:autoSpaceDE/>
              <w:autoSpaceDN/>
              <w:bidi w:val="0"/>
              <w:snapToGrid w:val="0"/>
              <w:spacing w:line="560" w:lineRule="exact"/>
              <w:ind w:left="0" w:leftChars="0"/>
              <w:jc w:val="center"/>
              <w:rPr>
                <w:color w:val="000000"/>
                <w:kern w:val="0"/>
                <w:sz w:val="18"/>
                <w:szCs w:val="18"/>
              </w:rPr>
            </w:pPr>
            <w:r>
              <w:rPr>
                <w:color w:val="000000"/>
                <w:kern w:val="0"/>
                <w:sz w:val="18"/>
                <w:szCs w:val="18"/>
              </w:rPr>
              <w:t>实际完成率</w:t>
            </w:r>
          </w:p>
        </w:tc>
        <w:tc>
          <w:tcPr>
            <w:tcW w:w="727" w:type="dxa"/>
            <w:shd w:val="clear" w:color="000000" w:fill="FFFFFF"/>
            <w:vAlign w:val="center"/>
          </w:tcPr>
          <w:p w14:paraId="18C08265">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1044" w:type="dxa"/>
            <w:shd w:val="clear" w:color="000000" w:fill="FFFFFF"/>
            <w:vAlign w:val="center"/>
          </w:tcPr>
          <w:p w14:paraId="15B7CA23">
            <w:pPr>
              <w:pageBreakBefore w:val="0"/>
              <w:widowControl/>
              <w:kinsoku/>
              <w:wordWrap/>
              <w:overflowPunct/>
              <w:topLinePunct w:val="0"/>
              <w:autoSpaceDE/>
              <w:autoSpaceDN/>
              <w:bidi w:val="0"/>
              <w:snapToGrid w:val="0"/>
              <w:spacing w:line="560" w:lineRule="exact"/>
              <w:ind w:left="0" w:leftChars="0"/>
              <w:jc w:val="center"/>
              <w:rPr>
                <w:rFonts w:eastAsia="宋体"/>
                <w:color w:val="000000"/>
                <w:kern w:val="0"/>
                <w:sz w:val="22"/>
                <w:szCs w:val="22"/>
              </w:rPr>
            </w:pPr>
            <w:r>
              <w:rPr>
                <w:rFonts w:eastAsia="宋体"/>
                <w:color w:val="000000"/>
                <w:kern w:val="0"/>
                <w:sz w:val="22"/>
                <w:szCs w:val="22"/>
              </w:rPr>
              <w:t>100%</w:t>
            </w:r>
          </w:p>
        </w:tc>
        <w:tc>
          <w:tcPr>
            <w:tcW w:w="924" w:type="dxa"/>
            <w:shd w:val="clear" w:color="000000" w:fill="FFFFFF"/>
            <w:vAlign w:val="center"/>
          </w:tcPr>
          <w:p w14:paraId="13EF7BDC">
            <w:pPr>
              <w:pageBreakBefore w:val="0"/>
              <w:widowControl/>
              <w:kinsoku/>
              <w:wordWrap/>
              <w:overflowPunct/>
              <w:topLinePunct w:val="0"/>
              <w:autoSpaceDE/>
              <w:autoSpaceDN/>
              <w:bidi w:val="0"/>
              <w:snapToGrid w:val="0"/>
              <w:spacing w:line="560" w:lineRule="exact"/>
              <w:ind w:left="0" w:leftChars="0"/>
              <w:jc w:val="center"/>
              <w:rPr>
                <w:rFonts w:eastAsia="宋体"/>
                <w:color w:val="000000"/>
                <w:kern w:val="0"/>
                <w:sz w:val="22"/>
                <w:szCs w:val="22"/>
              </w:rPr>
            </w:pPr>
            <w:r>
              <w:rPr>
                <w:rFonts w:hint="eastAsia" w:eastAsia="宋体"/>
                <w:color w:val="000000"/>
                <w:kern w:val="0"/>
                <w:sz w:val="22"/>
                <w:szCs w:val="22"/>
                <w:lang w:val="en-US" w:eastAsia="zh-CN"/>
              </w:rPr>
              <w:t>100</w:t>
            </w:r>
            <w:r>
              <w:rPr>
                <w:rFonts w:eastAsia="宋体"/>
                <w:color w:val="000000"/>
                <w:kern w:val="0"/>
                <w:sz w:val="22"/>
                <w:szCs w:val="22"/>
              </w:rPr>
              <w:t>%</w:t>
            </w:r>
          </w:p>
        </w:tc>
        <w:tc>
          <w:tcPr>
            <w:tcW w:w="1215" w:type="dxa"/>
            <w:shd w:val="clear" w:color="000000" w:fill="FFFFFF"/>
            <w:vAlign w:val="center"/>
          </w:tcPr>
          <w:p w14:paraId="2A357A03">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100%</w:t>
            </w:r>
          </w:p>
        </w:tc>
        <w:tc>
          <w:tcPr>
            <w:tcW w:w="960" w:type="dxa"/>
            <w:shd w:val="clear" w:color="000000" w:fill="FFFFFF"/>
            <w:vAlign w:val="center"/>
          </w:tcPr>
          <w:p w14:paraId="69597BDA">
            <w:pPr>
              <w:pageBreakBefore w:val="0"/>
              <w:widowControl/>
              <w:kinsoku/>
              <w:wordWrap/>
              <w:overflowPunct/>
              <w:topLinePunct w:val="0"/>
              <w:autoSpaceDE/>
              <w:autoSpaceDN/>
              <w:bidi w:val="0"/>
              <w:snapToGrid w:val="0"/>
              <w:spacing w:line="560" w:lineRule="exact"/>
              <w:ind w:left="0" w:leftChars="0"/>
              <w:jc w:val="center"/>
              <w:rPr>
                <w:rFonts w:hint="default" w:eastAsia="宋体"/>
                <w:color w:val="000000"/>
                <w:kern w:val="0"/>
                <w:sz w:val="22"/>
                <w:szCs w:val="22"/>
                <w:lang w:val="en-US" w:eastAsia="zh-CN"/>
              </w:rPr>
            </w:pPr>
            <w:r>
              <w:rPr>
                <w:color w:val="000000"/>
                <w:kern w:val="0"/>
                <w:sz w:val="22"/>
                <w:szCs w:val="22"/>
              </w:rPr>
              <w:t>1</w:t>
            </w:r>
            <w:r>
              <w:rPr>
                <w:rFonts w:hint="eastAsia"/>
                <w:color w:val="000000"/>
                <w:kern w:val="0"/>
                <w:sz w:val="22"/>
                <w:szCs w:val="22"/>
              </w:rPr>
              <w:t>0</w:t>
            </w:r>
          </w:p>
        </w:tc>
      </w:tr>
      <w:tr w14:paraId="791170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4E7161ED">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p>
        </w:tc>
        <w:tc>
          <w:tcPr>
            <w:tcW w:w="990" w:type="dxa"/>
            <w:vMerge w:val="continue"/>
            <w:shd w:val="clear" w:color="auto" w:fill="FFFFFF"/>
            <w:vAlign w:val="center"/>
          </w:tcPr>
          <w:p w14:paraId="2329A323">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p>
        </w:tc>
        <w:tc>
          <w:tcPr>
            <w:tcW w:w="1283" w:type="dxa"/>
            <w:shd w:val="clear" w:color="auto" w:fill="FFFFFF"/>
            <w:vAlign w:val="center"/>
          </w:tcPr>
          <w:p w14:paraId="6D3A40B0">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产出质量</w:t>
            </w:r>
          </w:p>
        </w:tc>
        <w:tc>
          <w:tcPr>
            <w:tcW w:w="1707" w:type="dxa"/>
            <w:shd w:val="clear" w:color="auto" w:fill="FFFFFF"/>
            <w:vAlign w:val="center"/>
          </w:tcPr>
          <w:p w14:paraId="5FD2A915">
            <w:pPr>
              <w:pageBreakBefore w:val="0"/>
              <w:widowControl/>
              <w:kinsoku/>
              <w:wordWrap/>
              <w:overflowPunct/>
              <w:topLinePunct w:val="0"/>
              <w:autoSpaceDE/>
              <w:autoSpaceDN/>
              <w:bidi w:val="0"/>
              <w:snapToGrid w:val="0"/>
              <w:spacing w:line="560" w:lineRule="exact"/>
              <w:ind w:left="0" w:leftChars="0"/>
              <w:jc w:val="center"/>
              <w:rPr>
                <w:color w:val="000000"/>
                <w:kern w:val="0"/>
                <w:sz w:val="18"/>
                <w:szCs w:val="18"/>
              </w:rPr>
            </w:pPr>
            <w:r>
              <w:rPr>
                <w:color w:val="000000"/>
                <w:kern w:val="0"/>
                <w:sz w:val="18"/>
                <w:szCs w:val="18"/>
              </w:rPr>
              <w:t>质量达标率</w:t>
            </w:r>
          </w:p>
        </w:tc>
        <w:tc>
          <w:tcPr>
            <w:tcW w:w="727" w:type="dxa"/>
            <w:shd w:val="clear" w:color="000000" w:fill="FFFFFF"/>
            <w:vAlign w:val="center"/>
          </w:tcPr>
          <w:p w14:paraId="502FF2C9">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10</w:t>
            </w:r>
          </w:p>
        </w:tc>
        <w:tc>
          <w:tcPr>
            <w:tcW w:w="1044" w:type="dxa"/>
            <w:shd w:val="clear" w:color="000000" w:fill="FFFFFF"/>
            <w:vAlign w:val="center"/>
          </w:tcPr>
          <w:p w14:paraId="70B729CA">
            <w:pPr>
              <w:pageBreakBefore w:val="0"/>
              <w:widowControl/>
              <w:kinsoku/>
              <w:wordWrap/>
              <w:overflowPunct/>
              <w:topLinePunct w:val="0"/>
              <w:autoSpaceDE/>
              <w:autoSpaceDN/>
              <w:bidi w:val="0"/>
              <w:snapToGrid w:val="0"/>
              <w:spacing w:line="560" w:lineRule="exact"/>
              <w:ind w:left="0" w:leftChars="0"/>
              <w:jc w:val="center"/>
              <w:rPr>
                <w:rFonts w:eastAsia="宋体"/>
                <w:color w:val="000000"/>
                <w:kern w:val="0"/>
                <w:sz w:val="22"/>
                <w:szCs w:val="22"/>
              </w:rPr>
            </w:pPr>
            <w:r>
              <w:rPr>
                <w:rFonts w:eastAsia="宋体"/>
                <w:color w:val="000000"/>
                <w:kern w:val="0"/>
                <w:sz w:val="22"/>
                <w:szCs w:val="22"/>
              </w:rPr>
              <w:t>100%</w:t>
            </w:r>
          </w:p>
        </w:tc>
        <w:tc>
          <w:tcPr>
            <w:tcW w:w="924" w:type="dxa"/>
            <w:shd w:val="clear" w:color="000000" w:fill="FFFFFF"/>
            <w:vAlign w:val="center"/>
          </w:tcPr>
          <w:p w14:paraId="7787E66B">
            <w:pPr>
              <w:pageBreakBefore w:val="0"/>
              <w:widowControl/>
              <w:kinsoku/>
              <w:wordWrap/>
              <w:overflowPunct/>
              <w:topLinePunct w:val="0"/>
              <w:autoSpaceDE/>
              <w:autoSpaceDN/>
              <w:bidi w:val="0"/>
              <w:snapToGrid w:val="0"/>
              <w:spacing w:line="560" w:lineRule="exact"/>
              <w:ind w:left="0" w:leftChars="0"/>
              <w:jc w:val="center"/>
              <w:rPr>
                <w:rFonts w:eastAsia="宋体"/>
                <w:color w:val="000000"/>
                <w:kern w:val="0"/>
                <w:sz w:val="22"/>
                <w:szCs w:val="22"/>
              </w:rPr>
            </w:pPr>
            <w:r>
              <w:rPr>
                <w:rFonts w:hint="eastAsia" w:eastAsia="宋体"/>
                <w:color w:val="000000"/>
                <w:kern w:val="0"/>
                <w:sz w:val="22"/>
                <w:szCs w:val="22"/>
                <w:lang w:val="en-US" w:eastAsia="zh-CN"/>
              </w:rPr>
              <w:t>100</w:t>
            </w:r>
            <w:r>
              <w:rPr>
                <w:rFonts w:eastAsia="宋体"/>
                <w:color w:val="000000"/>
                <w:kern w:val="0"/>
                <w:sz w:val="22"/>
                <w:szCs w:val="22"/>
              </w:rPr>
              <w:t>%</w:t>
            </w:r>
          </w:p>
        </w:tc>
        <w:tc>
          <w:tcPr>
            <w:tcW w:w="1215" w:type="dxa"/>
            <w:shd w:val="clear" w:color="000000" w:fill="FFFFFF"/>
            <w:vAlign w:val="center"/>
          </w:tcPr>
          <w:p w14:paraId="34D07E23">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100%</w:t>
            </w:r>
          </w:p>
        </w:tc>
        <w:tc>
          <w:tcPr>
            <w:tcW w:w="960" w:type="dxa"/>
            <w:shd w:val="clear" w:color="000000" w:fill="FFFFFF"/>
            <w:vAlign w:val="center"/>
          </w:tcPr>
          <w:p w14:paraId="755354C6">
            <w:pPr>
              <w:pageBreakBefore w:val="0"/>
              <w:widowControl/>
              <w:kinsoku/>
              <w:wordWrap/>
              <w:overflowPunct/>
              <w:topLinePunct w:val="0"/>
              <w:autoSpaceDE/>
              <w:autoSpaceDN/>
              <w:bidi w:val="0"/>
              <w:snapToGrid w:val="0"/>
              <w:spacing w:line="560" w:lineRule="exact"/>
              <w:ind w:left="0" w:leftChars="0"/>
              <w:jc w:val="center"/>
              <w:rPr>
                <w:rFonts w:hint="default" w:eastAsia="宋体"/>
                <w:color w:val="000000"/>
                <w:kern w:val="0"/>
                <w:sz w:val="22"/>
                <w:szCs w:val="22"/>
                <w:lang w:val="en-US" w:eastAsia="zh-CN"/>
              </w:rPr>
            </w:pPr>
            <w:r>
              <w:rPr>
                <w:color w:val="000000"/>
                <w:kern w:val="0"/>
                <w:sz w:val="22"/>
                <w:szCs w:val="22"/>
              </w:rPr>
              <w:t>1</w:t>
            </w:r>
            <w:r>
              <w:rPr>
                <w:rFonts w:hint="eastAsia"/>
                <w:color w:val="000000"/>
                <w:kern w:val="0"/>
                <w:sz w:val="22"/>
                <w:szCs w:val="22"/>
              </w:rPr>
              <w:t>0</w:t>
            </w:r>
          </w:p>
        </w:tc>
      </w:tr>
      <w:tr w14:paraId="618984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5681E56E">
            <w:pPr>
              <w:pageBreakBefore w:val="0"/>
              <w:kinsoku/>
              <w:wordWrap/>
              <w:overflowPunct/>
              <w:topLinePunct w:val="0"/>
              <w:autoSpaceDE/>
              <w:autoSpaceDN/>
              <w:bidi w:val="0"/>
              <w:snapToGrid w:val="0"/>
              <w:spacing w:line="560" w:lineRule="exact"/>
              <w:ind w:left="0" w:leftChars="0"/>
              <w:jc w:val="center"/>
              <w:rPr>
                <w:color w:val="000000"/>
                <w:kern w:val="0"/>
                <w:sz w:val="22"/>
                <w:szCs w:val="22"/>
              </w:rPr>
            </w:pPr>
          </w:p>
        </w:tc>
        <w:tc>
          <w:tcPr>
            <w:tcW w:w="990" w:type="dxa"/>
            <w:vMerge w:val="continue"/>
            <w:shd w:val="clear" w:color="auto" w:fill="FFFFFF"/>
            <w:vAlign w:val="center"/>
          </w:tcPr>
          <w:p w14:paraId="17061DEF">
            <w:pPr>
              <w:pageBreakBefore w:val="0"/>
              <w:kinsoku/>
              <w:wordWrap/>
              <w:overflowPunct/>
              <w:topLinePunct w:val="0"/>
              <w:autoSpaceDE/>
              <w:autoSpaceDN/>
              <w:bidi w:val="0"/>
              <w:snapToGrid w:val="0"/>
              <w:spacing w:line="560" w:lineRule="exact"/>
              <w:ind w:left="0" w:leftChars="0"/>
              <w:jc w:val="center"/>
              <w:rPr>
                <w:color w:val="000000"/>
                <w:kern w:val="0"/>
                <w:sz w:val="22"/>
                <w:szCs w:val="22"/>
              </w:rPr>
            </w:pPr>
          </w:p>
        </w:tc>
        <w:tc>
          <w:tcPr>
            <w:tcW w:w="1283" w:type="dxa"/>
            <w:shd w:val="clear" w:color="auto" w:fill="FFFFFF"/>
            <w:vAlign w:val="center"/>
          </w:tcPr>
          <w:p w14:paraId="449A7BA0">
            <w:pPr>
              <w:pageBreakBefore w:val="0"/>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产出时效</w:t>
            </w:r>
          </w:p>
        </w:tc>
        <w:tc>
          <w:tcPr>
            <w:tcW w:w="1707" w:type="dxa"/>
            <w:shd w:val="clear" w:color="auto" w:fill="FFFFFF"/>
            <w:vAlign w:val="center"/>
          </w:tcPr>
          <w:p w14:paraId="5F0DFE45">
            <w:pPr>
              <w:pageBreakBefore w:val="0"/>
              <w:widowControl/>
              <w:kinsoku/>
              <w:wordWrap/>
              <w:overflowPunct/>
              <w:topLinePunct w:val="0"/>
              <w:autoSpaceDE/>
              <w:autoSpaceDN/>
              <w:bidi w:val="0"/>
              <w:snapToGrid w:val="0"/>
              <w:spacing w:line="560" w:lineRule="exact"/>
              <w:ind w:left="0" w:leftChars="0"/>
              <w:jc w:val="center"/>
              <w:rPr>
                <w:color w:val="000000"/>
                <w:kern w:val="0"/>
                <w:sz w:val="18"/>
                <w:szCs w:val="18"/>
              </w:rPr>
            </w:pPr>
            <w:r>
              <w:rPr>
                <w:color w:val="000000"/>
                <w:kern w:val="0"/>
                <w:sz w:val="18"/>
                <w:szCs w:val="18"/>
              </w:rPr>
              <w:t>完成及时性</w:t>
            </w:r>
          </w:p>
        </w:tc>
        <w:tc>
          <w:tcPr>
            <w:tcW w:w="727" w:type="dxa"/>
            <w:shd w:val="clear" w:color="000000" w:fill="FFFFFF"/>
            <w:vAlign w:val="center"/>
          </w:tcPr>
          <w:p w14:paraId="3C50E96C">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1044" w:type="dxa"/>
            <w:shd w:val="clear" w:color="000000" w:fill="FFFFFF"/>
            <w:vAlign w:val="center"/>
          </w:tcPr>
          <w:p w14:paraId="56841EC4">
            <w:pPr>
              <w:pageBreakBefore w:val="0"/>
              <w:widowControl/>
              <w:kinsoku/>
              <w:wordWrap/>
              <w:overflowPunct/>
              <w:topLinePunct w:val="0"/>
              <w:autoSpaceDE/>
              <w:autoSpaceDN/>
              <w:bidi w:val="0"/>
              <w:snapToGrid w:val="0"/>
              <w:spacing w:line="560" w:lineRule="exact"/>
              <w:ind w:left="0" w:leftChars="0"/>
              <w:jc w:val="center"/>
              <w:rPr>
                <w:rFonts w:eastAsia="宋体"/>
                <w:color w:val="000000"/>
                <w:kern w:val="0"/>
                <w:sz w:val="22"/>
                <w:szCs w:val="22"/>
              </w:rPr>
            </w:pPr>
            <w:r>
              <w:rPr>
                <w:rFonts w:eastAsia="宋体"/>
                <w:color w:val="000000"/>
                <w:kern w:val="0"/>
                <w:sz w:val="22"/>
                <w:szCs w:val="22"/>
              </w:rPr>
              <w:t>及时</w:t>
            </w:r>
          </w:p>
        </w:tc>
        <w:tc>
          <w:tcPr>
            <w:tcW w:w="924" w:type="dxa"/>
            <w:shd w:val="clear" w:color="000000" w:fill="FFFFFF"/>
            <w:vAlign w:val="center"/>
          </w:tcPr>
          <w:p w14:paraId="4EB212FA">
            <w:pPr>
              <w:pageBreakBefore w:val="0"/>
              <w:widowControl/>
              <w:kinsoku/>
              <w:wordWrap/>
              <w:overflowPunct/>
              <w:topLinePunct w:val="0"/>
              <w:autoSpaceDE/>
              <w:autoSpaceDN/>
              <w:bidi w:val="0"/>
              <w:snapToGrid w:val="0"/>
              <w:spacing w:line="560" w:lineRule="exact"/>
              <w:ind w:left="0" w:leftChars="0"/>
              <w:jc w:val="center"/>
              <w:rPr>
                <w:rFonts w:eastAsia="宋体"/>
                <w:color w:val="000000"/>
                <w:kern w:val="0"/>
                <w:sz w:val="22"/>
                <w:szCs w:val="22"/>
              </w:rPr>
            </w:pPr>
            <w:r>
              <w:rPr>
                <w:rFonts w:eastAsia="宋体"/>
                <w:color w:val="000000"/>
                <w:kern w:val="0"/>
                <w:sz w:val="22"/>
                <w:szCs w:val="22"/>
              </w:rPr>
              <w:t>及时</w:t>
            </w:r>
          </w:p>
        </w:tc>
        <w:tc>
          <w:tcPr>
            <w:tcW w:w="1215" w:type="dxa"/>
            <w:shd w:val="clear" w:color="000000" w:fill="FFFFFF"/>
            <w:vAlign w:val="center"/>
          </w:tcPr>
          <w:p w14:paraId="509AACD5">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100%</w:t>
            </w:r>
          </w:p>
        </w:tc>
        <w:tc>
          <w:tcPr>
            <w:tcW w:w="960" w:type="dxa"/>
            <w:shd w:val="clear" w:color="000000" w:fill="FFFFFF"/>
            <w:vAlign w:val="center"/>
          </w:tcPr>
          <w:p w14:paraId="3C474CD4">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1</w:t>
            </w:r>
            <w:r>
              <w:rPr>
                <w:rFonts w:hint="eastAsia"/>
                <w:color w:val="000000"/>
                <w:kern w:val="0"/>
                <w:sz w:val="22"/>
                <w:szCs w:val="22"/>
              </w:rPr>
              <w:t>0</w:t>
            </w:r>
          </w:p>
        </w:tc>
      </w:tr>
      <w:tr w14:paraId="59A905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3D40A15F">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p>
        </w:tc>
        <w:tc>
          <w:tcPr>
            <w:tcW w:w="990" w:type="dxa"/>
            <w:vMerge w:val="continue"/>
            <w:shd w:val="clear" w:color="auto" w:fill="FFFFFF"/>
            <w:vAlign w:val="center"/>
          </w:tcPr>
          <w:p w14:paraId="00711A43">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p>
        </w:tc>
        <w:tc>
          <w:tcPr>
            <w:tcW w:w="1283" w:type="dxa"/>
            <w:shd w:val="clear" w:color="auto" w:fill="FFFFFF"/>
            <w:vAlign w:val="center"/>
          </w:tcPr>
          <w:p w14:paraId="536B81A0">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产出成本</w:t>
            </w:r>
          </w:p>
        </w:tc>
        <w:tc>
          <w:tcPr>
            <w:tcW w:w="1707" w:type="dxa"/>
            <w:shd w:val="clear" w:color="auto" w:fill="FFFFFF"/>
            <w:vAlign w:val="center"/>
          </w:tcPr>
          <w:p w14:paraId="24F40CFF">
            <w:pPr>
              <w:pageBreakBefore w:val="0"/>
              <w:widowControl/>
              <w:kinsoku/>
              <w:wordWrap/>
              <w:overflowPunct/>
              <w:topLinePunct w:val="0"/>
              <w:autoSpaceDE/>
              <w:autoSpaceDN/>
              <w:bidi w:val="0"/>
              <w:snapToGrid w:val="0"/>
              <w:spacing w:line="560" w:lineRule="exact"/>
              <w:ind w:left="0" w:leftChars="0"/>
              <w:jc w:val="center"/>
              <w:rPr>
                <w:color w:val="000000"/>
                <w:kern w:val="0"/>
                <w:sz w:val="18"/>
                <w:szCs w:val="18"/>
              </w:rPr>
            </w:pPr>
            <w:r>
              <w:rPr>
                <w:color w:val="000000"/>
                <w:kern w:val="0"/>
                <w:sz w:val="18"/>
                <w:szCs w:val="18"/>
              </w:rPr>
              <w:t>成本节约率</w:t>
            </w:r>
          </w:p>
        </w:tc>
        <w:tc>
          <w:tcPr>
            <w:tcW w:w="727" w:type="dxa"/>
            <w:shd w:val="clear" w:color="000000" w:fill="FFFFFF"/>
            <w:vAlign w:val="center"/>
          </w:tcPr>
          <w:p w14:paraId="06173087">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10</w:t>
            </w:r>
          </w:p>
        </w:tc>
        <w:tc>
          <w:tcPr>
            <w:tcW w:w="1044" w:type="dxa"/>
            <w:shd w:val="clear" w:color="000000" w:fill="FFFFFF"/>
            <w:vAlign w:val="center"/>
          </w:tcPr>
          <w:p w14:paraId="19F6B8A2">
            <w:pPr>
              <w:pageBreakBefore w:val="0"/>
              <w:widowControl/>
              <w:kinsoku/>
              <w:wordWrap/>
              <w:overflowPunct/>
              <w:topLinePunct w:val="0"/>
              <w:autoSpaceDE/>
              <w:autoSpaceDN/>
              <w:bidi w:val="0"/>
              <w:snapToGrid w:val="0"/>
              <w:spacing w:line="560" w:lineRule="exact"/>
              <w:ind w:left="0" w:leftChars="0"/>
              <w:jc w:val="center"/>
              <w:rPr>
                <w:rFonts w:eastAsia="宋体"/>
                <w:color w:val="000000"/>
                <w:kern w:val="0"/>
                <w:sz w:val="22"/>
                <w:szCs w:val="22"/>
              </w:rPr>
            </w:pPr>
            <w:r>
              <w:rPr>
                <w:rFonts w:eastAsia="宋体"/>
                <w:color w:val="000000"/>
                <w:kern w:val="0"/>
                <w:sz w:val="22"/>
                <w:szCs w:val="22"/>
              </w:rPr>
              <w:t>100%</w:t>
            </w:r>
          </w:p>
        </w:tc>
        <w:tc>
          <w:tcPr>
            <w:tcW w:w="924" w:type="dxa"/>
            <w:shd w:val="clear" w:color="000000" w:fill="FFFFFF"/>
            <w:vAlign w:val="center"/>
          </w:tcPr>
          <w:p w14:paraId="504682E1">
            <w:pPr>
              <w:pageBreakBefore w:val="0"/>
              <w:widowControl/>
              <w:kinsoku/>
              <w:wordWrap/>
              <w:overflowPunct/>
              <w:topLinePunct w:val="0"/>
              <w:autoSpaceDE/>
              <w:autoSpaceDN/>
              <w:bidi w:val="0"/>
              <w:snapToGrid w:val="0"/>
              <w:spacing w:line="560" w:lineRule="exact"/>
              <w:ind w:left="0" w:leftChars="0"/>
              <w:jc w:val="center"/>
              <w:rPr>
                <w:rFonts w:eastAsia="宋体"/>
                <w:color w:val="000000"/>
                <w:kern w:val="0"/>
                <w:sz w:val="22"/>
                <w:szCs w:val="22"/>
              </w:rPr>
            </w:pPr>
            <w:r>
              <w:rPr>
                <w:rFonts w:hint="eastAsia" w:eastAsia="宋体"/>
                <w:color w:val="000000"/>
                <w:kern w:val="0"/>
                <w:sz w:val="22"/>
                <w:szCs w:val="22"/>
                <w:lang w:val="en-US" w:eastAsia="zh-CN"/>
              </w:rPr>
              <w:t>100</w:t>
            </w:r>
            <w:r>
              <w:rPr>
                <w:rFonts w:eastAsia="宋体"/>
                <w:color w:val="000000"/>
                <w:kern w:val="0"/>
                <w:sz w:val="22"/>
                <w:szCs w:val="22"/>
              </w:rPr>
              <w:t>%</w:t>
            </w:r>
          </w:p>
        </w:tc>
        <w:tc>
          <w:tcPr>
            <w:tcW w:w="1215" w:type="dxa"/>
            <w:shd w:val="clear" w:color="000000" w:fill="FFFFFF"/>
            <w:vAlign w:val="center"/>
          </w:tcPr>
          <w:p w14:paraId="2F7F002C">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100%</w:t>
            </w:r>
          </w:p>
        </w:tc>
        <w:tc>
          <w:tcPr>
            <w:tcW w:w="960" w:type="dxa"/>
            <w:shd w:val="clear" w:color="000000" w:fill="FFFFFF"/>
            <w:vAlign w:val="center"/>
          </w:tcPr>
          <w:p w14:paraId="227CC498">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1</w:t>
            </w:r>
            <w:r>
              <w:rPr>
                <w:rFonts w:hint="eastAsia"/>
                <w:color w:val="000000"/>
                <w:kern w:val="0"/>
                <w:sz w:val="22"/>
                <w:szCs w:val="22"/>
              </w:rPr>
              <w:t>0</w:t>
            </w:r>
          </w:p>
        </w:tc>
      </w:tr>
      <w:tr w14:paraId="58E547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70" w:hRule="atLeast"/>
        </w:trPr>
        <w:tc>
          <w:tcPr>
            <w:tcW w:w="1104" w:type="dxa"/>
            <w:vMerge w:val="restart"/>
            <w:shd w:val="clear" w:color="auto" w:fill="FFFFFF"/>
            <w:vAlign w:val="center"/>
          </w:tcPr>
          <w:p w14:paraId="467C357B">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效益　</w:t>
            </w:r>
          </w:p>
        </w:tc>
        <w:tc>
          <w:tcPr>
            <w:tcW w:w="990" w:type="dxa"/>
            <w:vMerge w:val="restart"/>
            <w:shd w:val="clear" w:color="auto" w:fill="FFFFFF"/>
            <w:vAlign w:val="center"/>
          </w:tcPr>
          <w:p w14:paraId="0D9BC69C">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20</w:t>
            </w:r>
            <w:r>
              <w:rPr>
                <w:color w:val="000000"/>
                <w:kern w:val="0"/>
                <w:sz w:val="22"/>
                <w:szCs w:val="22"/>
              </w:rPr>
              <w:t>分</w:t>
            </w:r>
          </w:p>
        </w:tc>
        <w:tc>
          <w:tcPr>
            <w:tcW w:w="1283" w:type="dxa"/>
            <w:vMerge w:val="restart"/>
            <w:shd w:val="clear" w:color="auto" w:fill="FFFFFF"/>
            <w:vAlign w:val="center"/>
          </w:tcPr>
          <w:p w14:paraId="21075BCC">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项目效益　</w:t>
            </w:r>
          </w:p>
        </w:tc>
        <w:tc>
          <w:tcPr>
            <w:tcW w:w="1707" w:type="dxa"/>
            <w:shd w:val="clear" w:color="auto" w:fill="FFFFFF"/>
            <w:vAlign w:val="center"/>
          </w:tcPr>
          <w:p w14:paraId="4D1BDAE6">
            <w:pPr>
              <w:pageBreakBefore w:val="0"/>
              <w:widowControl/>
              <w:kinsoku/>
              <w:wordWrap/>
              <w:overflowPunct/>
              <w:topLinePunct w:val="0"/>
              <w:autoSpaceDE/>
              <w:autoSpaceDN/>
              <w:bidi w:val="0"/>
              <w:snapToGrid w:val="0"/>
              <w:spacing w:line="560" w:lineRule="exact"/>
              <w:ind w:left="0" w:leftChars="0"/>
              <w:jc w:val="center"/>
              <w:rPr>
                <w:color w:val="000000"/>
                <w:kern w:val="0"/>
                <w:sz w:val="18"/>
                <w:szCs w:val="18"/>
              </w:rPr>
            </w:pPr>
            <w:r>
              <w:rPr>
                <w:color w:val="000000"/>
                <w:kern w:val="0"/>
                <w:sz w:val="18"/>
                <w:szCs w:val="18"/>
              </w:rPr>
              <w:t>实施效益</w:t>
            </w:r>
          </w:p>
          <w:p w14:paraId="131CE5B9">
            <w:pPr>
              <w:pageBreakBefore w:val="0"/>
              <w:widowControl/>
              <w:kinsoku/>
              <w:wordWrap/>
              <w:overflowPunct/>
              <w:topLinePunct w:val="0"/>
              <w:autoSpaceDE/>
              <w:autoSpaceDN/>
              <w:bidi w:val="0"/>
              <w:snapToGrid w:val="0"/>
              <w:spacing w:line="560" w:lineRule="exact"/>
              <w:ind w:left="0" w:leftChars="0"/>
              <w:jc w:val="center"/>
              <w:rPr>
                <w:color w:val="000000"/>
                <w:kern w:val="0"/>
                <w:sz w:val="18"/>
                <w:szCs w:val="18"/>
              </w:rPr>
            </w:pPr>
            <w:r>
              <w:rPr>
                <w:color w:val="000000"/>
                <w:kern w:val="0"/>
                <w:sz w:val="18"/>
                <w:szCs w:val="18"/>
              </w:rPr>
              <w:t>（社会效益、经济效益、可持续效益）</w:t>
            </w:r>
          </w:p>
        </w:tc>
        <w:tc>
          <w:tcPr>
            <w:tcW w:w="727" w:type="dxa"/>
            <w:shd w:val="clear" w:color="auto" w:fill="FFFFFF"/>
            <w:vAlign w:val="center"/>
          </w:tcPr>
          <w:p w14:paraId="709A3C2D">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15</w:t>
            </w:r>
          </w:p>
        </w:tc>
        <w:tc>
          <w:tcPr>
            <w:tcW w:w="1044" w:type="dxa"/>
            <w:shd w:val="clear" w:color="auto" w:fill="FFFFFF"/>
            <w:vAlign w:val="center"/>
          </w:tcPr>
          <w:p w14:paraId="7947EFCC">
            <w:pPr>
              <w:pageBreakBefore w:val="0"/>
              <w:widowControl/>
              <w:kinsoku/>
              <w:wordWrap/>
              <w:overflowPunct/>
              <w:topLinePunct w:val="0"/>
              <w:autoSpaceDE/>
              <w:autoSpaceDN/>
              <w:bidi w:val="0"/>
              <w:snapToGrid w:val="0"/>
              <w:spacing w:line="560" w:lineRule="exact"/>
              <w:ind w:left="0" w:leftChars="0"/>
              <w:jc w:val="center"/>
              <w:rPr>
                <w:rFonts w:eastAsia="宋体"/>
                <w:color w:val="000000"/>
                <w:kern w:val="0"/>
                <w:sz w:val="22"/>
                <w:szCs w:val="22"/>
              </w:rPr>
            </w:pPr>
            <w:r>
              <w:rPr>
                <w:rFonts w:eastAsia="宋体"/>
                <w:color w:val="000000"/>
                <w:kern w:val="0"/>
                <w:sz w:val="22"/>
                <w:szCs w:val="22"/>
              </w:rPr>
              <w:t>有效</w:t>
            </w:r>
          </w:p>
        </w:tc>
        <w:tc>
          <w:tcPr>
            <w:tcW w:w="924" w:type="dxa"/>
            <w:shd w:val="clear" w:color="auto" w:fill="FFFFFF"/>
            <w:vAlign w:val="center"/>
          </w:tcPr>
          <w:p w14:paraId="08A9FC99">
            <w:pPr>
              <w:pageBreakBefore w:val="0"/>
              <w:widowControl/>
              <w:kinsoku/>
              <w:wordWrap/>
              <w:overflowPunct/>
              <w:topLinePunct w:val="0"/>
              <w:autoSpaceDE/>
              <w:autoSpaceDN/>
              <w:bidi w:val="0"/>
              <w:snapToGrid w:val="0"/>
              <w:spacing w:line="560" w:lineRule="exact"/>
              <w:ind w:left="0" w:leftChars="0"/>
              <w:jc w:val="center"/>
              <w:rPr>
                <w:rFonts w:eastAsia="宋体"/>
                <w:color w:val="000000"/>
                <w:kern w:val="0"/>
                <w:sz w:val="22"/>
                <w:szCs w:val="22"/>
              </w:rPr>
            </w:pPr>
            <w:r>
              <w:rPr>
                <w:rFonts w:eastAsia="宋体"/>
                <w:color w:val="000000"/>
                <w:kern w:val="0"/>
                <w:sz w:val="22"/>
                <w:szCs w:val="22"/>
              </w:rPr>
              <w:t>有效</w:t>
            </w:r>
          </w:p>
        </w:tc>
        <w:tc>
          <w:tcPr>
            <w:tcW w:w="1215" w:type="dxa"/>
            <w:shd w:val="clear" w:color="auto" w:fill="FFFFFF"/>
            <w:vAlign w:val="center"/>
          </w:tcPr>
          <w:p w14:paraId="0B3C471D">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100%</w:t>
            </w:r>
          </w:p>
        </w:tc>
        <w:tc>
          <w:tcPr>
            <w:tcW w:w="960" w:type="dxa"/>
            <w:shd w:val="clear" w:color="auto" w:fill="FFFFFF"/>
            <w:vAlign w:val="center"/>
          </w:tcPr>
          <w:p w14:paraId="1E533F56">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15</w:t>
            </w:r>
          </w:p>
        </w:tc>
      </w:tr>
      <w:tr w14:paraId="3D07C6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2A77D3B">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p>
        </w:tc>
        <w:tc>
          <w:tcPr>
            <w:tcW w:w="990" w:type="dxa"/>
            <w:vMerge w:val="continue"/>
            <w:shd w:val="clear" w:color="auto" w:fill="FFFFFF"/>
            <w:vAlign w:val="center"/>
          </w:tcPr>
          <w:p w14:paraId="47703A75">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p>
        </w:tc>
        <w:tc>
          <w:tcPr>
            <w:tcW w:w="1283" w:type="dxa"/>
            <w:vMerge w:val="continue"/>
            <w:shd w:val="clear" w:color="auto" w:fill="FFFFFF"/>
            <w:vAlign w:val="center"/>
          </w:tcPr>
          <w:p w14:paraId="4CC222B4">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p>
        </w:tc>
        <w:tc>
          <w:tcPr>
            <w:tcW w:w="1707" w:type="dxa"/>
            <w:shd w:val="clear" w:color="auto" w:fill="FFFFFF"/>
            <w:vAlign w:val="center"/>
          </w:tcPr>
          <w:p w14:paraId="04C43EEA">
            <w:pPr>
              <w:pageBreakBefore w:val="0"/>
              <w:widowControl/>
              <w:kinsoku/>
              <w:wordWrap/>
              <w:overflowPunct/>
              <w:topLinePunct w:val="0"/>
              <w:autoSpaceDE/>
              <w:autoSpaceDN/>
              <w:bidi w:val="0"/>
              <w:snapToGrid w:val="0"/>
              <w:spacing w:line="560" w:lineRule="exact"/>
              <w:ind w:left="0" w:leftChars="0"/>
              <w:jc w:val="center"/>
              <w:rPr>
                <w:color w:val="000000"/>
                <w:kern w:val="0"/>
                <w:sz w:val="18"/>
                <w:szCs w:val="18"/>
              </w:rPr>
            </w:pPr>
            <w:r>
              <w:rPr>
                <w:color w:val="000000"/>
                <w:kern w:val="0"/>
                <w:sz w:val="18"/>
                <w:szCs w:val="18"/>
              </w:rPr>
              <w:t>满意度</w:t>
            </w:r>
          </w:p>
        </w:tc>
        <w:tc>
          <w:tcPr>
            <w:tcW w:w="727" w:type="dxa"/>
            <w:shd w:val="clear" w:color="000000" w:fill="FFFFFF"/>
            <w:vAlign w:val="center"/>
          </w:tcPr>
          <w:p w14:paraId="062651B1">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5</w:t>
            </w:r>
          </w:p>
        </w:tc>
        <w:tc>
          <w:tcPr>
            <w:tcW w:w="1044" w:type="dxa"/>
            <w:shd w:val="clear" w:color="000000" w:fill="FFFFFF"/>
            <w:vAlign w:val="center"/>
          </w:tcPr>
          <w:p w14:paraId="119945B4">
            <w:pPr>
              <w:pageBreakBefore w:val="0"/>
              <w:widowControl/>
              <w:kinsoku/>
              <w:wordWrap/>
              <w:overflowPunct/>
              <w:topLinePunct w:val="0"/>
              <w:autoSpaceDE/>
              <w:autoSpaceDN/>
              <w:bidi w:val="0"/>
              <w:snapToGrid w:val="0"/>
              <w:spacing w:line="560" w:lineRule="exact"/>
              <w:ind w:left="0" w:leftChars="0"/>
              <w:jc w:val="center"/>
              <w:rPr>
                <w:rFonts w:eastAsia="宋体"/>
                <w:color w:val="000000"/>
                <w:kern w:val="0"/>
                <w:sz w:val="22"/>
                <w:szCs w:val="22"/>
              </w:rPr>
            </w:pPr>
            <w:r>
              <w:rPr>
                <w:rFonts w:eastAsia="宋体"/>
                <w:color w:val="000000"/>
                <w:kern w:val="0"/>
                <w:sz w:val="22"/>
                <w:szCs w:val="22"/>
              </w:rPr>
              <w:t>≥</w:t>
            </w:r>
            <w:r>
              <w:rPr>
                <w:rFonts w:hint="eastAsia" w:eastAsia="宋体"/>
                <w:color w:val="000000"/>
                <w:kern w:val="0"/>
                <w:sz w:val="22"/>
                <w:szCs w:val="22"/>
                <w:lang w:val="en-US" w:eastAsia="zh-CN"/>
              </w:rPr>
              <w:t>90</w:t>
            </w:r>
            <w:r>
              <w:rPr>
                <w:rFonts w:eastAsia="宋体"/>
                <w:color w:val="000000"/>
                <w:kern w:val="0"/>
                <w:sz w:val="22"/>
                <w:szCs w:val="22"/>
              </w:rPr>
              <w:t>%</w:t>
            </w:r>
          </w:p>
        </w:tc>
        <w:tc>
          <w:tcPr>
            <w:tcW w:w="924" w:type="dxa"/>
            <w:shd w:val="clear" w:color="000000" w:fill="FFFFFF"/>
            <w:vAlign w:val="center"/>
          </w:tcPr>
          <w:p w14:paraId="1FD136D9">
            <w:pPr>
              <w:pageBreakBefore w:val="0"/>
              <w:widowControl/>
              <w:kinsoku/>
              <w:wordWrap/>
              <w:overflowPunct/>
              <w:topLinePunct w:val="0"/>
              <w:autoSpaceDE/>
              <w:autoSpaceDN/>
              <w:bidi w:val="0"/>
              <w:snapToGrid w:val="0"/>
              <w:spacing w:line="560" w:lineRule="exact"/>
              <w:ind w:left="0" w:leftChars="0"/>
              <w:jc w:val="center"/>
              <w:rPr>
                <w:rFonts w:eastAsia="宋体"/>
                <w:color w:val="000000"/>
                <w:kern w:val="0"/>
                <w:sz w:val="22"/>
                <w:szCs w:val="22"/>
              </w:rPr>
            </w:pPr>
            <w:r>
              <w:rPr>
                <w:rFonts w:hint="eastAsia" w:eastAsia="宋体"/>
                <w:color w:val="000000"/>
                <w:kern w:val="0"/>
                <w:sz w:val="22"/>
                <w:szCs w:val="22"/>
                <w:lang w:val="en-US" w:eastAsia="zh-CN"/>
              </w:rPr>
              <w:t>95</w:t>
            </w:r>
            <w:r>
              <w:rPr>
                <w:rFonts w:eastAsia="宋体"/>
                <w:color w:val="000000"/>
                <w:kern w:val="0"/>
                <w:sz w:val="22"/>
                <w:szCs w:val="22"/>
              </w:rPr>
              <w:t>%</w:t>
            </w:r>
          </w:p>
        </w:tc>
        <w:tc>
          <w:tcPr>
            <w:tcW w:w="1215" w:type="dxa"/>
            <w:shd w:val="clear" w:color="000000" w:fill="FFFFFF"/>
            <w:vAlign w:val="center"/>
          </w:tcPr>
          <w:p w14:paraId="7E9B211D">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100%</w:t>
            </w:r>
          </w:p>
        </w:tc>
        <w:tc>
          <w:tcPr>
            <w:tcW w:w="960" w:type="dxa"/>
            <w:shd w:val="clear" w:color="000000" w:fill="FFFFFF"/>
            <w:vAlign w:val="center"/>
          </w:tcPr>
          <w:p w14:paraId="57BE9BB2">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rFonts w:hint="eastAsia"/>
                <w:color w:val="000000"/>
                <w:kern w:val="0"/>
                <w:sz w:val="22"/>
                <w:szCs w:val="22"/>
              </w:rPr>
              <w:t>5</w:t>
            </w:r>
          </w:p>
        </w:tc>
      </w:tr>
    </w:tbl>
    <w:p w14:paraId="5DBE50CA">
      <w:pPr>
        <w:pageBreakBefore w:val="0"/>
        <w:kinsoku/>
        <w:wordWrap/>
        <w:overflowPunct/>
        <w:topLinePunct w:val="0"/>
        <w:autoSpaceDE/>
        <w:autoSpaceDN/>
        <w:bidi w:val="0"/>
        <w:snapToGrid w:val="0"/>
        <w:spacing w:line="560" w:lineRule="exact"/>
        <w:ind w:left="0" w:leftChars="0" w:firstLine="320" w:firstLineChars="100"/>
        <w:rPr>
          <w:rFonts w:eastAsia="黑体"/>
          <w:sz w:val="32"/>
          <w:szCs w:val="32"/>
        </w:rPr>
      </w:pPr>
    </w:p>
    <w:p w14:paraId="7D17A5EE">
      <w:pPr>
        <w:pageBreakBefore w:val="0"/>
        <w:kinsoku/>
        <w:wordWrap/>
        <w:overflowPunct/>
        <w:topLinePunct w:val="0"/>
        <w:autoSpaceDE/>
        <w:autoSpaceDN/>
        <w:bidi w:val="0"/>
        <w:snapToGrid w:val="0"/>
        <w:spacing w:line="560" w:lineRule="exact"/>
        <w:ind w:left="0" w:leftChars="0" w:firstLine="320" w:firstLineChars="100"/>
        <w:rPr>
          <w:rFonts w:eastAsia="黑体"/>
          <w:sz w:val="32"/>
          <w:szCs w:val="32"/>
        </w:rPr>
      </w:pPr>
      <w:r>
        <w:rPr>
          <w:rFonts w:eastAsia="黑体"/>
          <w:sz w:val="32"/>
          <w:szCs w:val="32"/>
        </w:rPr>
        <w:t>四、绩效评价指标分析</w:t>
      </w:r>
    </w:p>
    <w:p w14:paraId="7250C46B">
      <w:pPr>
        <w:pStyle w:val="18"/>
        <w:pageBreakBefore w:val="0"/>
        <w:kinsoku/>
        <w:wordWrap/>
        <w:overflowPunct/>
        <w:topLinePunct w:val="0"/>
        <w:autoSpaceDE/>
        <w:autoSpaceDN/>
        <w:bidi w:val="0"/>
        <w:snapToGrid w:val="0"/>
        <w:spacing w:before="0" w:after="0" w:line="560" w:lineRule="exact"/>
        <w:ind w:left="0" w:leftChars="0" w:firstLine="321" w:firstLineChars="100"/>
        <w:jc w:val="both"/>
        <w:rPr>
          <w:rFonts w:ascii="Times New Roman" w:hAnsi="Times New Roman" w:eastAsia="楷体_GB2312"/>
        </w:rPr>
      </w:pPr>
      <w:r>
        <w:rPr>
          <w:rFonts w:ascii="Times New Roman" w:hAnsi="Times New Roman" w:eastAsia="楷体_GB2312"/>
        </w:rPr>
        <w:t>（一）项目决策情况</w:t>
      </w:r>
    </w:p>
    <w:p w14:paraId="6710722C">
      <w:pPr>
        <w:keepNext w:val="0"/>
        <w:keepLines w:val="0"/>
        <w:pageBreakBefore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实施严格按照各项活动事前事后审批要求，通过逐级审批决策确定实施项目，主要组织开展的重点活动，均为自治区确定的重点活动，自治区工信厅做为主办，按照分工要求，由招商协作发展处负责具体项目实施。在项目实施前，项目决策过程均按照具体工作程序进行，经过严格审核同意后，才进行实施。</w:t>
      </w:r>
    </w:p>
    <w:p w14:paraId="22B93436">
      <w:pPr>
        <w:keepNext w:val="0"/>
        <w:keepLines w:val="0"/>
        <w:pageBreakBefore w:val="0"/>
        <w:numPr>
          <w:ilvl w:val="0"/>
          <w:numId w:val="4"/>
        </w:numPr>
        <w:pBdr>
          <w:bottom w:val="single" w:color="FFFFFF" w:sz="4" w:space="31"/>
        </w:pBdr>
        <w:tabs>
          <w:tab w:val="left" w:pos="1440"/>
        </w:tabs>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hint="eastAsia" w:ascii="Times New Roman" w:hAnsi="Times New Roman" w:eastAsia="楷体_GB2312"/>
          <w:b/>
          <w:bCs/>
          <w:sz w:val="32"/>
          <w:szCs w:val="32"/>
          <w:lang w:val="en-US" w:eastAsia="zh-CN"/>
        </w:rPr>
      </w:pPr>
      <w:r>
        <w:rPr>
          <w:rFonts w:hint="eastAsia" w:ascii="Times New Roman" w:hAnsi="Times New Roman" w:eastAsia="楷体_GB2312"/>
          <w:b/>
          <w:bCs/>
          <w:sz w:val="32"/>
          <w:szCs w:val="32"/>
          <w:lang w:val="en-US" w:eastAsia="zh-CN"/>
        </w:rPr>
        <w:t>项目过程情况</w:t>
      </w:r>
    </w:p>
    <w:p w14:paraId="6C555C40">
      <w:pPr>
        <w:keepNext w:val="0"/>
        <w:keepLines w:val="0"/>
        <w:pageBreakBefore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自治区党委、政府对此次活动高度重视，马兴瑞书记亲自审定活动事项，艾尔肯·吐尼亚孜主席主持召开政府常务会审议活动方案，自治区分管领导在今</w:t>
      </w:r>
      <w:r>
        <w:rPr>
          <w:rFonts w:hint="default" w:ascii="Times New Roman" w:hAnsi="Times New Roman" w:eastAsia="仿宋_GB2312" w:cs="Times New Roman"/>
          <w:b w:val="0"/>
          <w:bCs w:val="0"/>
          <w:kern w:val="2"/>
          <w:sz w:val="32"/>
          <w:szCs w:val="32"/>
          <w:lang w:val="en-US" w:eastAsia="zh-CN" w:bidi="ar-SA"/>
        </w:rPr>
        <w:t>年2月带队赴广东省学习考察和洽谈合作基础上，多次听取并研究有关事项，</w:t>
      </w:r>
      <w:r>
        <w:rPr>
          <w:rFonts w:hint="eastAsia" w:ascii="Times New Roman" w:hAnsi="Times New Roman" w:eastAsia="仿宋_GB2312" w:cs="Times New Roman"/>
          <w:b w:val="0"/>
          <w:bCs w:val="0"/>
          <w:kern w:val="2"/>
          <w:sz w:val="32"/>
          <w:szCs w:val="32"/>
          <w:lang w:val="en-US" w:eastAsia="zh-CN" w:bidi="ar-SA"/>
        </w:rPr>
        <w:t>并</w:t>
      </w:r>
      <w:r>
        <w:rPr>
          <w:rFonts w:hint="default" w:ascii="Times New Roman" w:hAnsi="Times New Roman" w:eastAsia="仿宋_GB2312" w:cs="Times New Roman"/>
          <w:b w:val="0"/>
          <w:bCs w:val="0"/>
          <w:kern w:val="2"/>
          <w:sz w:val="32"/>
          <w:szCs w:val="32"/>
          <w:lang w:val="en-US" w:eastAsia="zh-CN" w:bidi="ar-SA"/>
        </w:rPr>
        <w:t>邀请10余家深圳企业负责人恳谈交流。自治区工信厅精心组织，提早安排伊犁州、喀什地区、克拉玛依市等10个地（州、市）和喀什经开区、霍尔果斯经开区、准东经济技术开发区等5个园区（开发区）</w:t>
      </w:r>
      <w:r>
        <w:rPr>
          <w:rFonts w:hint="eastAsia" w:ascii="Times New Roman" w:hAnsi="Times New Roman" w:eastAsia="仿宋_GB2312" w:cs="Times New Roman"/>
          <w:b w:val="0"/>
          <w:bCs w:val="0"/>
          <w:kern w:val="2"/>
          <w:sz w:val="32"/>
          <w:szCs w:val="32"/>
          <w:lang w:val="en-US" w:eastAsia="zh-CN" w:bidi="ar-SA"/>
        </w:rPr>
        <w:t>积极</w:t>
      </w:r>
      <w:r>
        <w:rPr>
          <w:rFonts w:hint="default" w:ascii="Times New Roman" w:hAnsi="Times New Roman" w:eastAsia="仿宋_GB2312" w:cs="Times New Roman"/>
          <w:b w:val="0"/>
          <w:bCs w:val="0"/>
          <w:kern w:val="2"/>
          <w:sz w:val="32"/>
          <w:szCs w:val="32"/>
          <w:lang w:val="en-US" w:eastAsia="zh-CN" w:bidi="ar-SA"/>
        </w:rPr>
        <w:t>对接，对洽谈项目反复梳理、沟通协调、核实确认，</w:t>
      </w:r>
      <w:r>
        <w:rPr>
          <w:rFonts w:hint="eastAsia" w:ascii="Times New Roman" w:hAnsi="Times New Roman" w:eastAsia="仿宋_GB2312" w:cs="Times New Roman"/>
          <w:b w:val="0"/>
          <w:bCs w:val="0"/>
          <w:kern w:val="2"/>
          <w:sz w:val="32"/>
          <w:szCs w:val="32"/>
          <w:lang w:val="en-US" w:eastAsia="zh-CN" w:bidi="ar-SA"/>
        </w:rPr>
        <w:t>组织提前</w:t>
      </w:r>
      <w:r>
        <w:rPr>
          <w:rFonts w:hint="default" w:ascii="Times New Roman" w:hAnsi="Times New Roman" w:eastAsia="仿宋_GB2312" w:cs="Times New Roman"/>
          <w:b w:val="0"/>
          <w:bCs w:val="0"/>
          <w:kern w:val="2"/>
          <w:sz w:val="32"/>
          <w:szCs w:val="32"/>
          <w:lang w:val="en-US" w:eastAsia="zh-CN" w:bidi="ar-SA"/>
        </w:rPr>
        <w:t>签约</w:t>
      </w:r>
      <w:r>
        <w:rPr>
          <w:rFonts w:hint="eastAsia" w:ascii="Times New Roman" w:hAnsi="Times New Roman" w:eastAsia="仿宋_GB2312" w:cs="Times New Roman"/>
          <w:b w:val="0"/>
          <w:bCs w:val="0"/>
          <w:kern w:val="2"/>
          <w:sz w:val="32"/>
          <w:szCs w:val="32"/>
          <w:lang w:val="en-US" w:eastAsia="zh-CN" w:bidi="ar-SA"/>
        </w:rPr>
        <w:t>了一批</w:t>
      </w:r>
      <w:r>
        <w:rPr>
          <w:rFonts w:hint="default" w:ascii="Times New Roman" w:hAnsi="Times New Roman" w:eastAsia="仿宋_GB2312" w:cs="Times New Roman"/>
          <w:b w:val="0"/>
          <w:bCs w:val="0"/>
          <w:kern w:val="2"/>
          <w:sz w:val="32"/>
          <w:szCs w:val="32"/>
          <w:lang w:val="en-US" w:eastAsia="zh-CN" w:bidi="ar-SA"/>
        </w:rPr>
        <w:t>条件成熟项目，谋划筛选了一批现场签约项目。</w:t>
      </w:r>
    </w:p>
    <w:p w14:paraId="23C52E40">
      <w:pPr>
        <w:keepNext w:val="0"/>
        <w:keepLines w:val="0"/>
        <w:pageBreakBefore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4月26日上午，新疆（深圳）产业</w:t>
      </w:r>
      <w:r>
        <w:rPr>
          <w:rFonts w:hint="eastAsia" w:ascii="Times New Roman" w:hAnsi="Times New Roman" w:eastAsia="仿宋_GB2312" w:cs="Times New Roman"/>
          <w:b w:val="0"/>
          <w:bCs w:val="0"/>
          <w:kern w:val="2"/>
          <w:sz w:val="32"/>
          <w:szCs w:val="32"/>
          <w:lang w:val="en-US" w:eastAsia="zh-CN" w:bidi="ar-SA"/>
        </w:rPr>
        <w:t>推介会和</w:t>
      </w:r>
      <w:r>
        <w:rPr>
          <w:rFonts w:hint="default" w:ascii="Times New Roman" w:hAnsi="Times New Roman" w:eastAsia="仿宋_GB2312" w:cs="Times New Roman"/>
          <w:b w:val="0"/>
          <w:bCs w:val="0"/>
          <w:kern w:val="2"/>
          <w:sz w:val="32"/>
          <w:szCs w:val="32"/>
          <w:lang w:val="en-US" w:eastAsia="zh-CN" w:bidi="ar-SA"/>
        </w:rPr>
        <w:t>合作投资项目签约仪式在深圳市成功举行，得到了深圳市委、市政府特别是深圳市企业联合会、企业家协会的大力支持，原计划邀请180家企业，活动当天吸引了包括华为、比亚迪、华侨城等大企业大集团在内的300余家企业参加，</w:t>
      </w:r>
      <w:r>
        <w:rPr>
          <w:rFonts w:hint="eastAsia" w:ascii="Times New Roman" w:hAnsi="Times New Roman" w:eastAsia="仿宋_GB2312" w:cs="Times New Roman"/>
          <w:b w:val="0"/>
          <w:bCs w:val="0"/>
          <w:kern w:val="2"/>
          <w:sz w:val="32"/>
          <w:szCs w:val="32"/>
          <w:lang w:val="en-US" w:eastAsia="zh-CN" w:bidi="ar-SA"/>
        </w:rPr>
        <w:t>大家</w:t>
      </w:r>
      <w:r>
        <w:rPr>
          <w:rFonts w:hint="default" w:ascii="Times New Roman" w:hAnsi="Times New Roman" w:eastAsia="仿宋_GB2312" w:cs="Times New Roman"/>
          <w:b w:val="0"/>
          <w:bCs w:val="0"/>
          <w:kern w:val="2"/>
          <w:sz w:val="32"/>
          <w:szCs w:val="32"/>
          <w:lang w:val="en-US" w:eastAsia="zh-CN" w:bidi="ar-SA"/>
        </w:rPr>
        <w:t>纷纷表达了参与新疆</w:t>
      </w:r>
      <w:r>
        <w:rPr>
          <w:rFonts w:hint="eastAsia" w:ascii="Times New Roman" w:hAnsi="Times New Roman" w:eastAsia="仿宋_GB2312" w:cs="Times New Roman"/>
          <w:b w:val="0"/>
          <w:bCs w:val="0"/>
          <w:kern w:val="2"/>
          <w:sz w:val="32"/>
          <w:szCs w:val="32"/>
          <w:lang w:val="en-US" w:eastAsia="zh-CN" w:bidi="ar-SA"/>
        </w:rPr>
        <w:t>经济</w:t>
      </w:r>
      <w:r>
        <w:rPr>
          <w:rFonts w:hint="default" w:ascii="Times New Roman" w:hAnsi="Times New Roman" w:eastAsia="仿宋_GB2312" w:cs="Times New Roman"/>
          <w:b w:val="0"/>
          <w:bCs w:val="0"/>
          <w:kern w:val="2"/>
          <w:sz w:val="32"/>
          <w:szCs w:val="32"/>
          <w:lang w:val="en-US" w:eastAsia="zh-CN" w:bidi="ar-SA"/>
        </w:rPr>
        <w:t>发展的浓厚兴趣和强烈愿望。6个地（州、市）、园区（开发区）代表围绕“八大产业集群”建设，从不同角度热情推介了我区资源优势、区位优势、政策优势和重点产业支持等有关情况，生动展示了稳定和谐、蓬勃发展、充满活力、潜力无限的大美新疆；2家已在疆投资的企业代表，用亲身感受介绍新疆在政策支持、服务提升、环境优化等方面的不懈努力和发生的深刻变化。伊宁县煤炭煤电可再生能源联营示范项目、温宿产业园150万千瓦源网荷储一体化项目、塔县深能福塔电站二期10万千瓦建设项目、独山子“新能源+零碳”综合能源谷全产业链条</w:t>
      </w:r>
      <w:r>
        <w:rPr>
          <w:rFonts w:hint="eastAsia" w:ascii="Times New Roman" w:hAnsi="Times New Roman" w:eastAsia="仿宋_GB2312" w:cs="Times New Roman"/>
          <w:b w:val="0"/>
          <w:bCs w:val="0"/>
          <w:kern w:val="2"/>
          <w:sz w:val="32"/>
          <w:szCs w:val="32"/>
          <w:lang w:val="en-US" w:eastAsia="zh-CN" w:bidi="ar-SA"/>
        </w:rPr>
        <w:t>项目</w:t>
      </w:r>
      <w:r>
        <w:rPr>
          <w:rFonts w:hint="default" w:ascii="Times New Roman" w:hAnsi="Times New Roman" w:eastAsia="仿宋_GB2312" w:cs="Times New Roman"/>
          <w:b w:val="0"/>
          <w:bCs w:val="0"/>
          <w:kern w:val="2"/>
          <w:sz w:val="32"/>
          <w:szCs w:val="32"/>
          <w:lang w:val="en-US" w:eastAsia="zh-CN" w:bidi="ar-SA"/>
        </w:rPr>
        <w:t>等15个项目集中签约。活动结束后，自治区分管领导又带</w:t>
      </w:r>
      <w:r>
        <w:rPr>
          <w:rFonts w:hint="eastAsia" w:ascii="Times New Roman" w:hAnsi="Times New Roman" w:eastAsia="仿宋_GB2312" w:cs="Times New Roman"/>
          <w:b w:val="0"/>
          <w:bCs w:val="0"/>
          <w:kern w:val="2"/>
          <w:sz w:val="32"/>
          <w:szCs w:val="32"/>
          <w:lang w:val="en-US" w:eastAsia="zh-CN" w:bidi="ar-SA"/>
        </w:rPr>
        <w:t>队赴中</w:t>
      </w:r>
      <w:r>
        <w:rPr>
          <w:rFonts w:hint="default" w:ascii="Times New Roman" w:hAnsi="Times New Roman" w:eastAsia="仿宋_GB2312" w:cs="Times New Roman"/>
          <w:b w:val="0"/>
          <w:bCs w:val="0"/>
          <w:kern w:val="2"/>
          <w:sz w:val="32"/>
          <w:szCs w:val="32"/>
          <w:lang w:val="en-US" w:eastAsia="zh-CN" w:bidi="ar-SA"/>
        </w:rPr>
        <w:t>广核、比亚迪、华侨城、创维、华为、金蝶软件等6家企业集团</w:t>
      </w:r>
      <w:r>
        <w:rPr>
          <w:rFonts w:hint="eastAsia" w:ascii="Times New Roman" w:hAnsi="Times New Roman" w:eastAsia="仿宋_GB2312" w:cs="Times New Roman"/>
          <w:b w:val="0"/>
          <w:bCs w:val="0"/>
          <w:kern w:val="2"/>
          <w:sz w:val="32"/>
          <w:szCs w:val="32"/>
          <w:lang w:val="en-US" w:eastAsia="zh-CN" w:bidi="ar-SA"/>
        </w:rPr>
        <w:t>考察学习</w:t>
      </w:r>
      <w:r>
        <w:rPr>
          <w:rFonts w:hint="default" w:ascii="Times New Roman" w:hAnsi="Times New Roman" w:eastAsia="仿宋_GB2312" w:cs="Times New Roman"/>
          <w:b w:val="0"/>
          <w:bCs w:val="0"/>
          <w:kern w:val="2"/>
          <w:sz w:val="32"/>
          <w:szCs w:val="32"/>
          <w:lang w:val="en-US" w:eastAsia="zh-CN" w:bidi="ar-SA"/>
        </w:rPr>
        <w:t>，</w:t>
      </w:r>
      <w:r>
        <w:rPr>
          <w:rFonts w:hint="eastAsia" w:ascii="Times New Roman" w:hAnsi="Times New Roman" w:eastAsia="仿宋_GB2312" w:cs="Times New Roman"/>
          <w:b w:val="0"/>
          <w:bCs w:val="0"/>
          <w:kern w:val="2"/>
          <w:sz w:val="32"/>
          <w:szCs w:val="32"/>
          <w:lang w:val="en-US" w:eastAsia="zh-CN" w:bidi="ar-SA"/>
        </w:rPr>
        <w:t>趁热打铁</w:t>
      </w:r>
      <w:r>
        <w:rPr>
          <w:rFonts w:hint="default" w:ascii="Times New Roman" w:hAnsi="Times New Roman" w:eastAsia="仿宋_GB2312" w:cs="Times New Roman"/>
          <w:b w:val="0"/>
          <w:bCs w:val="0"/>
          <w:kern w:val="2"/>
          <w:sz w:val="32"/>
          <w:szCs w:val="32"/>
          <w:lang w:val="en-US" w:eastAsia="zh-CN" w:bidi="ar-SA"/>
        </w:rPr>
        <w:t>上门推介，再次诚</w:t>
      </w:r>
      <w:r>
        <w:rPr>
          <w:rFonts w:hint="eastAsia" w:ascii="Times New Roman" w:hAnsi="Times New Roman" w:eastAsia="仿宋_GB2312" w:cs="Times New Roman"/>
          <w:b w:val="0"/>
          <w:bCs w:val="0"/>
          <w:kern w:val="2"/>
          <w:sz w:val="32"/>
          <w:szCs w:val="32"/>
          <w:lang w:val="en-US" w:eastAsia="zh-CN" w:bidi="ar-SA"/>
        </w:rPr>
        <w:t>邀企业</w:t>
      </w:r>
      <w:r>
        <w:rPr>
          <w:rFonts w:hint="default" w:ascii="Times New Roman" w:hAnsi="Times New Roman" w:eastAsia="仿宋_GB2312" w:cs="Times New Roman"/>
          <w:b w:val="0"/>
          <w:bCs w:val="0"/>
          <w:kern w:val="2"/>
          <w:sz w:val="32"/>
          <w:szCs w:val="32"/>
          <w:lang w:val="en-US" w:eastAsia="zh-CN" w:bidi="ar-SA"/>
        </w:rPr>
        <w:t>来疆</w:t>
      </w:r>
      <w:r>
        <w:rPr>
          <w:rFonts w:hint="eastAsia" w:ascii="Times New Roman" w:hAnsi="Times New Roman" w:eastAsia="仿宋_GB2312" w:cs="Times New Roman"/>
          <w:b w:val="0"/>
          <w:bCs w:val="0"/>
          <w:kern w:val="2"/>
          <w:sz w:val="32"/>
          <w:szCs w:val="32"/>
          <w:lang w:val="en-US" w:eastAsia="zh-CN" w:bidi="ar-SA"/>
        </w:rPr>
        <w:t>考察</w:t>
      </w:r>
      <w:r>
        <w:rPr>
          <w:rFonts w:hint="default" w:ascii="Times New Roman" w:hAnsi="Times New Roman" w:eastAsia="仿宋_GB2312" w:cs="Times New Roman"/>
          <w:b w:val="0"/>
          <w:bCs w:val="0"/>
          <w:kern w:val="2"/>
          <w:sz w:val="32"/>
          <w:szCs w:val="32"/>
          <w:lang w:val="en-US" w:eastAsia="zh-CN" w:bidi="ar-SA"/>
        </w:rPr>
        <w:t>投资。</w:t>
      </w:r>
    </w:p>
    <w:p w14:paraId="7C1C46EC">
      <w:pPr>
        <w:keepNext w:val="0"/>
        <w:keepLines w:val="0"/>
        <w:pageBreakBefore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根据相关要求做好每项工作预算，项目实施前，按照工作程序，逐级签批确定项目使用预算报告或活动申请，项目期间采用公务卡预支，严格各项开销，会议结束后严格根据报销规定及要求进行结算。</w:t>
      </w:r>
    </w:p>
    <w:p w14:paraId="6D3BC590">
      <w:pPr>
        <w:keepNext w:val="0"/>
        <w:keepLines w:val="0"/>
        <w:pageBreakBefore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hint="eastAsia" w:ascii="Times New Roman" w:hAnsi="Times New Roman" w:eastAsia="楷体_GB2312"/>
          <w:b/>
          <w:bCs/>
          <w:sz w:val="32"/>
          <w:szCs w:val="32"/>
          <w:lang w:val="en-US" w:eastAsia="zh-CN"/>
        </w:rPr>
      </w:pPr>
      <w:r>
        <w:rPr>
          <w:rFonts w:hint="eastAsia" w:ascii="Times New Roman" w:hAnsi="Times New Roman" w:eastAsia="楷体_GB2312"/>
          <w:b/>
          <w:bCs/>
          <w:sz w:val="32"/>
          <w:szCs w:val="32"/>
          <w:lang w:val="en-US" w:eastAsia="zh-CN"/>
        </w:rPr>
        <w:t>（三）项目产出</w:t>
      </w:r>
    </w:p>
    <w:p w14:paraId="3874B5AF">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数量指标方面：</w:t>
      </w:r>
    </w:p>
    <w:p w14:paraId="4B2B2DFE">
      <w:pPr>
        <w:keepNext w:val="0"/>
        <w:keepLines w:val="0"/>
        <w:pageBreakBefore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right="0" w:rightChars="0" w:firstLine="640" w:firstLineChars="200"/>
        <w:textAlignment w:val="auto"/>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a.主承办或组团参加境内外展会场次指标，指标值为2场，实际完成2场，完成率100%，偏差率0。</w:t>
      </w:r>
    </w:p>
    <w:p w14:paraId="5553F257">
      <w:pPr>
        <w:keepNext w:val="0"/>
        <w:keepLines w:val="0"/>
        <w:pageBreakBefore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right="0" w:rightChars="0" w:firstLine="640" w:firstLineChars="200"/>
        <w:textAlignment w:val="auto"/>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b.对前来我区考察、洽谈项目的企业客商举办招商引资投资洽谈活动指标，指标值为2次，实际完成2次，，完成率100%，偏差率0。</w:t>
      </w:r>
    </w:p>
    <w:p w14:paraId="158F01E1">
      <w:pPr>
        <w:keepNext w:val="0"/>
        <w:keepLines w:val="0"/>
        <w:pageBreakBefore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right="0" w:rightChars="0" w:firstLine="640" w:firstLineChars="200"/>
        <w:textAlignment w:val="auto"/>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c.招商引资合同项目意向签订数指标，指标值为5个，实际完成5个，完成率100%，偏差率0。</w:t>
      </w:r>
    </w:p>
    <w:p w14:paraId="5D6139F6">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质量指标方面：</w:t>
      </w:r>
    </w:p>
    <w:p w14:paraId="4EBF6CF4">
      <w:pPr>
        <w:keepNext w:val="0"/>
        <w:keepLines w:val="0"/>
        <w:pageBreakBefore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right="0" w:rightChars="0" w:firstLine="640" w:firstLineChars="200"/>
        <w:textAlignment w:val="auto"/>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a.累计参加展会和论坛出展率指标，指标值为90%，实际完成100%，完成率100%，偏差率0。</w:t>
      </w:r>
    </w:p>
    <w:p w14:paraId="23525726">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时效指标方面：</w:t>
      </w:r>
    </w:p>
    <w:p w14:paraId="6A32CD81">
      <w:pPr>
        <w:keepNext w:val="0"/>
        <w:keepLines w:val="0"/>
        <w:pageBreakBefore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right="0" w:rightChars="0" w:firstLine="640" w:firstLineChars="200"/>
        <w:textAlignment w:val="auto"/>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a.展会按期完成率指标，指标值为90%，实际完成100%，完成率100%，偏差率0。</w:t>
      </w:r>
    </w:p>
    <w:p w14:paraId="0AC77B94">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成本指标方面：</w:t>
      </w:r>
    </w:p>
    <w:p w14:paraId="4587EB52">
      <w:pPr>
        <w:keepNext w:val="0"/>
        <w:keepLines w:val="0"/>
        <w:pageBreakBefore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right="0" w:rightChars="0" w:firstLine="640" w:firstLineChars="200"/>
        <w:textAlignment w:val="auto"/>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开展深圳产业对接会指标值为</w:t>
      </w:r>
      <w:r>
        <w:rPr>
          <w:rFonts w:hint="default" w:ascii="Times New Roman" w:hAnsi="Times New Roman" w:eastAsia="仿宋_GB2312" w:cs="Times New Roman"/>
          <w:b w:val="0"/>
          <w:bCs w:val="0"/>
          <w:kern w:val="2"/>
          <w:sz w:val="32"/>
          <w:szCs w:val="32"/>
          <w:lang w:val="en-US" w:eastAsia="zh-CN" w:bidi="ar-SA"/>
        </w:rPr>
        <w:t>26.1</w:t>
      </w:r>
      <w:r>
        <w:rPr>
          <w:rFonts w:hint="eastAsia" w:ascii="Times New Roman" w:hAnsi="Times New Roman" w:eastAsia="仿宋_GB2312" w:cs="Times New Roman"/>
          <w:b w:val="0"/>
          <w:bCs w:val="0"/>
          <w:kern w:val="2"/>
          <w:sz w:val="32"/>
          <w:szCs w:val="32"/>
          <w:lang w:val="en-US" w:eastAsia="zh-CN" w:bidi="ar-SA"/>
        </w:rPr>
        <w:t>万元，实际完成</w:t>
      </w:r>
      <w:r>
        <w:rPr>
          <w:rFonts w:hint="default" w:ascii="Times New Roman" w:hAnsi="Times New Roman" w:eastAsia="仿宋_GB2312" w:cs="Times New Roman"/>
          <w:b w:val="0"/>
          <w:bCs w:val="0"/>
          <w:kern w:val="2"/>
          <w:sz w:val="32"/>
          <w:szCs w:val="32"/>
          <w:lang w:val="en-US" w:eastAsia="zh-CN" w:bidi="ar-SA"/>
        </w:rPr>
        <w:t>26.1</w:t>
      </w:r>
      <w:r>
        <w:rPr>
          <w:rFonts w:hint="eastAsia" w:ascii="Times New Roman" w:hAnsi="Times New Roman" w:eastAsia="仿宋_GB2312" w:cs="Times New Roman"/>
          <w:b w:val="0"/>
          <w:bCs w:val="0"/>
          <w:kern w:val="2"/>
          <w:sz w:val="32"/>
          <w:szCs w:val="32"/>
          <w:lang w:val="en-US" w:eastAsia="zh-CN" w:bidi="ar-SA"/>
        </w:rPr>
        <w:t>万元，完成率100%，偏差率0。</w:t>
      </w:r>
    </w:p>
    <w:p w14:paraId="2EC89413">
      <w:pPr>
        <w:keepNext w:val="0"/>
        <w:keepLines w:val="0"/>
        <w:pageBreakBefore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hint="eastAsia" w:ascii="Times New Roman" w:hAnsi="Times New Roman" w:eastAsia="楷体_GB2312"/>
          <w:b/>
          <w:bCs/>
          <w:sz w:val="32"/>
          <w:szCs w:val="32"/>
          <w:highlight w:val="none"/>
          <w:lang w:val="en-US" w:eastAsia="zh-CN"/>
        </w:rPr>
      </w:pPr>
      <w:r>
        <w:rPr>
          <w:rFonts w:hint="eastAsia" w:ascii="Times New Roman" w:hAnsi="Times New Roman" w:eastAsia="楷体_GB2312"/>
          <w:b/>
          <w:bCs/>
          <w:sz w:val="32"/>
          <w:szCs w:val="32"/>
          <w:highlight w:val="none"/>
          <w:lang w:val="en-US" w:eastAsia="zh-CN"/>
        </w:rPr>
        <w:t>（四）效益情况</w:t>
      </w:r>
    </w:p>
    <w:p w14:paraId="0CEF279C">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社会效益指标方面：</w:t>
      </w:r>
    </w:p>
    <w:p w14:paraId="17FF5CCB">
      <w:pPr>
        <w:keepNext w:val="0"/>
        <w:keepLines w:val="0"/>
        <w:pageBreakBefore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right="0" w:rightChars="0" w:firstLine="640" w:firstLineChars="200"/>
        <w:textAlignment w:val="auto"/>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a.逐步健全招商引资机制，打造政企沟通新模式指标，指标值为效果显著，实际完成效果显著，完成率100%，偏差率0。</w:t>
      </w:r>
    </w:p>
    <w:p w14:paraId="0C149177">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left="0" w:leftChars="0" w:right="0" w:rightChars="0"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满意度指标方面：</w:t>
      </w:r>
    </w:p>
    <w:p w14:paraId="646CB11A">
      <w:pPr>
        <w:keepNext w:val="0"/>
        <w:keepLines w:val="0"/>
        <w:pageBreakBefore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right="0" w:rightChars="0" w:firstLine="640" w:firstLineChars="200"/>
        <w:textAlignment w:val="auto"/>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a.企业对专题招商活动的满意度指标，指标值为90%，实际完成100%，完成率100%，偏差率0。</w:t>
      </w:r>
    </w:p>
    <w:p w14:paraId="6367CCF5">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Style w:val="52"/>
          <w:rFonts w:ascii="Times New Roman" w:hAnsi="Times New Roman" w:cs="Times New Roman"/>
          <w:color w:val="auto"/>
        </w:rPr>
      </w:pPr>
      <w:r>
        <w:rPr>
          <w:rFonts w:eastAsia="黑体"/>
          <w:sz w:val="32"/>
          <w:szCs w:val="32"/>
        </w:rPr>
        <w:t>五、主要经验及做法、存在的问题及原因分析</w:t>
      </w:r>
    </w:p>
    <w:p w14:paraId="3DEF7EE5">
      <w:pPr>
        <w:keepNext w:val="0"/>
        <w:keepLines w:val="0"/>
        <w:pageBreakBefore w:val="0"/>
        <w:widowControl w:val="0"/>
        <w:kinsoku/>
        <w:wordWrap/>
        <w:overflowPunct/>
        <w:topLinePunct w:val="0"/>
        <w:autoSpaceDE/>
        <w:autoSpaceDN/>
        <w:bidi w:val="0"/>
        <w:snapToGrid w:val="0"/>
        <w:spacing w:line="560" w:lineRule="exact"/>
        <w:ind w:left="0" w:leftChars="0" w:firstLine="627" w:firstLineChars="200"/>
        <w:textAlignment w:val="auto"/>
        <w:rPr>
          <w:rFonts w:eastAsia="楷体"/>
          <w:b/>
          <w:spacing w:val="-4"/>
          <w:sz w:val="32"/>
          <w:szCs w:val="32"/>
        </w:rPr>
      </w:pPr>
      <w:r>
        <w:rPr>
          <w:rFonts w:eastAsia="楷体"/>
          <w:b/>
          <w:spacing w:val="-4"/>
          <w:sz w:val="32"/>
          <w:szCs w:val="32"/>
        </w:rPr>
        <w:t>（一）主要经验及做法</w:t>
      </w:r>
    </w:p>
    <w:p w14:paraId="3BAB9E6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rPr>
      </w:pPr>
      <w:bookmarkStart w:id="2" w:name="_GoBack"/>
      <w:r>
        <w:rPr>
          <w:rFonts w:hint="eastAsia" w:ascii="Times New Roman" w:hAnsi="Times New Roman" w:eastAsia="仿宋_GB2312" w:cs="Times New Roman"/>
          <w:b w:val="0"/>
          <w:bCs w:val="0"/>
          <w:kern w:val="2"/>
          <w:sz w:val="32"/>
          <w:szCs w:val="32"/>
          <w:lang w:val="en-US" w:eastAsia="zh-CN" w:bidi="ar-SA"/>
        </w:rPr>
        <w:t>为确保2023年招商引资专项资金使用项目顺利进行，我处提前做好项目计划并按照程序对计划再三审核。在项目实施过程中严格按照项目管理规范进行，在项目资金使用过程中，严格落实把关，按照项目资金使</w:t>
      </w:r>
      <w:bookmarkEnd w:id="2"/>
      <w:r>
        <w:rPr>
          <w:rFonts w:eastAsia="仿宋_GB2312"/>
          <w:sz w:val="32"/>
          <w:szCs w:val="32"/>
        </w:rPr>
        <w:t>用范围做好审核工作，让项目资金落于实处。</w:t>
      </w:r>
      <w:r>
        <w:rPr>
          <w:rFonts w:hint="eastAsia" w:eastAsia="仿宋_GB2312"/>
          <w:sz w:val="32"/>
          <w:szCs w:val="32"/>
          <w:lang w:val="en-US" w:eastAsia="zh-CN"/>
        </w:rPr>
        <w:t>圆满完成了新疆工业和信息化领域投资指南和招商引资宣传片的设计制作</w:t>
      </w:r>
      <w:r>
        <w:rPr>
          <w:rFonts w:eastAsia="仿宋_GB2312"/>
          <w:sz w:val="32"/>
          <w:szCs w:val="32"/>
        </w:rPr>
        <w:t>，</w:t>
      </w:r>
      <w:r>
        <w:rPr>
          <w:rFonts w:hint="eastAsia" w:eastAsia="仿宋_GB2312"/>
          <w:sz w:val="32"/>
          <w:szCs w:val="32"/>
          <w:lang w:val="en-US" w:eastAsia="zh-CN"/>
        </w:rPr>
        <w:t>在深圳</w:t>
      </w:r>
      <w:r>
        <w:rPr>
          <w:rFonts w:hint="eastAsia" w:eastAsia="仿宋_GB2312"/>
          <w:sz w:val="32"/>
          <w:szCs w:val="32"/>
          <w:lang w:val="zh-CN" w:eastAsia="zh-CN"/>
        </w:rPr>
        <w:t>成功举办</w:t>
      </w:r>
      <w:r>
        <w:rPr>
          <w:rFonts w:hint="eastAsia" w:eastAsia="仿宋_GB2312"/>
          <w:sz w:val="32"/>
          <w:szCs w:val="32"/>
          <w:lang w:val="en-US" w:eastAsia="zh-CN"/>
        </w:rPr>
        <w:t>“新粤情意深·合作促发展”新疆（深圳）产业合作交流恳谈会暨投资项目签约仪式系列活动，伊犁、喀什等10个地州市、准东经济技术开发区等5个园区、深圳、新疆两地新闻媒体记者及350余家深圳企业人员参会。圆满完成“500强企业新疆行”产业对接会，撮合签约项目12个，签约金额438亿元，项目涉及新能源、新材料、高端装备制造、纺织服装等领域。圆满完成2023中国产业转移对接活动邀商工作,积极统筹协调面向14个地州市组织邀商400家</w:t>
      </w:r>
      <w:r>
        <w:rPr>
          <w:rFonts w:hint="default" w:eastAsia="仿宋_GB2312"/>
          <w:sz w:val="32"/>
          <w:szCs w:val="32"/>
          <w:lang w:val="en" w:eastAsia="zh-CN"/>
        </w:rPr>
        <w:t>,</w:t>
      </w:r>
      <w:r>
        <w:rPr>
          <w:rFonts w:hint="eastAsia" w:eastAsia="仿宋_GB2312"/>
          <w:sz w:val="32"/>
          <w:szCs w:val="32"/>
          <w:lang w:val="en-US" w:eastAsia="zh-CN"/>
        </w:rPr>
        <w:t>活动取得广泛好评。</w:t>
      </w:r>
    </w:p>
    <w:p w14:paraId="71773DC4">
      <w:pPr>
        <w:keepNext/>
        <w:keepLines/>
        <w:pageBreakBefore w:val="0"/>
        <w:numPr>
          <w:ilvl w:val="0"/>
          <w:numId w:val="5"/>
        </w:numPr>
        <w:kinsoku/>
        <w:wordWrap/>
        <w:overflowPunct/>
        <w:topLinePunct w:val="0"/>
        <w:autoSpaceDE/>
        <w:autoSpaceDN/>
        <w:bidi w:val="0"/>
        <w:snapToGrid w:val="0"/>
        <w:spacing w:line="560" w:lineRule="exact"/>
        <w:ind w:left="0" w:leftChars="0" w:firstLine="643" w:firstLineChars="200"/>
        <w:rPr>
          <w:rFonts w:eastAsia="楷体_GB2312"/>
          <w:b/>
          <w:bCs/>
          <w:sz w:val="32"/>
          <w:szCs w:val="32"/>
        </w:rPr>
      </w:pPr>
      <w:r>
        <w:rPr>
          <w:rFonts w:eastAsia="楷体_GB2312"/>
          <w:b/>
          <w:bCs/>
          <w:sz w:val="32"/>
          <w:szCs w:val="32"/>
        </w:rPr>
        <w:t>存在的问题及原因分析</w:t>
      </w:r>
    </w:p>
    <w:p w14:paraId="339C4C29">
      <w:pPr>
        <w:keepNext w:val="0"/>
        <w:keepLines w:val="0"/>
        <w:pageBreakBefore w:val="0"/>
        <w:pBdr>
          <w:bottom w:val="single" w:color="FFFFFF" w:sz="4" w:space="31"/>
        </w:pBdr>
        <w:tabs>
          <w:tab w:val="left" w:pos="1440"/>
        </w:tabs>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招商引资经费不足，为广泛动员各地州开展招商引资工作，需要制定奖励政策和措施，加大招商奖励激励。而当前招商引资工作经费对开展招商引资工作存在保障不足。</w:t>
      </w:r>
    </w:p>
    <w:p w14:paraId="49A75CD7">
      <w:pPr>
        <w:keepNext w:val="0"/>
        <w:keepLines w:val="0"/>
        <w:pageBreakBefore w:val="0"/>
        <w:pBdr>
          <w:bottom w:val="single" w:color="FFFFFF" w:sz="4" w:space="31"/>
        </w:pBdr>
        <w:tabs>
          <w:tab w:val="left" w:pos="1440"/>
        </w:tabs>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hint="eastAsia" w:eastAsia="黑体"/>
          <w:sz w:val="32"/>
          <w:szCs w:val="32"/>
          <w:lang w:val="en-US" w:eastAsia="zh-CN"/>
        </w:rPr>
      </w:pPr>
      <w:r>
        <w:rPr>
          <w:rFonts w:hint="eastAsia" w:eastAsia="黑体"/>
          <w:sz w:val="32"/>
          <w:szCs w:val="32"/>
          <w:lang w:val="en-US" w:eastAsia="zh-CN"/>
        </w:rPr>
        <w:t>六、有关建议</w:t>
      </w:r>
    </w:p>
    <w:p w14:paraId="5FE74730">
      <w:pPr>
        <w:keepNext w:val="0"/>
        <w:keepLines w:val="0"/>
        <w:pageBreakBefore w:val="0"/>
        <w:pBdr>
          <w:bottom w:val="single" w:color="FFFFFF" w:sz="4" w:space="31"/>
        </w:pBdr>
        <w:tabs>
          <w:tab w:val="left" w:pos="1440"/>
        </w:tabs>
        <w:kinsoku/>
        <w:wordWrap/>
        <w:overflowPunct/>
        <w:topLinePunct w:val="0"/>
        <w:autoSpaceDE/>
        <w:autoSpaceDN/>
        <w:bidi w:val="0"/>
        <w:adjustRightInd w:val="0"/>
        <w:snapToGrid w:val="0"/>
        <w:spacing w:line="560" w:lineRule="exact"/>
        <w:ind w:left="0" w:leftChars="0" w:right="0" w:rightChars="0" w:firstLine="640" w:firstLineChars="200"/>
        <w:textAlignment w:val="auto"/>
        <w:rPr>
          <w:rFonts w:hint="default" w:eastAsia="仿宋_GB2312"/>
          <w:lang w:val="en-US" w:eastAsia="zh-CN"/>
        </w:rPr>
      </w:pPr>
      <w:r>
        <w:rPr>
          <w:rFonts w:hint="eastAsia" w:ascii="仿宋" w:hAnsi="仿宋" w:eastAsia="仿宋" w:cs="仿宋"/>
          <w:sz w:val="32"/>
          <w:szCs w:val="32"/>
          <w:lang w:val="en-US" w:eastAsia="zh-CN"/>
        </w:rPr>
        <w:t>针对自治区开展重点产业发展和招商引资工作的新要求</w:t>
      </w:r>
      <w:r>
        <w:rPr>
          <w:rFonts w:eastAsia="仿宋_GB2312"/>
          <w:sz w:val="32"/>
          <w:szCs w:val="32"/>
        </w:rPr>
        <w:t>，</w:t>
      </w:r>
      <w:r>
        <w:rPr>
          <w:rFonts w:hint="eastAsia" w:eastAsia="仿宋_GB2312"/>
          <w:sz w:val="32"/>
          <w:szCs w:val="32"/>
          <w:lang w:eastAsia="zh-CN"/>
        </w:rPr>
        <w:t>建议加大财政支持</w:t>
      </w:r>
      <w:r>
        <w:rPr>
          <w:rFonts w:eastAsia="仿宋_GB2312"/>
          <w:sz w:val="32"/>
          <w:szCs w:val="32"/>
        </w:rPr>
        <w:t>，</w:t>
      </w:r>
      <w:r>
        <w:rPr>
          <w:rFonts w:hint="eastAsia" w:eastAsia="仿宋_GB2312"/>
          <w:sz w:val="32"/>
          <w:szCs w:val="32"/>
          <w:lang w:eastAsia="zh-CN"/>
        </w:rPr>
        <w:t>提高自治区招商引资工作经费额度</w:t>
      </w:r>
      <w:r>
        <w:rPr>
          <w:rFonts w:hint="eastAsia" w:eastAsia="仿宋_GB2312"/>
          <w:sz w:val="32"/>
          <w:szCs w:val="32"/>
          <w:lang w:val="en-US" w:eastAsia="zh-CN"/>
        </w:rPr>
        <w:t>。</w:t>
      </w:r>
    </w:p>
    <w:p w14:paraId="28157482">
      <w:pPr>
        <w:pageBreakBefore w:val="0"/>
        <w:numPr>
          <w:ilvl w:val="0"/>
          <w:numId w:val="0"/>
        </w:numPr>
        <w:kinsoku/>
        <w:wordWrap/>
        <w:overflowPunct/>
        <w:topLinePunct w:val="0"/>
        <w:autoSpaceDE/>
        <w:autoSpaceDN/>
        <w:bidi w:val="0"/>
        <w:snapToGrid w:val="0"/>
        <w:spacing w:line="560" w:lineRule="exact"/>
        <w:ind w:left="640" w:firstLine="0"/>
        <w:rPr>
          <w:rFonts w:eastAsia="黑体"/>
          <w:sz w:val="32"/>
          <w:szCs w:val="32"/>
        </w:rPr>
      </w:pPr>
      <w:r>
        <w:rPr>
          <w:rFonts w:hint="eastAsia" w:eastAsia="黑体"/>
          <w:sz w:val="32"/>
          <w:szCs w:val="32"/>
          <w:lang w:eastAsia="zh-CN"/>
        </w:rPr>
        <w:t>七、</w:t>
      </w:r>
      <w:r>
        <w:rPr>
          <w:rFonts w:eastAsia="黑体"/>
          <w:sz w:val="32"/>
          <w:szCs w:val="32"/>
        </w:rPr>
        <w:t>其他需要说</w:t>
      </w:r>
      <w:bookmarkStart w:id="1" w:name="page8"/>
      <w:bookmarkEnd w:id="1"/>
      <w:r>
        <w:rPr>
          <w:rFonts w:eastAsia="黑体"/>
          <w:sz w:val="32"/>
          <w:szCs w:val="32"/>
        </w:rPr>
        <w:t>明的问题</w:t>
      </w:r>
    </w:p>
    <w:p w14:paraId="79D4319E">
      <w:pPr>
        <w:pStyle w:val="20"/>
        <w:pageBreakBefore w:val="0"/>
        <w:kinsoku/>
        <w:wordWrap/>
        <w:overflowPunct/>
        <w:topLinePunct w:val="0"/>
        <w:autoSpaceDE/>
        <w:autoSpaceDN/>
        <w:bidi w:val="0"/>
        <w:snapToGrid w:val="0"/>
        <w:spacing w:after="0" w:line="560" w:lineRule="exact"/>
        <w:ind w:left="0" w:leftChars="0" w:firstLine="320" w:firstLineChars="100"/>
        <w:rPr>
          <w:rFonts w:ascii="Times New Roman" w:hAnsi="Times New Roman" w:eastAsia="方正小标宋简体"/>
          <w:b/>
          <w:kern w:val="0"/>
          <w:sz w:val="32"/>
          <w:szCs w:val="32"/>
        </w:rPr>
        <w:sectPr>
          <w:footerReference r:id="rId3" w:type="default"/>
          <w:pgSz w:w="11906" w:h="16838"/>
          <w:pgMar w:top="1440" w:right="1558" w:bottom="1440" w:left="1800" w:header="851" w:footer="992" w:gutter="0"/>
          <w:cols w:space="425" w:num="1"/>
          <w:docGrid w:type="lines" w:linePitch="312" w:charSpace="0"/>
        </w:sectPr>
      </w:pPr>
      <w:r>
        <w:rPr>
          <w:rFonts w:hint="eastAsia" w:ascii="仿宋_GB2312" w:hAnsi="仿宋_GB2312" w:eastAsia="仿宋_GB2312" w:cs="仿宋_GB2312"/>
          <w:sz w:val="32"/>
          <w:szCs w:val="32"/>
        </w:rPr>
        <w:t>无。</w:t>
      </w:r>
    </w:p>
    <w:p w14:paraId="7F3FC56C">
      <w:pPr>
        <w:pageBreakBefore w:val="0"/>
        <w:kinsoku/>
        <w:wordWrap/>
        <w:overflowPunct/>
        <w:topLinePunct w:val="0"/>
        <w:autoSpaceDE/>
        <w:autoSpaceDN/>
        <w:bidi w:val="0"/>
        <w:snapToGrid w:val="0"/>
        <w:spacing w:line="560" w:lineRule="exact"/>
        <w:ind w:left="0" w:leftChars="0"/>
        <w:rPr>
          <w:bCs/>
          <w:sz w:val="32"/>
          <w:szCs w:val="32"/>
        </w:rPr>
      </w:pPr>
      <w:r>
        <w:rPr>
          <w:bCs/>
          <w:sz w:val="32"/>
          <w:szCs w:val="32"/>
        </w:rPr>
        <w:t>附件1</w:t>
      </w:r>
    </w:p>
    <w:tbl>
      <w:tblPr>
        <w:tblStyle w:val="21"/>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39"/>
        <w:gridCol w:w="767"/>
        <w:gridCol w:w="873"/>
        <w:gridCol w:w="2353"/>
        <w:gridCol w:w="5188"/>
        <w:gridCol w:w="1300"/>
        <w:gridCol w:w="1363"/>
      </w:tblGrid>
      <w:tr w14:paraId="35DB36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31" w:type="pct"/>
            <w:shd w:val="clear" w:color="auto" w:fill="FFFFFF"/>
            <w:vAlign w:val="center"/>
          </w:tcPr>
          <w:p w14:paraId="4E3A1274">
            <w:pPr>
              <w:pageBreakBefore w:val="0"/>
              <w:widowControl/>
              <w:kinsoku/>
              <w:wordWrap/>
              <w:overflowPunct/>
              <w:topLinePunct w:val="0"/>
              <w:autoSpaceDE/>
              <w:autoSpaceDN/>
              <w:bidi w:val="0"/>
              <w:snapToGrid w:val="0"/>
              <w:spacing w:line="560" w:lineRule="exact"/>
              <w:ind w:left="0" w:leftChars="0"/>
              <w:jc w:val="center"/>
              <w:rPr>
                <w:b/>
                <w:bCs/>
                <w:color w:val="000000"/>
                <w:kern w:val="0"/>
                <w:sz w:val="22"/>
                <w:szCs w:val="22"/>
              </w:rPr>
            </w:pPr>
            <w:r>
              <w:rPr>
                <w:b/>
                <w:bCs/>
                <w:color w:val="000000"/>
                <w:kern w:val="0"/>
                <w:sz w:val="22"/>
                <w:szCs w:val="22"/>
              </w:rPr>
              <w:t>一级指标</w:t>
            </w:r>
          </w:p>
        </w:tc>
        <w:tc>
          <w:tcPr>
            <w:tcW w:w="302" w:type="pct"/>
            <w:shd w:val="clear" w:color="auto" w:fill="FFFFFF"/>
            <w:vAlign w:val="center"/>
          </w:tcPr>
          <w:p w14:paraId="0B23B2F3">
            <w:pPr>
              <w:pageBreakBefore w:val="0"/>
              <w:widowControl/>
              <w:kinsoku/>
              <w:wordWrap/>
              <w:overflowPunct/>
              <w:topLinePunct w:val="0"/>
              <w:autoSpaceDE/>
              <w:autoSpaceDN/>
              <w:bidi w:val="0"/>
              <w:snapToGrid w:val="0"/>
              <w:spacing w:line="560" w:lineRule="exact"/>
              <w:ind w:left="0" w:leftChars="0"/>
              <w:jc w:val="center"/>
              <w:rPr>
                <w:b/>
                <w:bCs/>
                <w:color w:val="000000"/>
                <w:kern w:val="0"/>
                <w:sz w:val="22"/>
                <w:szCs w:val="22"/>
              </w:rPr>
            </w:pPr>
            <w:r>
              <w:rPr>
                <w:b/>
                <w:bCs/>
                <w:color w:val="000000"/>
                <w:kern w:val="0"/>
                <w:sz w:val="22"/>
                <w:szCs w:val="22"/>
              </w:rPr>
              <w:t>二级指标</w:t>
            </w:r>
          </w:p>
        </w:tc>
        <w:tc>
          <w:tcPr>
            <w:tcW w:w="344" w:type="pct"/>
            <w:shd w:val="clear" w:color="auto" w:fill="FFFFFF"/>
            <w:vAlign w:val="center"/>
          </w:tcPr>
          <w:p w14:paraId="653F9E17">
            <w:pPr>
              <w:pageBreakBefore w:val="0"/>
              <w:widowControl/>
              <w:kinsoku/>
              <w:wordWrap/>
              <w:overflowPunct/>
              <w:topLinePunct w:val="0"/>
              <w:autoSpaceDE/>
              <w:autoSpaceDN/>
              <w:bidi w:val="0"/>
              <w:snapToGrid w:val="0"/>
              <w:spacing w:line="560" w:lineRule="exact"/>
              <w:ind w:left="0" w:leftChars="0"/>
              <w:jc w:val="center"/>
              <w:rPr>
                <w:b/>
                <w:bCs/>
                <w:color w:val="000000"/>
                <w:kern w:val="0"/>
                <w:sz w:val="22"/>
                <w:szCs w:val="22"/>
              </w:rPr>
            </w:pPr>
            <w:r>
              <w:rPr>
                <w:b/>
                <w:bCs/>
                <w:color w:val="000000"/>
                <w:kern w:val="0"/>
                <w:sz w:val="22"/>
                <w:szCs w:val="22"/>
              </w:rPr>
              <w:t>三级指标</w:t>
            </w:r>
          </w:p>
        </w:tc>
        <w:tc>
          <w:tcPr>
            <w:tcW w:w="927" w:type="pct"/>
            <w:shd w:val="clear" w:color="auto" w:fill="FFFFFF"/>
            <w:vAlign w:val="center"/>
          </w:tcPr>
          <w:p w14:paraId="6568629B">
            <w:pPr>
              <w:pageBreakBefore w:val="0"/>
              <w:widowControl/>
              <w:kinsoku/>
              <w:wordWrap/>
              <w:overflowPunct/>
              <w:topLinePunct w:val="0"/>
              <w:autoSpaceDE/>
              <w:autoSpaceDN/>
              <w:bidi w:val="0"/>
              <w:snapToGrid w:val="0"/>
              <w:spacing w:line="560" w:lineRule="exact"/>
              <w:ind w:left="0" w:leftChars="0"/>
              <w:jc w:val="center"/>
              <w:rPr>
                <w:b/>
                <w:bCs/>
                <w:color w:val="000000"/>
                <w:kern w:val="0"/>
                <w:sz w:val="22"/>
                <w:szCs w:val="22"/>
              </w:rPr>
            </w:pPr>
            <w:r>
              <w:rPr>
                <w:b/>
                <w:bCs/>
                <w:color w:val="000000"/>
                <w:kern w:val="0"/>
                <w:sz w:val="22"/>
                <w:szCs w:val="22"/>
              </w:rPr>
              <w:t>指标解释</w:t>
            </w:r>
          </w:p>
        </w:tc>
        <w:tc>
          <w:tcPr>
            <w:tcW w:w="2044" w:type="pct"/>
            <w:shd w:val="clear" w:color="auto" w:fill="FFFFFF"/>
            <w:vAlign w:val="center"/>
          </w:tcPr>
          <w:p w14:paraId="37B1E106">
            <w:pPr>
              <w:pageBreakBefore w:val="0"/>
              <w:widowControl/>
              <w:kinsoku/>
              <w:wordWrap/>
              <w:overflowPunct/>
              <w:topLinePunct w:val="0"/>
              <w:autoSpaceDE/>
              <w:autoSpaceDN/>
              <w:bidi w:val="0"/>
              <w:snapToGrid w:val="0"/>
              <w:spacing w:line="560" w:lineRule="exact"/>
              <w:ind w:left="0" w:leftChars="0"/>
              <w:jc w:val="center"/>
              <w:rPr>
                <w:b/>
                <w:bCs/>
                <w:color w:val="000000"/>
                <w:kern w:val="0"/>
                <w:sz w:val="22"/>
                <w:szCs w:val="22"/>
              </w:rPr>
            </w:pPr>
            <w:r>
              <w:rPr>
                <w:b/>
                <w:bCs/>
                <w:color w:val="000000"/>
                <w:kern w:val="0"/>
                <w:sz w:val="22"/>
                <w:szCs w:val="22"/>
              </w:rPr>
              <w:t>指标说明</w:t>
            </w:r>
          </w:p>
        </w:tc>
        <w:tc>
          <w:tcPr>
            <w:tcW w:w="512" w:type="pct"/>
            <w:shd w:val="clear" w:color="auto" w:fill="FFFFFF"/>
            <w:vAlign w:val="center"/>
          </w:tcPr>
          <w:p w14:paraId="22B9A571">
            <w:pPr>
              <w:pageBreakBefore w:val="0"/>
              <w:widowControl/>
              <w:kinsoku/>
              <w:wordWrap/>
              <w:overflowPunct/>
              <w:topLinePunct w:val="0"/>
              <w:autoSpaceDE/>
              <w:autoSpaceDN/>
              <w:bidi w:val="0"/>
              <w:snapToGrid w:val="0"/>
              <w:spacing w:line="560" w:lineRule="exact"/>
              <w:ind w:left="0" w:leftChars="0"/>
              <w:jc w:val="center"/>
              <w:rPr>
                <w:b/>
                <w:bCs/>
                <w:color w:val="000000"/>
                <w:kern w:val="0"/>
                <w:sz w:val="22"/>
                <w:szCs w:val="22"/>
              </w:rPr>
            </w:pPr>
            <w:r>
              <w:rPr>
                <w:b/>
                <w:bCs/>
                <w:color w:val="000000"/>
                <w:kern w:val="0"/>
                <w:sz w:val="22"/>
                <w:szCs w:val="22"/>
              </w:rPr>
              <w:t>权重</w:t>
            </w:r>
          </w:p>
        </w:tc>
        <w:tc>
          <w:tcPr>
            <w:tcW w:w="537" w:type="pct"/>
            <w:shd w:val="clear" w:color="auto" w:fill="FFFFFF"/>
            <w:vAlign w:val="center"/>
          </w:tcPr>
          <w:p w14:paraId="5DC154B4">
            <w:pPr>
              <w:pageBreakBefore w:val="0"/>
              <w:widowControl/>
              <w:kinsoku/>
              <w:wordWrap/>
              <w:overflowPunct/>
              <w:topLinePunct w:val="0"/>
              <w:autoSpaceDE/>
              <w:autoSpaceDN/>
              <w:bidi w:val="0"/>
              <w:snapToGrid w:val="0"/>
              <w:spacing w:line="560" w:lineRule="exact"/>
              <w:ind w:left="0" w:leftChars="0"/>
              <w:jc w:val="center"/>
              <w:rPr>
                <w:b/>
                <w:bCs/>
                <w:color w:val="000000"/>
                <w:kern w:val="0"/>
                <w:sz w:val="22"/>
                <w:szCs w:val="22"/>
              </w:rPr>
            </w:pPr>
            <w:r>
              <w:rPr>
                <w:b/>
                <w:bCs/>
                <w:color w:val="000000"/>
                <w:kern w:val="0"/>
                <w:sz w:val="22"/>
                <w:szCs w:val="22"/>
              </w:rPr>
              <w:t>得分</w:t>
            </w:r>
          </w:p>
        </w:tc>
      </w:tr>
      <w:tr w14:paraId="52E1AC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331" w:type="pct"/>
            <w:vMerge w:val="restart"/>
            <w:shd w:val="clear" w:color="auto" w:fill="FFFFFF"/>
            <w:vAlign w:val="center"/>
          </w:tcPr>
          <w:p w14:paraId="418AD60D">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决策　</w:t>
            </w:r>
          </w:p>
          <w:p w14:paraId="29AAB8BD">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　</w:t>
            </w:r>
          </w:p>
          <w:p w14:paraId="65E9BEE5">
            <w:pPr>
              <w:pageBreakBefore w:val="0"/>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　</w:t>
            </w:r>
          </w:p>
        </w:tc>
        <w:tc>
          <w:tcPr>
            <w:tcW w:w="302" w:type="pct"/>
            <w:vMerge w:val="restart"/>
            <w:shd w:val="clear" w:color="auto" w:fill="FFFFFF"/>
            <w:vAlign w:val="center"/>
          </w:tcPr>
          <w:p w14:paraId="1BFF7B79">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项目立项　</w:t>
            </w:r>
          </w:p>
        </w:tc>
        <w:tc>
          <w:tcPr>
            <w:tcW w:w="344" w:type="pct"/>
            <w:shd w:val="clear" w:color="auto" w:fill="FFFFFF"/>
            <w:vAlign w:val="center"/>
          </w:tcPr>
          <w:p w14:paraId="7FE2CE69">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立项依据</w:t>
            </w:r>
          </w:p>
          <w:p w14:paraId="713DC337">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充分性</w:t>
            </w:r>
          </w:p>
        </w:tc>
        <w:tc>
          <w:tcPr>
            <w:tcW w:w="927" w:type="pct"/>
            <w:shd w:val="clear" w:color="auto" w:fill="FFFFFF"/>
            <w:vAlign w:val="center"/>
          </w:tcPr>
          <w:p w14:paraId="7491ACDE">
            <w:pPr>
              <w:pageBreakBefore w:val="0"/>
              <w:widowControl/>
              <w:kinsoku/>
              <w:wordWrap/>
              <w:overflowPunct/>
              <w:topLinePunct w:val="0"/>
              <w:autoSpaceDE/>
              <w:autoSpaceDN/>
              <w:bidi w:val="0"/>
              <w:snapToGrid w:val="0"/>
              <w:spacing w:line="560" w:lineRule="exact"/>
              <w:ind w:left="0" w:leftChars="0"/>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2044" w:type="pct"/>
            <w:shd w:val="clear" w:color="auto" w:fill="FFFFFF"/>
            <w:vAlign w:val="center"/>
          </w:tcPr>
          <w:p w14:paraId="73C4A48B">
            <w:pPr>
              <w:pageBreakBefore w:val="0"/>
              <w:widowControl/>
              <w:kinsoku/>
              <w:wordWrap/>
              <w:overflowPunct/>
              <w:topLinePunct w:val="0"/>
              <w:autoSpaceDE/>
              <w:autoSpaceDN/>
              <w:bidi w:val="0"/>
              <w:snapToGrid w:val="0"/>
              <w:spacing w:line="560" w:lineRule="exact"/>
              <w:ind w:left="0" w:leftChars="0"/>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512" w:type="pct"/>
            <w:shd w:val="clear" w:color="auto" w:fill="FFFFFF"/>
            <w:vAlign w:val="center"/>
          </w:tcPr>
          <w:p w14:paraId="2CFE98B3">
            <w:pPr>
              <w:pageBreakBefore w:val="0"/>
              <w:widowControl/>
              <w:kinsoku/>
              <w:wordWrap/>
              <w:overflowPunct/>
              <w:topLinePunct w:val="0"/>
              <w:autoSpaceDE/>
              <w:autoSpaceDN/>
              <w:bidi w:val="0"/>
              <w:snapToGrid w:val="0"/>
              <w:spacing w:line="560" w:lineRule="exact"/>
              <w:ind w:left="0" w:leftChars="0"/>
              <w:jc w:val="center"/>
              <w:rPr>
                <w:b/>
                <w:bCs/>
                <w:color w:val="000000"/>
                <w:kern w:val="0"/>
                <w:sz w:val="22"/>
                <w:szCs w:val="22"/>
              </w:rPr>
            </w:pPr>
            <w:r>
              <w:rPr>
                <w:rFonts w:hint="eastAsia"/>
                <w:b/>
                <w:bCs/>
                <w:color w:val="000000"/>
                <w:kern w:val="0"/>
                <w:sz w:val="22"/>
                <w:szCs w:val="22"/>
              </w:rPr>
              <w:t>3</w:t>
            </w:r>
          </w:p>
        </w:tc>
        <w:tc>
          <w:tcPr>
            <w:tcW w:w="537" w:type="pct"/>
            <w:shd w:val="clear" w:color="auto" w:fill="FFFFFF"/>
            <w:vAlign w:val="center"/>
          </w:tcPr>
          <w:p w14:paraId="08FEFD34">
            <w:pPr>
              <w:pageBreakBefore w:val="0"/>
              <w:widowControl/>
              <w:kinsoku/>
              <w:wordWrap/>
              <w:overflowPunct/>
              <w:topLinePunct w:val="0"/>
              <w:autoSpaceDE/>
              <w:autoSpaceDN/>
              <w:bidi w:val="0"/>
              <w:snapToGrid w:val="0"/>
              <w:spacing w:line="560" w:lineRule="exact"/>
              <w:ind w:left="0" w:leftChars="0"/>
              <w:jc w:val="center"/>
              <w:rPr>
                <w:rFonts w:hint="eastAsia" w:eastAsia="宋体"/>
                <w:b/>
                <w:bCs/>
                <w:color w:val="000000"/>
                <w:kern w:val="0"/>
                <w:sz w:val="22"/>
                <w:szCs w:val="22"/>
                <w:lang w:eastAsia="zh-CN"/>
              </w:rPr>
            </w:pPr>
            <w:r>
              <w:rPr>
                <w:rFonts w:hint="eastAsia" w:eastAsia="宋体"/>
                <w:b/>
                <w:bCs/>
                <w:color w:val="000000"/>
                <w:kern w:val="0"/>
                <w:sz w:val="22"/>
                <w:szCs w:val="22"/>
                <w:lang w:val="en-US" w:eastAsia="zh-CN"/>
              </w:rPr>
              <w:t>3</w:t>
            </w:r>
          </w:p>
        </w:tc>
      </w:tr>
      <w:tr w14:paraId="60399C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331" w:type="pct"/>
            <w:vMerge w:val="continue"/>
            <w:shd w:val="clear" w:color="auto" w:fill="FFFFFF"/>
            <w:vAlign w:val="center"/>
          </w:tcPr>
          <w:p w14:paraId="4F7DEE0D">
            <w:pPr>
              <w:pageBreakBefore w:val="0"/>
              <w:kinsoku/>
              <w:wordWrap/>
              <w:overflowPunct/>
              <w:topLinePunct w:val="0"/>
              <w:autoSpaceDE/>
              <w:autoSpaceDN/>
              <w:bidi w:val="0"/>
              <w:snapToGrid w:val="0"/>
              <w:spacing w:line="560" w:lineRule="exact"/>
              <w:ind w:left="0" w:leftChars="0"/>
              <w:jc w:val="center"/>
              <w:rPr>
                <w:color w:val="000000"/>
                <w:kern w:val="0"/>
                <w:sz w:val="22"/>
                <w:szCs w:val="22"/>
              </w:rPr>
            </w:pPr>
          </w:p>
        </w:tc>
        <w:tc>
          <w:tcPr>
            <w:tcW w:w="302" w:type="pct"/>
            <w:vMerge w:val="continue"/>
            <w:shd w:val="clear" w:color="auto" w:fill="FFFFFF"/>
            <w:vAlign w:val="center"/>
          </w:tcPr>
          <w:p w14:paraId="101F1937">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p>
        </w:tc>
        <w:tc>
          <w:tcPr>
            <w:tcW w:w="344" w:type="pct"/>
            <w:shd w:val="clear" w:color="auto" w:fill="FFFFFF"/>
            <w:vAlign w:val="center"/>
          </w:tcPr>
          <w:p w14:paraId="5117D4DC">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立项程序</w:t>
            </w:r>
          </w:p>
          <w:p w14:paraId="2F17A427">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规范性</w:t>
            </w:r>
          </w:p>
        </w:tc>
        <w:tc>
          <w:tcPr>
            <w:tcW w:w="927" w:type="pct"/>
            <w:shd w:val="clear" w:color="auto" w:fill="FFFFFF"/>
            <w:vAlign w:val="center"/>
          </w:tcPr>
          <w:p w14:paraId="41D9AB66">
            <w:pPr>
              <w:pageBreakBefore w:val="0"/>
              <w:widowControl/>
              <w:kinsoku/>
              <w:wordWrap/>
              <w:overflowPunct/>
              <w:topLinePunct w:val="0"/>
              <w:autoSpaceDE/>
              <w:autoSpaceDN/>
              <w:bidi w:val="0"/>
              <w:snapToGrid w:val="0"/>
              <w:spacing w:line="560" w:lineRule="exact"/>
              <w:ind w:left="0" w:leftChars="0"/>
              <w:rPr>
                <w:color w:val="000000"/>
                <w:kern w:val="0"/>
                <w:sz w:val="22"/>
                <w:szCs w:val="22"/>
              </w:rPr>
            </w:pPr>
            <w:r>
              <w:rPr>
                <w:color w:val="000000"/>
                <w:kern w:val="0"/>
                <w:sz w:val="22"/>
                <w:szCs w:val="22"/>
              </w:rPr>
              <w:t>项目申请、设立过程是否符合相关要求，用以反映和考核项目立项的规范情况。</w:t>
            </w:r>
          </w:p>
        </w:tc>
        <w:tc>
          <w:tcPr>
            <w:tcW w:w="2044" w:type="pct"/>
            <w:shd w:val="clear" w:color="auto" w:fill="FFFFFF"/>
            <w:vAlign w:val="center"/>
          </w:tcPr>
          <w:p w14:paraId="11083A51">
            <w:pPr>
              <w:pageBreakBefore w:val="0"/>
              <w:widowControl/>
              <w:kinsoku/>
              <w:wordWrap/>
              <w:overflowPunct/>
              <w:topLinePunct w:val="0"/>
              <w:autoSpaceDE/>
              <w:autoSpaceDN/>
              <w:bidi w:val="0"/>
              <w:snapToGrid w:val="0"/>
              <w:spacing w:line="560" w:lineRule="exact"/>
              <w:ind w:left="0" w:leftChars="0"/>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512" w:type="pct"/>
            <w:shd w:val="clear" w:color="auto" w:fill="FFFFFF"/>
            <w:vAlign w:val="center"/>
          </w:tcPr>
          <w:p w14:paraId="6B86C8F0">
            <w:pPr>
              <w:pageBreakBefore w:val="0"/>
              <w:widowControl/>
              <w:kinsoku/>
              <w:wordWrap/>
              <w:overflowPunct/>
              <w:topLinePunct w:val="0"/>
              <w:autoSpaceDE/>
              <w:autoSpaceDN/>
              <w:bidi w:val="0"/>
              <w:snapToGrid w:val="0"/>
              <w:spacing w:line="560" w:lineRule="exact"/>
              <w:ind w:left="0" w:leftChars="0"/>
              <w:jc w:val="center"/>
              <w:rPr>
                <w:b/>
                <w:bCs/>
                <w:color w:val="000000"/>
                <w:kern w:val="0"/>
                <w:sz w:val="22"/>
                <w:szCs w:val="22"/>
              </w:rPr>
            </w:pPr>
            <w:r>
              <w:rPr>
                <w:rFonts w:hint="eastAsia"/>
                <w:b/>
                <w:bCs/>
                <w:color w:val="000000"/>
                <w:kern w:val="0"/>
                <w:sz w:val="22"/>
                <w:szCs w:val="22"/>
              </w:rPr>
              <w:t>3</w:t>
            </w:r>
          </w:p>
        </w:tc>
        <w:tc>
          <w:tcPr>
            <w:tcW w:w="537" w:type="pct"/>
            <w:shd w:val="clear" w:color="auto" w:fill="FFFFFF"/>
            <w:vAlign w:val="center"/>
          </w:tcPr>
          <w:p w14:paraId="63837D6B">
            <w:pPr>
              <w:pageBreakBefore w:val="0"/>
              <w:widowControl/>
              <w:kinsoku/>
              <w:wordWrap/>
              <w:overflowPunct/>
              <w:topLinePunct w:val="0"/>
              <w:autoSpaceDE/>
              <w:autoSpaceDN/>
              <w:bidi w:val="0"/>
              <w:snapToGrid w:val="0"/>
              <w:spacing w:line="560" w:lineRule="exact"/>
              <w:ind w:left="0" w:leftChars="0"/>
              <w:jc w:val="center"/>
              <w:rPr>
                <w:rFonts w:hint="eastAsia" w:eastAsia="宋体"/>
                <w:b/>
                <w:bCs/>
                <w:color w:val="000000"/>
                <w:kern w:val="0"/>
                <w:sz w:val="22"/>
                <w:szCs w:val="22"/>
                <w:lang w:eastAsia="zh-CN"/>
              </w:rPr>
            </w:pPr>
            <w:r>
              <w:rPr>
                <w:rFonts w:hint="eastAsia" w:eastAsia="宋体"/>
                <w:b/>
                <w:bCs/>
                <w:color w:val="000000"/>
                <w:kern w:val="0"/>
                <w:sz w:val="22"/>
                <w:szCs w:val="22"/>
                <w:lang w:val="en-US" w:eastAsia="zh-CN"/>
              </w:rPr>
              <w:t>3</w:t>
            </w:r>
          </w:p>
        </w:tc>
      </w:tr>
      <w:tr w14:paraId="6DD318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331" w:type="pct"/>
            <w:vMerge w:val="continue"/>
            <w:shd w:val="clear" w:color="auto" w:fill="FFFFFF"/>
            <w:vAlign w:val="center"/>
          </w:tcPr>
          <w:p w14:paraId="496F7399">
            <w:pPr>
              <w:pageBreakBefore w:val="0"/>
              <w:kinsoku/>
              <w:wordWrap/>
              <w:overflowPunct/>
              <w:topLinePunct w:val="0"/>
              <w:autoSpaceDE/>
              <w:autoSpaceDN/>
              <w:bidi w:val="0"/>
              <w:snapToGrid w:val="0"/>
              <w:spacing w:line="560" w:lineRule="exact"/>
              <w:ind w:left="0" w:leftChars="0"/>
              <w:jc w:val="center"/>
              <w:rPr>
                <w:color w:val="000000"/>
                <w:kern w:val="0"/>
                <w:sz w:val="22"/>
                <w:szCs w:val="22"/>
              </w:rPr>
            </w:pPr>
          </w:p>
        </w:tc>
        <w:tc>
          <w:tcPr>
            <w:tcW w:w="302" w:type="pct"/>
            <w:shd w:val="clear" w:color="auto" w:fill="FFFFFF"/>
            <w:vAlign w:val="center"/>
          </w:tcPr>
          <w:p w14:paraId="4CDE9DFD">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绩效目标　</w:t>
            </w:r>
          </w:p>
        </w:tc>
        <w:tc>
          <w:tcPr>
            <w:tcW w:w="344" w:type="pct"/>
            <w:shd w:val="clear" w:color="auto" w:fill="FFFFFF"/>
            <w:vAlign w:val="center"/>
          </w:tcPr>
          <w:p w14:paraId="63274B1E">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绩效目标</w:t>
            </w:r>
          </w:p>
          <w:p w14:paraId="309A5B96">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合理性</w:t>
            </w:r>
          </w:p>
        </w:tc>
        <w:tc>
          <w:tcPr>
            <w:tcW w:w="927" w:type="pct"/>
            <w:shd w:val="clear" w:color="000000" w:fill="FFFFFF"/>
            <w:vAlign w:val="center"/>
          </w:tcPr>
          <w:p w14:paraId="6B9ABF95">
            <w:pPr>
              <w:pageBreakBefore w:val="0"/>
              <w:widowControl/>
              <w:kinsoku/>
              <w:wordWrap/>
              <w:overflowPunct/>
              <w:topLinePunct w:val="0"/>
              <w:autoSpaceDE/>
              <w:autoSpaceDN/>
              <w:bidi w:val="0"/>
              <w:snapToGrid w:val="0"/>
              <w:spacing w:line="560" w:lineRule="exact"/>
              <w:ind w:left="0" w:leftChars="0"/>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2044" w:type="pct"/>
            <w:shd w:val="clear" w:color="000000" w:fill="FFFFFF"/>
            <w:vAlign w:val="center"/>
          </w:tcPr>
          <w:p w14:paraId="57C4BF08">
            <w:pPr>
              <w:pageBreakBefore w:val="0"/>
              <w:widowControl/>
              <w:kinsoku/>
              <w:wordWrap/>
              <w:overflowPunct/>
              <w:topLinePunct w:val="0"/>
              <w:autoSpaceDE/>
              <w:autoSpaceDN/>
              <w:bidi w:val="0"/>
              <w:snapToGrid w:val="0"/>
              <w:spacing w:line="560" w:lineRule="exact"/>
              <w:ind w:left="0" w:leftChars="0"/>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14:paraId="1BA99E0F">
            <w:pPr>
              <w:pageBreakBefore w:val="0"/>
              <w:widowControl/>
              <w:kinsoku/>
              <w:wordWrap/>
              <w:overflowPunct/>
              <w:topLinePunct w:val="0"/>
              <w:autoSpaceDE/>
              <w:autoSpaceDN/>
              <w:bidi w:val="0"/>
              <w:snapToGrid w:val="0"/>
              <w:spacing w:line="560" w:lineRule="exact"/>
              <w:ind w:left="0" w:leftChars="0"/>
              <w:jc w:val="left"/>
              <w:rPr>
                <w:color w:val="000000"/>
                <w:kern w:val="0"/>
                <w:sz w:val="22"/>
                <w:szCs w:val="22"/>
              </w:rPr>
            </w:pPr>
            <w:r>
              <w:rPr>
                <w:color w:val="000000"/>
                <w:kern w:val="0"/>
                <w:sz w:val="22"/>
                <w:szCs w:val="22"/>
              </w:rPr>
              <w:t>④是否与预算确定的项目投资额或资金量相匹配。</w:t>
            </w:r>
          </w:p>
        </w:tc>
        <w:tc>
          <w:tcPr>
            <w:tcW w:w="512" w:type="pct"/>
            <w:shd w:val="clear" w:color="000000" w:fill="FFFFFF"/>
            <w:vAlign w:val="center"/>
          </w:tcPr>
          <w:p w14:paraId="53180C52">
            <w:pPr>
              <w:pageBreakBefore w:val="0"/>
              <w:widowControl/>
              <w:kinsoku/>
              <w:wordWrap/>
              <w:overflowPunct/>
              <w:topLinePunct w:val="0"/>
              <w:autoSpaceDE/>
              <w:autoSpaceDN/>
              <w:bidi w:val="0"/>
              <w:snapToGrid w:val="0"/>
              <w:spacing w:line="560" w:lineRule="exact"/>
              <w:ind w:left="0" w:leftChars="0"/>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14:paraId="60C2B41B">
            <w:pPr>
              <w:pageBreakBefore w:val="0"/>
              <w:widowControl/>
              <w:kinsoku/>
              <w:wordWrap/>
              <w:overflowPunct/>
              <w:topLinePunct w:val="0"/>
              <w:autoSpaceDE/>
              <w:autoSpaceDN/>
              <w:bidi w:val="0"/>
              <w:snapToGrid w:val="0"/>
              <w:spacing w:line="560" w:lineRule="exact"/>
              <w:ind w:left="0" w:leftChars="0"/>
              <w:jc w:val="center"/>
              <w:rPr>
                <w:rFonts w:hint="eastAsia" w:eastAsia="宋体"/>
                <w:b/>
                <w:bCs/>
                <w:color w:val="000000"/>
                <w:kern w:val="0"/>
                <w:sz w:val="22"/>
                <w:szCs w:val="22"/>
                <w:lang w:eastAsia="zh-CN"/>
              </w:rPr>
            </w:pPr>
            <w:r>
              <w:rPr>
                <w:rFonts w:hint="eastAsia" w:eastAsia="宋体"/>
                <w:b/>
                <w:bCs/>
                <w:color w:val="000000"/>
                <w:kern w:val="0"/>
                <w:sz w:val="22"/>
                <w:szCs w:val="22"/>
                <w:lang w:val="en-US" w:eastAsia="zh-CN"/>
              </w:rPr>
              <w:t>4</w:t>
            </w:r>
          </w:p>
        </w:tc>
      </w:tr>
      <w:tr w14:paraId="66A962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31" w:type="pct"/>
            <w:vMerge w:val="restart"/>
            <w:shd w:val="clear" w:color="auto" w:fill="FFFFFF"/>
            <w:vAlign w:val="center"/>
          </w:tcPr>
          <w:p w14:paraId="2FB57444">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决策　</w:t>
            </w:r>
          </w:p>
        </w:tc>
        <w:tc>
          <w:tcPr>
            <w:tcW w:w="302" w:type="pct"/>
            <w:shd w:val="clear" w:color="auto" w:fill="FFFFFF"/>
            <w:vAlign w:val="center"/>
          </w:tcPr>
          <w:p w14:paraId="119CD3B9">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绩效目标</w:t>
            </w:r>
          </w:p>
        </w:tc>
        <w:tc>
          <w:tcPr>
            <w:tcW w:w="344" w:type="pct"/>
            <w:shd w:val="clear" w:color="auto" w:fill="FFFFFF"/>
            <w:vAlign w:val="center"/>
          </w:tcPr>
          <w:p w14:paraId="37B5B28E">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绩效指标</w:t>
            </w:r>
          </w:p>
          <w:p w14:paraId="5FF958AD">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明确性</w:t>
            </w:r>
          </w:p>
        </w:tc>
        <w:tc>
          <w:tcPr>
            <w:tcW w:w="927" w:type="pct"/>
            <w:shd w:val="clear" w:color="000000" w:fill="FFFFFF"/>
            <w:vAlign w:val="center"/>
          </w:tcPr>
          <w:p w14:paraId="7858205C">
            <w:pPr>
              <w:pageBreakBefore w:val="0"/>
              <w:widowControl/>
              <w:kinsoku/>
              <w:wordWrap/>
              <w:overflowPunct/>
              <w:topLinePunct w:val="0"/>
              <w:autoSpaceDE/>
              <w:autoSpaceDN/>
              <w:bidi w:val="0"/>
              <w:snapToGrid w:val="0"/>
              <w:spacing w:line="560" w:lineRule="exact"/>
              <w:ind w:left="0" w:leftChars="0"/>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2044" w:type="pct"/>
            <w:shd w:val="clear" w:color="000000" w:fill="FFFFFF"/>
            <w:vAlign w:val="center"/>
          </w:tcPr>
          <w:p w14:paraId="305E2369">
            <w:pPr>
              <w:pageBreakBefore w:val="0"/>
              <w:widowControl/>
              <w:kinsoku/>
              <w:wordWrap/>
              <w:overflowPunct/>
              <w:topLinePunct w:val="0"/>
              <w:autoSpaceDE/>
              <w:autoSpaceDN/>
              <w:bidi w:val="0"/>
              <w:snapToGrid w:val="0"/>
              <w:spacing w:line="560" w:lineRule="exact"/>
              <w:ind w:left="0" w:leftChars="0"/>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512" w:type="pct"/>
            <w:shd w:val="clear" w:color="000000" w:fill="FFFFFF"/>
            <w:vAlign w:val="center"/>
          </w:tcPr>
          <w:p w14:paraId="4DC5716C">
            <w:pPr>
              <w:pageBreakBefore w:val="0"/>
              <w:widowControl/>
              <w:kinsoku/>
              <w:wordWrap/>
              <w:overflowPunct/>
              <w:topLinePunct w:val="0"/>
              <w:autoSpaceDE/>
              <w:autoSpaceDN/>
              <w:bidi w:val="0"/>
              <w:snapToGrid w:val="0"/>
              <w:spacing w:line="560" w:lineRule="exact"/>
              <w:ind w:left="0" w:leftChars="0"/>
              <w:jc w:val="center"/>
              <w:rPr>
                <w:b/>
                <w:bCs/>
                <w:color w:val="000000"/>
                <w:kern w:val="0"/>
                <w:sz w:val="22"/>
                <w:szCs w:val="22"/>
              </w:rPr>
            </w:pPr>
            <w:r>
              <w:rPr>
                <w:rFonts w:hint="eastAsia"/>
                <w:b/>
                <w:bCs/>
                <w:color w:val="000000"/>
                <w:kern w:val="0"/>
                <w:sz w:val="22"/>
                <w:szCs w:val="22"/>
              </w:rPr>
              <w:t>3</w:t>
            </w:r>
          </w:p>
        </w:tc>
        <w:tc>
          <w:tcPr>
            <w:tcW w:w="537" w:type="pct"/>
            <w:shd w:val="clear" w:color="000000" w:fill="FFFFFF"/>
            <w:vAlign w:val="center"/>
          </w:tcPr>
          <w:p w14:paraId="27CAE6BE">
            <w:pPr>
              <w:pageBreakBefore w:val="0"/>
              <w:widowControl/>
              <w:kinsoku/>
              <w:wordWrap/>
              <w:overflowPunct/>
              <w:topLinePunct w:val="0"/>
              <w:autoSpaceDE/>
              <w:autoSpaceDN/>
              <w:bidi w:val="0"/>
              <w:snapToGrid w:val="0"/>
              <w:spacing w:line="560" w:lineRule="exact"/>
              <w:ind w:left="0" w:leftChars="0"/>
              <w:jc w:val="center"/>
              <w:rPr>
                <w:rFonts w:hint="eastAsia" w:eastAsia="宋体"/>
                <w:b/>
                <w:bCs/>
                <w:color w:val="000000"/>
                <w:kern w:val="0"/>
                <w:sz w:val="22"/>
                <w:szCs w:val="22"/>
                <w:lang w:eastAsia="zh-CN"/>
              </w:rPr>
            </w:pPr>
            <w:r>
              <w:rPr>
                <w:rFonts w:hint="eastAsia" w:eastAsia="宋体"/>
                <w:b/>
                <w:bCs/>
                <w:color w:val="000000"/>
                <w:kern w:val="0"/>
                <w:sz w:val="22"/>
                <w:szCs w:val="22"/>
                <w:lang w:val="en-US" w:eastAsia="zh-CN"/>
              </w:rPr>
              <w:t>3</w:t>
            </w:r>
          </w:p>
        </w:tc>
      </w:tr>
      <w:tr w14:paraId="117620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31" w:type="pct"/>
            <w:vMerge w:val="continue"/>
            <w:shd w:val="clear" w:color="auto" w:fill="FFFFFF"/>
            <w:vAlign w:val="center"/>
          </w:tcPr>
          <w:p w14:paraId="705F1420">
            <w:pPr>
              <w:pageBreakBefore w:val="0"/>
              <w:kinsoku/>
              <w:wordWrap/>
              <w:overflowPunct/>
              <w:topLinePunct w:val="0"/>
              <w:autoSpaceDE/>
              <w:autoSpaceDN/>
              <w:bidi w:val="0"/>
              <w:snapToGrid w:val="0"/>
              <w:spacing w:line="560" w:lineRule="exact"/>
              <w:ind w:left="0" w:leftChars="0"/>
              <w:jc w:val="center"/>
              <w:rPr>
                <w:color w:val="000000"/>
                <w:kern w:val="0"/>
                <w:sz w:val="22"/>
                <w:szCs w:val="22"/>
              </w:rPr>
            </w:pPr>
          </w:p>
        </w:tc>
        <w:tc>
          <w:tcPr>
            <w:tcW w:w="302" w:type="pct"/>
            <w:vMerge w:val="restart"/>
            <w:shd w:val="clear" w:color="auto" w:fill="FFFFFF"/>
            <w:vAlign w:val="center"/>
          </w:tcPr>
          <w:p w14:paraId="40DD9A93">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资金投入</w:t>
            </w:r>
          </w:p>
          <w:p w14:paraId="24521B12">
            <w:pPr>
              <w:pageBreakBefore w:val="0"/>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　</w:t>
            </w:r>
          </w:p>
        </w:tc>
        <w:tc>
          <w:tcPr>
            <w:tcW w:w="344" w:type="pct"/>
            <w:shd w:val="clear" w:color="auto" w:fill="FFFFFF"/>
            <w:vAlign w:val="center"/>
          </w:tcPr>
          <w:p w14:paraId="1F81756E">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预算编制</w:t>
            </w:r>
          </w:p>
          <w:p w14:paraId="5AA12556">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科学性</w:t>
            </w:r>
          </w:p>
        </w:tc>
        <w:tc>
          <w:tcPr>
            <w:tcW w:w="927" w:type="pct"/>
            <w:shd w:val="clear" w:color="auto" w:fill="FFFFFF"/>
            <w:vAlign w:val="center"/>
          </w:tcPr>
          <w:p w14:paraId="0BFDAF7D">
            <w:pPr>
              <w:pageBreakBefore w:val="0"/>
              <w:widowControl/>
              <w:kinsoku/>
              <w:wordWrap/>
              <w:overflowPunct/>
              <w:topLinePunct w:val="0"/>
              <w:autoSpaceDE/>
              <w:autoSpaceDN/>
              <w:bidi w:val="0"/>
              <w:snapToGrid w:val="0"/>
              <w:spacing w:line="560" w:lineRule="exact"/>
              <w:ind w:left="0" w:leftChars="0"/>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2044" w:type="pct"/>
            <w:shd w:val="clear" w:color="auto" w:fill="FFFFFF"/>
            <w:vAlign w:val="center"/>
          </w:tcPr>
          <w:p w14:paraId="32A5C3AB">
            <w:pPr>
              <w:pageBreakBefore w:val="0"/>
              <w:widowControl/>
              <w:kinsoku/>
              <w:wordWrap/>
              <w:overflowPunct/>
              <w:topLinePunct w:val="0"/>
              <w:autoSpaceDE/>
              <w:autoSpaceDN/>
              <w:bidi w:val="0"/>
              <w:snapToGrid w:val="0"/>
              <w:spacing w:line="560" w:lineRule="exact"/>
              <w:ind w:left="0" w:leftChars="0"/>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512" w:type="pct"/>
            <w:shd w:val="clear" w:color="auto" w:fill="FFFFFF"/>
            <w:vAlign w:val="center"/>
          </w:tcPr>
          <w:p w14:paraId="62EE634D">
            <w:pPr>
              <w:pageBreakBefore w:val="0"/>
              <w:widowControl/>
              <w:kinsoku/>
              <w:wordWrap/>
              <w:overflowPunct/>
              <w:topLinePunct w:val="0"/>
              <w:autoSpaceDE/>
              <w:autoSpaceDN/>
              <w:bidi w:val="0"/>
              <w:snapToGrid w:val="0"/>
              <w:spacing w:line="560" w:lineRule="exact"/>
              <w:ind w:left="0" w:leftChars="0"/>
              <w:jc w:val="center"/>
              <w:rPr>
                <w:b/>
                <w:bCs/>
                <w:color w:val="000000"/>
                <w:kern w:val="0"/>
                <w:sz w:val="22"/>
                <w:szCs w:val="22"/>
              </w:rPr>
            </w:pPr>
            <w:r>
              <w:rPr>
                <w:rFonts w:hint="eastAsia"/>
                <w:b/>
                <w:bCs/>
                <w:color w:val="000000"/>
                <w:kern w:val="0"/>
                <w:sz w:val="22"/>
                <w:szCs w:val="22"/>
              </w:rPr>
              <w:t>4</w:t>
            </w:r>
          </w:p>
        </w:tc>
        <w:tc>
          <w:tcPr>
            <w:tcW w:w="537" w:type="pct"/>
            <w:shd w:val="clear" w:color="auto" w:fill="FFFFFF"/>
            <w:vAlign w:val="center"/>
          </w:tcPr>
          <w:p w14:paraId="426AEAA4">
            <w:pPr>
              <w:pageBreakBefore w:val="0"/>
              <w:widowControl/>
              <w:kinsoku/>
              <w:wordWrap/>
              <w:overflowPunct/>
              <w:topLinePunct w:val="0"/>
              <w:autoSpaceDE/>
              <w:autoSpaceDN/>
              <w:bidi w:val="0"/>
              <w:snapToGrid w:val="0"/>
              <w:spacing w:line="560" w:lineRule="exact"/>
              <w:ind w:left="0" w:leftChars="0"/>
              <w:jc w:val="center"/>
              <w:rPr>
                <w:rFonts w:hint="eastAsia" w:eastAsia="宋体"/>
                <w:b/>
                <w:bCs/>
                <w:color w:val="000000"/>
                <w:kern w:val="0"/>
                <w:sz w:val="22"/>
                <w:szCs w:val="22"/>
                <w:lang w:eastAsia="zh-CN"/>
              </w:rPr>
            </w:pPr>
            <w:r>
              <w:rPr>
                <w:rFonts w:hint="eastAsia" w:eastAsia="宋体"/>
                <w:b/>
                <w:bCs/>
                <w:color w:val="000000"/>
                <w:kern w:val="0"/>
                <w:sz w:val="22"/>
                <w:szCs w:val="22"/>
                <w:lang w:val="en-US" w:eastAsia="zh-CN"/>
              </w:rPr>
              <w:t>4</w:t>
            </w:r>
          </w:p>
        </w:tc>
      </w:tr>
      <w:tr w14:paraId="1CBD2E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31" w:type="pct"/>
            <w:vMerge w:val="continue"/>
            <w:shd w:val="clear" w:color="auto" w:fill="FFFFFF"/>
            <w:vAlign w:val="center"/>
          </w:tcPr>
          <w:p w14:paraId="3100D49C">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p>
        </w:tc>
        <w:tc>
          <w:tcPr>
            <w:tcW w:w="302" w:type="pct"/>
            <w:vMerge w:val="continue"/>
            <w:shd w:val="clear" w:color="auto" w:fill="FFFFFF"/>
            <w:vAlign w:val="center"/>
          </w:tcPr>
          <w:p w14:paraId="490D0DFD">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p>
        </w:tc>
        <w:tc>
          <w:tcPr>
            <w:tcW w:w="344" w:type="pct"/>
            <w:shd w:val="clear" w:color="auto" w:fill="FFFFFF"/>
            <w:vAlign w:val="center"/>
          </w:tcPr>
          <w:p w14:paraId="687E74D0">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资金分配</w:t>
            </w:r>
          </w:p>
          <w:p w14:paraId="74717073">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合理性</w:t>
            </w:r>
          </w:p>
        </w:tc>
        <w:tc>
          <w:tcPr>
            <w:tcW w:w="927" w:type="pct"/>
            <w:shd w:val="clear" w:color="auto" w:fill="FFFFFF"/>
            <w:vAlign w:val="center"/>
          </w:tcPr>
          <w:p w14:paraId="1AD8FCBA">
            <w:pPr>
              <w:pageBreakBefore w:val="0"/>
              <w:widowControl/>
              <w:kinsoku/>
              <w:wordWrap/>
              <w:overflowPunct/>
              <w:topLinePunct w:val="0"/>
              <w:autoSpaceDE/>
              <w:autoSpaceDN/>
              <w:bidi w:val="0"/>
              <w:snapToGrid w:val="0"/>
              <w:spacing w:line="560" w:lineRule="exact"/>
              <w:ind w:left="0" w:leftChars="0"/>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2044" w:type="pct"/>
            <w:shd w:val="clear" w:color="auto" w:fill="FFFFFF"/>
            <w:vAlign w:val="center"/>
          </w:tcPr>
          <w:p w14:paraId="3FC4F7D3">
            <w:pPr>
              <w:pageBreakBefore w:val="0"/>
              <w:widowControl/>
              <w:kinsoku/>
              <w:wordWrap/>
              <w:overflowPunct/>
              <w:topLinePunct w:val="0"/>
              <w:autoSpaceDE/>
              <w:autoSpaceDN/>
              <w:bidi w:val="0"/>
              <w:snapToGrid w:val="0"/>
              <w:spacing w:line="560" w:lineRule="exact"/>
              <w:ind w:left="0" w:leftChars="0"/>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512" w:type="pct"/>
            <w:shd w:val="clear" w:color="auto" w:fill="FFFFFF"/>
            <w:vAlign w:val="center"/>
          </w:tcPr>
          <w:p w14:paraId="0416AE84">
            <w:pPr>
              <w:pageBreakBefore w:val="0"/>
              <w:widowControl/>
              <w:kinsoku/>
              <w:wordWrap/>
              <w:overflowPunct/>
              <w:topLinePunct w:val="0"/>
              <w:autoSpaceDE/>
              <w:autoSpaceDN/>
              <w:bidi w:val="0"/>
              <w:snapToGrid w:val="0"/>
              <w:spacing w:line="560" w:lineRule="exact"/>
              <w:ind w:left="0" w:leftChars="0"/>
              <w:jc w:val="center"/>
              <w:rPr>
                <w:b/>
                <w:bCs/>
                <w:color w:val="000000"/>
                <w:kern w:val="0"/>
                <w:sz w:val="22"/>
                <w:szCs w:val="22"/>
              </w:rPr>
            </w:pPr>
            <w:r>
              <w:rPr>
                <w:rFonts w:hint="eastAsia"/>
                <w:b/>
                <w:bCs/>
                <w:color w:val="000000"/>
                <w:kern w:val="0"/>
                <w:sz w:val="22"/>
                <w:szCs w:val="22"/>
              </w:rPr>
              <w:t>3</w:t>
            </w:r>
          </w:p>
        </w:tc>
        <w:tc>
          <w:tcPr>
            <w:tcW w:w="537" w:type="pct"/>
            <w:shd w:val="clear" w:color="auto" w:fill="FFFFFF"/>
            <w:vAlign w:val="center"/>
          </w:tcPr>
          <w:p w14:paraId="15E1FAEB">
            <w:pPr>
              <w:pageBreakBefore w:val="0"/>
              <w:widowControl/>
              <w:kinsoku/>
              <w:wordWrap/>
              <w:overflowPunct/>
              <w:topLinePunct w:val="0"/>
              <w:autoSpaceDE/>
              <w:autoSpaceDN/>
              <w:bidi w:val="0"/>
              <w:snapToGrid w:val="0"/>
              <w:spacing w:line="560" w:lineRule="exact"/>
              <w:ind w:left="0" w:leftChars="0"/>
              <w:jc w:val="center"/>
              <w:rPr>
                <w:rFonts w:hint="eastAsia" w:eastAsia="宋体"/>
                <w:b/>
                <w:bCs/>
                <w:color w:val="000000"/>
                <w:kern w:val="0"/>
                <w:sz w:val="22"/>
                <w:szCs w:val="22"/>
                <w:lang w:eastAsia="zh-CN"/>
              </w:rPr>
            </w:pPr>
            <w:r>
              <w:rPr>
                <w:rFonts w:hint="eastAsia" w:eastAsia="宋体"/>
                <w:b/>
                <w:bCs/>
                <w:color w:val="000000"/>
                <w:kern w:val="0"/>
                <w:sz w:val="22"/>
                <w:szCs w:val="22"/>
                <w:lang w:val="en-US" w:eastAsia="zh-CN"/>
              </w:rPr>
              <w:t>3</w:t>
            </w:r>
          </w:p>
        </w:tc>
      </w:tr>
      <w:tr w14:paraId="398FE3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31" w:type="pct"/>
            <w:vMerge w:val="restart"/>
            <w:shd w:val="clear" w:color="auto" w:fill="FFFFFF"/>
            <w:vAlign w:val="center"/>
          </w:tcPr>
          <w:p w14:paraId="4660CF44">
            <w:pPr>
              <w:pageBreakBefore w:val="0"/>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过程</w:t>
            </w:r>
          </w:p>
        </w:tc>
        <w:tc>
          <w:tcPr>
            <w:tcW w:w="302" w:type="pct"/>
            <w:vMerge w:val="restart"/>
            <w:shd w:val="clear" w:color="auto" w:fill="FFFFFF"/>
            <w:vAlign w:val="center"/>
          </w:tcPr>
          <w:p w14:paraId="16A9D809">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资金管理</w:t>
            </w:r>
          </w:p>
        </w:tc>
        <w:tc>
          <w:tcPr>
            <w:tcW w:w="344" w:type="pct"/>
            <w:shd w:val="clear" w:color="auto" w:fill="FFFFFF"/>
            <w:vAlign w:val="center"/>
          </w:tcPr>
          <w:p w14:paraId="5CEA7BE4">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资金到位率</w:t>
            </w:r>
          </w:p>
        </w:tc>
        <w:tc>
          <w:tcPr>
            <w:tcW w:w="927" w:type="pct"/>
            <w:shd w:val="clear" w:color="000000" w:fill="FFFFFF"/>
            <w:vAlign w:val="center"/>
          </w:tcPr>
          <w:p w14:paraId="16D11273">
            <w:pPr>
              <w:pageBreakBefore w:val="0"/>
              <w:widowControl/>
              <w:kinsoku/>
              <w:wordWrap/>
              <w:overflowPunct/>
              <w:topLinePunct w:val="0"/>
              <w:autoSpaceDE/>
              <w:autoSpaceDN/>
              <w:bidi w:val="0"/>
              <w:snapToGrid w:val="0"/>
              <w:spacing w:line="560" w:lineRule="exact"/>
              <w:ind w:left="0" w:leftChars="0"/>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2044" w:type="pct"/>
            <w:shd w:val="clear" w:color="000000" w:fill="FFFFFF"/>
            <w:vAlign w:val="center"/>
          </w:tcPr>
          <w:p w14:paraId="035F7B00">
            <w:pPr>
              <w:pageBreakBefore w:val="0"/>
              <w:widowControl/>
              <w:kinsoku/>
              <w:wordWrap/>
              <w:overflowPunct/>
              <w:topLinePunct w:val="0"/>
              <w:autoSpaceDE/>
              <w:autoSpaceDN/>
              <w:bidi w:val="0"/>
              <w:snapToGrid w:val="0"/>
              <w:spacing w:line="560" w:lineRule="exact"/>
              <w:ind w:left="0" w:leftChars="0"/>
              <w:rPr>
                <w:color w:val="000000"/>
                <w:kern w:val="0"/>
                <w:sz w:val="22"/>
                <w:szCs w:val="22"/>
              </w:rPr>
            </w:pPr>
            <w:r>
              <w:rPr>
                <w:color w:val="000000"/>
                <w:kern w:val="0"/>
                <w:sz w:val="22"/>
                <w:szCs w:val="22"/>
              </w:rPr>
              <w:t>资金到位率=（实际到位资金/预算资金）×100%。</w:t>
            </w:r>
          </w:p>
          <w:p w14:paraId="7E8BF291">
            <w:pPr>
              <w:pageBreakBefore w:val="0"/>
              <w:widowControl/>
              <w:kinsoku/>
              <w:wordWrap/>
              <w:overflowPunct/>
              <w:topLinePunct w:val="0"/>
              <w:autoSpaceDE/>
              <w:autoSpaceDN/>
              <w:bidi w:val="0"/>
              <w:snapToGrid w:val="0"/>
              <w:spacing w:line="560" w:lineRule="exact"/>
              <w:ind w:left="0" w:leftChars="0"/>
              <w:rPr>
                <w:color w:val="000000"/>
                <w:kern w:val="0"/>
                <w:sz w:val="22"/>
                <w:szCs w:val="22"/>
              </w:rPr>
            </w:pPr>
            <w:r>
              <w:rPr>
                <w:color w:val="000000"/>
                <w:kern w:val="0"/>
                <w:sz w:val="22"/>
                <w:szCs w:val="22"/>
              </w:rPr>
              <w:t>实际到位资金：一定时期（本年度或项目期）内落实到具体项目的资金。</w:t>
            </w:r>
          </w:p>
          <w:p w14:paraId="29114F3D">
            <w:pPr>
              <w:pageBreakBefore w:val="0"/>
              <w:widowControl/>
              <w:kinsoku/>
              <w:wordWrap/>
              <w:overflowPunct/>
              <w:topLinePunct w:val="0"/>
              <w:autoSpaceDE/>
              <w:autoSpaceDN/>
              <w:bidi w:val="0"/>
              <w:snapToGrid w:val="0"/>
              <w:spacing w:line="560" w:lineRule="exact"/>
              <w:ind w:left="0" w:leftChars="0"/>
              <w:rPr>
                <w:color w:val="000000"/>
                <w:kern w:val="0"/>
                <w:sz w:val="22"/>
                <w:szCs w:val="22"/>
              </w:rPr>
            </w:pPr>
            <w:r>
              <w:rPr>
                <w:color w:val="000000"/>
                <w:kern w:val="0"/>
                <w:sz w:val="22"/>
                <w:szCs w:val="22"/>
              </w:rPr>
              <w:t>预算资金：一定时期（本年度或项目期）内预算安排到具体项目的资金。</w:t>
            </w:r>
          </w:p>
        </w:tc>
        <w:tc>
          <w:tcPr>
            <w:tcW w:w="512" w:type="pct"/>
            <w:shd w:val="clear" w:color="000000" w:fill="FFFFFF"/>
            <w:vAlign w:val="center"/>
          </w:tcPr>
          <w:p w14:paraId="51F47DF7">
            <w:pPr>
              <w:pageBreakBefore w:val="0"/>
              <w:widowControl/>
              <w:kinsoku/>
              <w:wordWrap/>
              <w:overflowPunct/>
              <w:topLinePunct w:val="0"/>
              <w:autoSpaceDE/>
              <w:autoSpaceDN/>
              <w:bidi w:val="0"/>
              <w:snapToGrid w:val="0"/>
              <w:spacing w:line="560" w:lineRule="exact"/>
              <w:ind w:left="0" w:leftChars="0"/>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14:paraId="1BD1DBC6">
            <w:pPr>
              <w:pageBreakBefore w:val="0"/>
              <w:widowControl/>
              <w:kinsoku/>
              <w:wordWrap/>
              <w:overflowPunct/>
              <w:topLinePunct w:val="0"/>
              <w:autoSpaceDE/>
              <w:autoSpaceDN/>
              <w:bidi w:val="0"/>
              <w:snapToGrid w:val="0"/>
              <w:spacing w:line="560" w:lineRule="exact"/>
              <w:ind w:left="0" w:leftChars="0"/>
              <w:jc w:val="center"/>
              <w:rPr>
                <w:rFonts w:hint="eastAsia" w:eastAsia="宋体"/>
                <w:b/>
                <w:bCs/>
                <w:color w:val="000000"/>
                <w:kern w:val="0"/>
                <w:sz w:val="22"/>
                <w:szCs w:val="22"/>
                <w:lang w:eastAsia="zh-CN"/>
              </w:rPr>
            </w:pPr>
            <w:r>
              <w:rPr>
                <w:rFonts w:hint="eastAsia" w:eastAsia="宋体"/>
                <w:b/>
                <w:bCs/>
                <w:color w:val="000000"/>
                <w:kern w:val="0"/>
                <w:sz w:val="22"/>
                <w:szCs w:val="22"/>
                <w:lang w:val="en-US" w:eastAsia="zh-CN"/>
              </w:rPr>
              <w:t>4</w:t>
            </w:r>
          </w:p>
        </w:tc>
      </w:tr>
      <w:tr w14:paraId="76EA3D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31" w:type="pct"/>
            <w:vMerge w:val="continue"/>
            <w:shd w:val="clear" w:color="auto" w:fill="FFFFFF"/>
            <w:vAlign w:val="center"/>
          </w:tcPr>
          <w:p w14:paraId="7E8D5930">
            <w:pPr>
              <w:pageBreakBefore w:val="0"/>
              <w:kinsoku/>
              <w:wordWrap/>
              <w:overflowPunct/>
              <w:topLinePunct w:val="0"/>
              <w:autoSpaceDE/>
              <w:autoSpaceDN/>
              <w:bidi w:val="0"/>
              <w:snapToGrid w:val="0"/>
              <w:spacing w:line="560" w:lineRule="exact"/>
              <w:ind w:left="0" w:leftChars="0"/>
              <w:jc w:val="center"/>
              <w:rPr>
                <w:color w:val="000000"/>
                <w:kern w:val="0"/>
                <w:sz w:val="22"/>
                <w:szCs w:val="22"/>
              </w:rPr>
            </w:pPr>
          </w:p>
        </w:tc>
        <w:tc>
          <w:tcPr>
            <w:tcW w:w="302" w:type="pct"/>
            <w:vMerge w:val="continue"/>
            <w:shd w:val="clear" w:color="auto" w:fill="FFFFFF"/>
            <w:vAlign w:val="center"/>
          </w:tcPr>
          <w:p w14:paraId="51B1DA9D">
            <w:pPr>
              <w:pageBreakBefore w:val="0"/>
              <w:kinsoku/>
              <w:wordWrap/>
              <w:overflowPunct/>
              <w:topLinePunct w:val="0"/>
              <w:autoSpaceDE/>
              <w:autoSpaceDN/>
              <w:bidi w:val="0"/>
              <w:snapToGrid w:val="0"/>
              <w:spacing w:line="560" w:lineRule="exact"/>
              <w:ind w:left="0" w:leftChars="0"/>
              <w:jc w:val="center"/>
              <w:rPr>
                <w:color w:val="000000"/>
                <w:kern w:val="0"/>
                <w:sz w:val="22"/>
                <w:szCs w:val="22"/>
              </w:rPr>
            </w:pPr>
          </w:p>
        </w:tc>
        <w:tc>
          <w:tcPr>
            <w:tcW w:w="344" w:type="pct"/>
            <w:shd w:val="clear" w:color="auto" w:fill="FFFFFF"/>
            <w:vAlign w:val="center"/>
          </w:tcPr>
          <w:p w14:paraId="02C8987C">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预算执行率</w:t>
            </w:r>
          </w:p>
        </w:tc>
        <w:tc>
          <w:tcPr>
            <w:tcW w:w="927" w:type="pct"/>
            <w:shd w:val="clear" w:color="auto" w:fill="FFFFFF"/>
            <w:vAlign w:val="center"/>
          </w:tcPr>
          <w:p w14:paraId="1996F13C">
            <w:pPr>
              <w:pageBreakBefore w:val="0"/>
              <w:widowControl/>
              <w:kinsoku/>
              <w:wordWrap/>
              <w:overflowPunct/>
              <w:topLinePunct w:val="0"/>
              <w:autoSpaceDE/>
              <w:autoSpaceDN/>
              <w:bidi w:val="0"/>
              <w:snapToGrid w:val="0"/>
              <w:spacing w:line="560" w:lineRule="exact"/>
              <w:ind w:left="0" w:leftChars="0"/>
              <w:rPr>
                <w:color w:val="000000"/>
                <w:kern w:val="0"/>
                <w:sz w:val="22"/>
                <w:szCs w:val="22"/>
              </w:rPr>
            </w:pPr>
            <w:r>
              <w:rPr>
                <w:color w:val="000000"/>
                <w:kern w:val="0"/>
                <w:sz w:val="22"/>
                <w:szCs w:val="22"/>
              </w:rPr>
              <w:t>项目预算资金是否按照计划执行，用以反映或考核项目预算执行情况。</w:t>
            </w:r>
          </w:p>
        </w:tc>
        <w:tc>
          <w:tcPr>
            <w:tcW w:w="2044" w:type="pct"/>
            <w:shd w:val="clear" w:color="auto" w:fill="FFFFFF"/>
            <w:vAlign w:val="center"/>
          </w:tcPr>
          <w:p w14:paraId="483C3F1D">
            <w:pPr>
              <w:pageBreakBefore w:val="0"/>
              <w:widowControl/>
              <w:kinsoku/>
              <w:wordWrap/>
              <w:overflowPunct/>
              <w:topLinePunct w:val="0"/>
              <w:autoSpaceDE/>
              <w:autoSpaceDN/>
              <w:bidi w:val="0"/>
              <w:snapToGrid w:val="0"/>
              <w:spacing w:line="560" w:lineRule="exact"/>
              <w:ind w:left="0" w:leftChars="0"/>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512" w:type="pct"/>
            <w:shd w:val="clear" w:color="auto" w:fill="FFFFFF"/>
            <w:vAlign w:val="center"/>
          </w:tcPr>
          <w:p w14:paraId="30C00208">
            <w:pPr>
              <w:pageBreakBefore w:val="0"/>
              <w:widowControl/>
              <w:kinsoku/>
              <w:wordWrap/>
              <w:overflowPunct/>
              <w:topLinePunct w:val="0"/>
              <w:autoSpaceDE/>
              <w:autoSpaceDN/>
              <w:bidi w:val="0"/>
              <w:snapToGrid w:val="0"/>
              <w:spacing w:line="560" w:lineRule="exact"/>
              <w:ind w:left="0" w:leftChars="0"/>
              <w:jc w:val="center"/>
              <w:rPr>
                <w:b/>
                <w:bCs/>
                <w:color w:val="000000"/>
                <w:kern w:val="0"/>
                <w:sz w:val="22"/>
                <w:szCs w:val="22"/>
              </w:rPr>
            </w:pPr>
            <w:r>
              <w:rPr>
                <w:rFonts w:hint="eastAsia"/>
                <w:b/>
                <w:bCs/>
                <w:color w:val="000000"/>
                <w:kern w:val="0"/>
                <w:sz w:val="22"/>
                <w:szCs w:val="22"/>
              </w:rPr>
              <w:t>4</w:t>
            </w:r>
          </w:p>
        </w:tc>
        <w:tc>
          <w:tcPr>
            <w:tcW w:w="537" w:type="pct"/>
            <w:shd w:val="clear" w:color="auto" w:fill="FFFFFF"/>
            <w:vAlign w:val="center"/>
          </w:tcPr>
          <w:p w14:paraId="3F11C1CF">
            <w:pPr>
              <w:pageBreakBefore w:val="0"/>
              <w:widowControl/>
              <w:kinsoku/>
              <w:wordWrap/>
              <w:overflowPunct/>
              <w:topLinePunct w:val="0"/>
              <w:autoSpaceDE/>
              <w:autoSpaceDN/>
              <w:bidi w:val="0"/>
              <w:snapToGrid w:val="0"/>
              <w:spacing w:line="560" w:lineRule="exact"/>
              <w:ind w:left="0" w:leftChars="0"/>
              <w:jc w:val="center"/>
              <w:rPr>
                <w:rFonts w:hint="eastAsia" w:eastAsia="宋体"/>
                <w:b/>
                <w:bCs/>
                <w:color w:val="000000"/>
                <w:kern w:val="0"/>
                <w:sz w:val="22"/>
                <w:szCs w:val="22"/>
                <w:lang w:eastAsia="zh-CN"/>
              </w:rPr>
            </w:pPr>
            <w:r>
              <w:rPr>
                <w:rFonts w:hint="eastAsia" w:eastAsia="宋体"/>
                <w:b/>
                <w:bCs/>
                <w:color w:val="000000"/>
                <w:kern w:val="0"/>
                <w:sz w:val="22"/>
                <w:szCs w:val="22"/>
                <w:lang w:val="en-US" w:eastAsia="zh-CN"/>
              </w:rPr>
              <w:t>4</w:t>
            </w:r>
          </w:p>
        </w:tc>
      </w:tr>
      <w:tr w14:paraId="7C88E4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restart"/>
            <w:shd w:val="clear" w:color="auto" w:fill="FFFFFF"/>
            <w:vAlign w:val="center"/>
          </w:tcPr>
          <w:p w14:paraId="71B86DFA">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　</w:t>
            </w:r>
          </w:p>
          <w:p w14:paraId="53768B2B">
            <w:pPr>
              <w:pageBreakBefore w:val="0"/>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过程　</w:t>
            </w:r>
          </w:p>
        </w:tc>
        <w:tc>
          <w:tcPr>
            <w:tcW w:w="302" w:type="pct"/>
            <w:shd w:val="clear" w:color="auto" w:fill="FFFFFF"/>
            <w:vAlign w:val="center"/>
          </w:tcPr>
          <w:p w14:paraId="32087000">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资金管理</w:t>
            </w:r>
          </w:p>
        </w:tc>
        <w:tc>
          <w:tcPr>
            <w:tcW w:w="344" w:type="pct"/>
            <w:shd w:val="clear" w:color="auto" w:fill="FFFFFF"/>
            <w:vAlign w:val="center"/>
          </w:tcPr>
          <w:p w14:paraId="6F7AF8AC">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资金使用</w:t>
            </w:r>
          </w:p>
          <w:p w14:paraId="7529F4B4">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合规性</w:t>
            </w:r>
          </w:p>
        </w:tc>
        <w:tc>
          <w:tcPr>
            <w:tcW w:w="927" w:type="pct"/>
            <w:shd w:val="clear" w:color="000000" w:fill="FFFFFF"/>
            <w:vAlign w:val="center"/>
          </w:tcPr>
          <w:p w14:paraId="6E39D3FB">
            <w:pPr>
              <w:pageBreakBefore w:val="0"/>
              <w:widowControl/>
              <w:kinsoku/>
              <w:wordWrap/>
              <w:overflowPunct/>
              <w:topLinePunct w:val="0"/>
              <w:autoSpaceDE/>
              <w:autoSpaceDN/>
              <w:bidi w:val="0"/>
              <w:snapToGrid w:val="0"/>
              <w:spacing w:line="560" w:lineRule="exact"/>
              <w:ind w:left="0" w:leftChars="0"/>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2044" w:type="pct"/>
            <w:shd w:val="clear" w:color="000000" w:fill="FFFFFF"/>
            <w:vAlign w:val="center"/>
          </w:tcPr>
          <w:p w14:paraId="0605A346">
            <w:pPr>
              <w:pageBreakBefore w:val="0"/>
              <w:widowControl/>
              <w:kinsoku/>
              <w:wordWrap/>
              <w:overflowPunct/>
              <w:topLinePunct w:val="0"/>
              <w:autoSpaceDE/>
              <w:autoSpaceDN/>
              <w:bidi w:val="0"/>
              <w:snapToGrid w:val="0"/>
              <w:spacing w:line="560" w:lineRule="exact"/>
              <w:ind w:left="0" w:leftChars="0"/>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512" w:type="pct"/>
            <w:shd w:val="clear" w:color="000000" w:fill="FFFFFF"/>
            <w:vAlign w:val="center"/>
          </w:tcPr>
          <w:p w14:paraId="593C1CAD">
            <w:pPr>
              <w:pageBreakBefore w:val="0"/>
              <w:widowControl/>
              <w:kinsoku/>
              <w:wordWrap/>
              <w:overflowPunct/>
              <w:topLinePunct w:val="0"/>
              <w:autoSpaceDE/>
              <w:autoSpaceDN/>
              <w:bidi w:val="0"/>
              <w:snapToGrid w:val="0"/>
              <w:spacing w:line="560" w:lineRule="exact"/>
              <w:ind w:left="0" w:leftChars="0"/>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14:paraId="70D871BE">
            <w:pPr>
              <w:pageBreakBefore w:val="0"/>
              <w:widowControl/>
              <w:kinsoku/>
              <w:wordWrap/>
              <w:overflowPunct/>
              <w:topLinePunct w:val="0"/>
              <w:autoSpaceDE/>
              <w:autoSpaceDN/>
              <w:bidi w:val="0"/>
              <w:snapToGrid w:val="0"/>
              <w:spacing w:line="560" w:lineRule="exact"/>
              <w:ind w:left="0" w:leftChars="0"/>
              <w:jc w:val="center"/>
              <w:rPr>
                <w:rFonts w:hint="eastAsia" w:eastAsia="宋体"/>
                <w:b/>
                <w:bCs/>
                <w:color w:val="000000"/>
                <w:kern w:val="0"/>
                <w:sz w:val="22"/>
                <w:szCs w:val="22"/>
                <w:lang w:eastAsia="zh-CN"/>
              </w:rPr>
            </w:pPr>
            <w:r>
              <w:rPr>
                <w:rFonts w:hint="eastAsia" w:eastAsia="宋体"/>
                <w:b/>
                <w:bCs/>
                <w:color w:val="000000"/>
                <w:kern w:val="0"/>
                <w:sz w:val="22"/>
                <w:szCs w:val="22"/>
                <w:lang w:val="en-US" w:eastAsia="zh-CN"/>
              </w:rPr>
              <w:t>4</w:t>
            </w:r>
          </w:p>
        </w:tc>
      </w:tr>
      <w:tr w14:paraId="4583E4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31" w:type="pct"/>
            <w:vMerge w:val="continue"/>
            <w:shd w:val="clear" w:color="auto" w:fill="FFFFFF"/>
            <w:vAlign w:val="center"/>
          </w:tcPr>
          <w:p w14:paraId="0FED9F94">
            <w:pPr>
              <w:pageBreakBefore w:val="0"/>
              <w:kinsoku/>
              <w:wordWrap/>
              <w:overflowPunct/>
              <w:topLinePunct w:val="0"/>
              <w:autoSpaceDE/>
              <w:autoSpaceDN/>
              <w:bidi w:val="0"/>
              <w:snapToGrid w:val="0"/>
              <w:spacing w:line="560" w:lineRule="exact"/>
              <w:ind w:left="0" w:leftChars="0"/>
              <w:jc w:val="center"/>
              <w:rPr>
                <w:color w:val="000000"/>
                <w:kern w:val="0"/>
                <w:sz w:val="22"/>
                <w:szCs w:val="22"/>
              </w:rPr>
            </w:pPr>
          </w:p>
        </w:tc>
        <w:tc>
          <w:tcPr>
            <w:tcW w:w="302" w:type="pct"/>
            <w:vMerge w:val="restart"/>
            <w:shd w:val="clear" w:color="auto" w:fill="FFFFFF"/>
            <w:vAlign w:val="center"/>
          </w:tcPr>
          <w:p w14:paraId="50A935F0">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组织实施</w:t>
            </w:r>
          </w:p>
          <w:p w14:paraId="5AF65762">
            <w:pPr>
              <w:pageBreakBefore w:val="0"/>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　</w:t>
            </w:r>
          </w:p>
        </w:tc>
        <w:tc>
          <w:tcPr>
            <w:tcW w:w="344" w:type="pct"/>
            <w:shd w:val="clear" w:color="auto" w:fill="FFFFFF"/>
            <w:vAlign w:val="center"/>
          </w:tcPr>
          <w:p w14:paraId="2B7BA643">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管理制度</w:t>
            </w:r>
          </w:p>
          <w:p w14:paraId="0A160891">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健全性</w:t>
            </w:r>
          </w:p>
        </w:tc>
        <w:tc>
          <w:tcPr>
            <w:tcW w:w="927" w:type="pct"/>
            <w:shd w:val="clear" w:color="000000" w:fill="FFFFFF"/>
            <w:vAlign w:val="center"/>
          </w:tcPr>
          <w:p w14:paraId="1035962E">
            <w:pPr>
              <w:pageBreakBefore w:val="0"/>
              <w:widowControl/>
              <w:kinsoku/>
              <w:wordWrap/>
              <w:overflowPunct/>
              <w:topLinePunct w:val="0"/>
              <w:autoSpaceDE/>
              <w:autoSpaceDN/>
              <w:bidi w:val="0"/>
              <w:snapToGrid w:val="0"/>
              <w:spacing w:line="560" w:lineRule="exact"/>
              <w:ind w:left="0" w:leftChars="0"/>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2044" w:type="pct"/>
            <w:shd w:val="clear" w:color="000000" w:fill="FFFFFF"/>
            <w:vAlign w:val="center"/>
          </w:tcPr>
          <w:p w14:paraId="176158A2">
            <w:pPr>
              <w:pageBreakBefore w:val="0"/>
              <w:widowControl/>
              <w:kinsoku/>
              <w:wordWrap/>
              <w:overflowPunct/>
              <w:topLinePunct w:val="0"/>
              <w:autoSpaceDE/>
              <w:autoSpaceDN/>
              <w:bidi w:val="0"/>
              <w:snapToGrid w:val="0"/>
              <w:spacing w:line="560" w:lineRule="exact"/>
              <w:ind w:left="0" w:leftChars="0"/>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512" w:type="pct"/>
            <w:shd w:val="clear" w:color="000000" w:fill="FFFFFF"/>
            <w:vAlign w:val="center"/>
          </w:tcPr>
          <w:p w14:paraId="0A26F45D">
            <w:pPr>
              <w:pageBreakBefore w:val="0"/>
              <w:widowControl/>
              <w:kinsoku/>
              <w:wordWrap/>
              <w:overflowPunct/>
              <w:topLinePunct w:val="0"/>
              <w:autoSpaceDE/>
              <w:autoSpaceDN/>
              <w:bidi w:val="0"/>
              <w:snapToGrid w:val="0"/>
              <w:spacing w:line="560" w:lineRule="exact"/>
              <w:ind w:left="0" w:leftChars="0"/>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14:paraId="7D9A1CBE">
            <w:pPr>
              <w:pageBreakBefore w:val="0"/>
              <w:widowControl/>
              <w:kinsoku/>
              <w:wordWrap/>
              <w:overflowPunct/>
              <w:topLinePunct w:val="0"/>
              <w:autoSpaceDE/>
              <w:autoSpaceDN/>
              <w:bidi w:val="0"/>
              <w:snapToGrid w:val="0"/>
              <w:spacing w:line="560" w:lineRule="exact"/>
              <w:ind w:left="0" w:leftChars="0"/>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7B0671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31" w:type="pct"/>
            <w:vMerge w:val="continue"/>
            <w:shd w:val="clear" w:color="auto" w:fill="FFFFFF"/>
            <w:vAlign w:val="center"/>
          </w:tcPr>
          <w:p w14:paraId="677D81EB">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p>
        </w:tc>
        <w:tc>
          <w:tcPr>
            <w:tcW w:w="302" w:type="pct"/>
            <w:vMerge w:val="continue"/>
            <w:shd w:val="clear" w:color="auto" w:fill="FFFFFF"/>
            <w:vAlign w:val="center"/>
          </w:tcPr>
          <w:p w14:paraId="047DD88E">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p>
        </w:tc>
        <w:tc>
          <w:tcPr>
            <w:tcW w:w="344" w:type="pct"/>
            <w:shd w:val="clear" w:color="auto" w:fill="FFFFFF"/>
            <w:vAlign w:val="center"/>
          </w:tcPr>
          <w:p w14:paraId="5B03D133">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制度执行</w:t>
            </w:r>
          </w:p>
          <w:p w14:paraId="2DCFE404">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有效性</w:t>
            </w:r>
          </w:p>
        </w:tc>
        <w:tc>
          <w:tcPr>
            <w:tcW w:w="927" w:type="pct"/>
            <w:shd w:val="clear" w:color="000000" w:fill="FFFFFF"/>
            <w:vAlign w:val="center"/>
          </w:tcPr>
          <w:p w14:paraId="0BD8189A">
            <w:pPr>
              <w:pageBreakBefore w:val="0"/>
              <w:widowControl/>
              <w:kinsoku/>
              <w:wordWrap/>
              <w:overflowPunct/>
              <w:topLinePunct w:val="0"/>
              <w:autoSpaceDE/>
              <w:autoSpaceDN/>
              <w:bidi w:val="0"/>
              <w:snapToGrid w:val="0"/>
              <w:spacing w:line="560" w:lineRule="exact"/>
              <w:ind w:left="0" w:leftChars="0"/>
              <w:rPr>
                <w:color w:val="000000"/>
                <w:kern w:val="0"/>
                <w:sz w:val="22"/>
                <w:szCs w:val="22"/>
              </w:rPr>
            </w:pPr>
            <w:r>
              <w:rPr>
                <w:color w:val="000000"/>
                <w:kern w:val="0"/>
                <w:sz w:val="22"/>
                <w:szCs w:val="22"/>
              </w:rPr>
              <w:t>项目实施是否符合相关管理规定，用以反映和考核相关管理制度的有效执行情况。</w:t>
            </w:r>
          </w:p>
        </w:tc>
        <w:tc>
          <w:tcPr>
            <w:tcW w:w="2044" w:type="pct"/>
            <w:shd w:val="clear" w:color="000000" w:fill="FFFFFF"/>
            <w:vAlign w:val="center"/>
          </w:tcPr>
          <w:p w14:paraId="2CDF7570">
            <w:pPr>
              <w:pageBreakBefore w:val="0"/>
              <w:widowControl/>
              <w:kinsoku/>
              <w:wordWrap/>
              <w:overflowPunct/>
              <w:topLinePunct w:val="0"/>
              <w:autoSpaceDE/>
              <w:autoSpaceDN/>
              <w:bidi w:val="0"/>
              <w:snapToGrid w:val="0"/>
              <w:spacing w:line="560" w:lineRule="exact"/>
              <w:ind w:left="0" w:leftChars="0"/>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512" w:type="pct"/>
            <w:shd w:val="clear" w:color="000000" w:fill="FFFFFF"/>
            <w:vAlign w:val="center"/>
          </w:tcPr>
          <w:p w14:paraId="1C61CADA">
            <w:pPr>
              <w:pageBreakBefore w:val="0"/>
              <w:widowControl/>
              <w:kinsoku/>
              <w:wordWrap/>
              <w:overflowPunct/>
              <w:topLinePunct w:val="0"/>
              <w:autoSpaceDE/>
              <w:autoSpaceDN/>
              <w:bidi w:val="0"/>
              <w:snapToGrid w:val="0"/>
              <w:spacing w:line="560" w:lineRule="exact"/>
              <w:ind w:left="0" w:leftChars="0"/>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14:paraId="603A1B2B">
            <w:pPr>
              <w:pageBreakBefore w:val="0"/>
              <w:widowControl/>
              <w:kinsoku/>
              <w:wordWrap/>
              <w:overflowPunct/>
              <w:topLinePunct w:val="0"/>
              <w:autoSpaceDE/>
              <w:autoSpaceDN/>
              <w:bidi w:val="0"/>
              <w:snapToGrid w:val="0"/>
              <w:spacing w:line="560" w:lineRule="exact"/>
              <w:ind w:left="0" w:leftChars="0"/>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6285FE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31" w:type="pct"/>
            <w:shd w:val="clear" w:color="auto" w:fill="FFFFFF"/>
            <w:vAlign w:val="center"/>
          </w:tcPr>
          <w:p w14:paraId="24274452">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产出</w:t>
            </w:r>
          </w:p>
        </w:tc>
        <w:tc>
          <w:tcPr>
            <w:tcW w:w="302" w:type="pct"/>
            <w:shd w:val="clear" w:color="auto" w:fill="FFFFFF"/>
            <w:vAlign w:val="center"/>
          </w:tcPr>
          <w:p w14:paraId="7D997877">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产出数量</w:t>
            </w:r>
          </w:p>
        </w:tc>
        <w:tc>
          <w:tcPr>
            <w:tcW w:w="344" w:type="pct"/>
            <w:shd w:val="clear" w:color="auto" w:fill="FFFFFF"/>
            <w:vAlign w:val="center"/>
          </w:tcPr>
          <w:p w14:paraId="7C7D7DEE">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实际完成率</w:t>
            </w:r>
          </w:p>
        </w:tc>
        <w:tc>
          <w:tcPr>
            <w:tcW w:w="927" w:type="pct"/>
            <w:shd w:val="clear" w:color="000000" w:fill="FFFFFF"/>
            <w:vAlign w:val="center"/>
          </w:tcPr>
          <w:p w14:paraId="7E95623A">
            <w:pPr>
              <w:pageBreakBefore w:val="0"/>
              <w:widowControl/>
              <w:kinsoku/>
              <w:wordWrap/>
              <w:overflowPunct/>
              <w:topLinePunct w:val="0"/>
              <w:autoSpaceDE/>
              <w:autoSpaceDN/>
              <w:bidi w:val="0"/>
              <w:snapToGrid w:val="0"/>
              <w:spacing w:line="560" w:lineRule="exact"/>
              <w:ind w:left="0" w:leftChars="0"/>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2044" w:type="pct"/>
            <w:shd w:val="clear" w:color="000000" w:fill="FFFFFF"/>
            <w:vAlign w:val="center"/>
          </w:tcPr>
          <w:p w14:paraId="37F61E1A">
            <w:pPr>
              <w:pageBreakBefore w:val="0"/>
              <w:widowControl/>
              <w:kinsoku/>
              <w:wordWrap/>
              <w:overflowPunct/>
              <w:topLinePunct w:val="0"/>
              <w:autoSpaceDE/>
              <w:autoSpaceDN/>
              <w:bidi w:val="0"/>
              <w:snapToGrid w:val="0"/>
              <w:spacing w:line="560" w:lineRule="exact"/>
              <w:ind w:left="0" w:leftChars="0"/>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512" w:type="pct"/>
            <w:shd w:val="clear" w:color="000000" w:fill="FFFFFF"/>
            <w:vAlign w:val="center"/>
          </w:tcPr>
          <w:p w14:paraId="7BD840A9">
            <w:pPr>
              <w:pageBreakBefore w:val="0"/>
              <w:widowControl/>
              <w:kinsoku/>
              <w:wordWrap/>
              <w:overflowPunct/>
              <w:topLinePunct w:val="0"/>
              <w:autoSpaceDE/>
              <w:autoSpaceDN/>
              <w:bidi w:val="0"/>
              <w:snapToGrid w:val="0"/>
              <w:spacing w:line="560" w:lineRule="exact"/>
              <w:ind w:left="0" w:leftChars="0"/>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537" w:type="pct"/>
            <w:shd w:val="clear" w:color="000000" w:fill="FFFFFF"/>
            <w:vAlign w:val="center"/>
          </w:tcPr>
          <w:p w14:paraId="1952EA83">
            <w:pPr>
              <w:pageBreakBefore w:val="0"/>
              <w:widowControl/>
              <w:kinsoku/>
              <w:wordWrap/>
              <w:overflowPunct/>
              <w:topLinePunct w:val="0"/>
              <w:autoSpaceDE/>
              <w:autoSpaceDN/>
              <w:bidi w:val="0"/>
              <w:snapToGrid w:val="0"/>
              <w:spacing w:line="560" w:lineRule="exact"/>
              <w:ind w:left="0" w:leftChars="0"/>
              <w:jc w:val="center"/>
              <w:rPr>
                <w:rFonts w:hint="default" w:eastAsia="宋体"/>
                <w:b/>
                <w:bCs/>
                <w:color w:val="000000"/>
                <w:kern w:val="0"/>
                <w:sz w:val="22"/>
                <w:szCs w:val="22"/>
                <w:lang w:val="en-US" w:eastAsia="zh-CN"/>
              </w:rPr>
            </w:pPr>
            <w:r>
              <w:rPr>
                <w:rFonts w:hint="eastAsia"/>
                <w:b/>
                <w:bCs/>
                <w:color w:val="000000"/>
                <w:kern w:val="0"/>
                <w:sz w:val="22"/>
                <w:szCs w:val="22"/>
                <w:lang w:val="en-US" w:eastAsia="zh-CN"/>
              </w:rPr>
              <w:t>10</w:t>
            </w:r>
          </w:p>
        </w:tc>
      </w:tr>
      <w:tr w14:paraId="6A3CCE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72" w:hRule="atLeast"/>
          <w:jc w:val="center"/>
        </w:trPr>
        <w:tc>
          <w:tcPr>
            <w:tcW w:w="331" w:type="pct"/>
            <w:vMerge w:val="restart"/>
            <w:shd w:val="clear" w:color="auto" w:fill="FFFFFF"/>
            <w:vAlign w:val="center"/>
          </w:tcPr>
          <w:p w14:paraId="05CB8742">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产出</w:t>
            </w:r>
          </w:p>
        </w:tc>
        <w:tc>
          <w:tcPr>
            <w:tcW w:w="302" w:type="pct"/>
            <w:shd w:val="clear" w:color="auto" w:fill="FFFFFF"/>
            <w:vAlign w:val="center"/>
          </w:tcPr>
          <w:p w14:paraId="597756C6">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产出质量</w:t>
            </w:r>
          </w:p>
        </w:tc>
        <w:tc>
          <w:tcPr>
            <w:tcW w:w="344" w:type="pct"/>
            <w:shd w:val="clear" w:color="auto" w:fill="FFFFFF"/>
            <w:vAlign w:val="center"/>
          </w:tcPr>
          <w:p w14:paraId="1A0B3649">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质量达标率</w:t>
            </w:r>
          </w:p>
        </w:tc>
        <w:tc>
          <w:tcPr>
            <w:tcW w:w="927" w:type="pct"/>
            <w:shd w:val="clear" w:color="000000" w:fill="FFFFFF"/>
            <w:vAlign w:val="center"/>
          </w:tcPr>
          <w:p w14:paraId="5CA7639A">
            <w:pPr>
              <w:pageBreakBefore w:val="0"/>
              <w:widowControl/>
              <w:kinsoku/>
              <w:wordWrap/>
              <w:overflowPunct/>
              <w:topLinePunct w:val="0"/>
              <w:autoSpaceDE/>
              <w:autoSpaceDN/>
              <w:bidi w:val="0"/>
              <w:snapToGrid w:val="0"/>
              <w:spacing w:line="560" w:lineRule="exact"/>
              <w:ind w:left="0" w:leftChars="0"/>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2044" w:type="pct"/>
            <w:shd w:val="clear" w:color="000000" w:fill="FFFFFF"/>
            <w:vAlign w:val="center"/>
          </w:tcPr>
          <w:p w14:paraId="20EF39B4">
            <w:pPr>
              <w:pageBreakBefore w:val="0"/>
              <w:widowControl/>
              <w:kinsoku/>
              <w:wordWrap/>
              <w:overflowPunct/>
              <w:topLinePunct w:val="0"/>
              <w:autoSpaceDE/>
              <w:autoSpaceDN/>
              <w:bidi w:val="0"/>
              <w:snapToGrid w:val="0"/>
              <w:spacing w:line="560" w:lineRule="exact"/>
              <w:ind w:left="0" w:leftChars="0"/>
              <w:rPr>
                <w:color w:val="000000"/>
                <w:kern w:val="0"/>
                <w:sz w:val="22"/>
                <w:szCs w:val="22"/>
              </w:rPr>
            </w:pPr>
            <w:r>
              <w:rPr>
                <w:color w:val="000000"/>
                <w:kern w:val="0"/>
                <w:sz w:val="22"/>
                <w:szCs w:val="22"/>
              </w:rPr>
              <w:t>质量达标率=（质量达标产出数/实际产出数）×100%。</w:t>
            </w:r>
          </w:p>
          <w:p w14:paraId="09E4B320">
            <w:pPr>
              <w:pageBreakBefore w:val="0"/>
              <w:widowControl/>
              <w:kinsoku/>
              <w:wordWrap/>
              <w:overflowPunct/>
              <w:topLinePunct w:val="0"/>
              <w:autoSpaceDE/>
              <w:autoSpaceDN/>
              <w:bidi w:val="0"/>
              <w:snapToGrid w:val="0"/>
              <w:spacing w:line="560" w:lineRule="exact"/>
              <w:ind w:left="0" w:leftChars="0"/>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0A519C6D">
            <w:pPr>
              <w:pageBreakBefore w:val="0"/>
              <w:widowControl/>
              <w:kinsoku/>
              <w:wordWrap/>
              <w:overflowPunct/>
              <w:topLinePunct w:val="0"/>
              <w:autoSpaceDE/>
              <w:autoSpaceDN/>
              <w:bidi w:val="0"/>
              <w:snapToGrid w:val="0"/>
              <w:spacing w:line="560" w:lineRule="exact"/>
              <w:ind w:left="0" w:leftChars="0"/>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14:paraId="5CDBD101">
            <w:pPr>
              <w:pageBreakBefore w:val="0"/>
              <w:widowControl/>
              <w:kinsoku/>
              <w:wordWrap/>
              <w:overflowPunct/>
              <w:topLinePunct w:val="0"/>
              <w:autoSpaceDE/>
              <w:autoSpaceDN/>
              <w:bidi w:val="0"/>
              <w:snapToGrid w:val="0"/>
              <w:spacing w:line="560" w:lineRule="exact"/>
              <w:ind w:left="0" w:leftChars="0"/>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6787C7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31" w:type="pct"/>
            <w:vMerge w:val="continue"/>
            <w:shd w:val="clear" w:color="auto" w:fill="FFFFFF"/>
            <w:vAlign w:val="center"/>
          </w:tcPr>
          <w:p w14:paraId="2ECBAC55">
            <w:pPr>
              <w:pageBreakBefore w:val="0"/>
              <w:kinsoku/>
              <w:wordWrap/>
              <w:overflowPunct/>
              <w:topLinePunct w:val="0"/>
              <w:autoSpaceDE/>
              <w:autoSpaceDN/>
              <w:bidi w:val="0"/>
              <w:snapToGrid w:val="0"/>
              <w:spacing w:line="560" w:lineRule="exact"/>
              <w:ind w:left="0" w:leftChars="0"/>
              <w:jc w:val="center"/>
              <w:rPr>
                <w:color w:val="000000"/>
                <w:kern w:val="0"/>
                <w:sz w:val="22"/>
                <w:szCs w:val="22"/>
              </w:rPr>
            </w:pPr>
          </w:p>
        </w:tc>
        <w:tc>
          <w:tcPr>
            <w:tcW w:w="302" w:type="pct"/>
            <w:shd w:val="clear" w:color="auto" w:fill="FFFFFF"/>
            <w:vAlign w:val="center"/>
          </w:tcPr>
          <w:p w14:paraId="7F381085">
            <w:pPr>
              <w:pageBreakBefore w:val="0"/>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产出时效</w:t>
            </w:r>
          </w:p>
        </w:tc>
        <w:tc>
          <w:tcPr>
            <w:tcW w:w="344" w:type="pct"/>
            <w:shd w:val="clear" w:color="auto" w:fill="FFFFFF"/>
            <w:vAlign w:val="center"/>
          </w:tcPr>
          <w:p w14:paraId="1EC5783E">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完成及时性</w:t>
            </w:r>
          </w:p>
        </w:tc>
        <w:tc>
          <w:tcPr>
            <w:tcW w:w="927" w:type="pct"/>
            <w:shd w:val="clear" w:color="000000" w:fill="FFFFFF"/>
            <w:vAlign w:val="center"/>
          </w:tcPr>
          <w:p w14:paraId="737F7F65">
            <w:pPr>
              <w:pageBreakBefore w:val="0"/>
              <w:widowControl/>
              <w:kinsoku/>
              <w:wordWrap/>
              <w:overflowPunct/>
              <w:topLinePunct w:val="0"/>
              <w:autoSpaceDE/>
              <w:autoSpaceDN/>
              <w:bidi w:val="0"/>
              <w:snapToGrid w:val="0"/>
              <w:spacing w:line="560" w:lineRule="exact"/>
              <w:ind w:left="0" w:leftChars="0"/>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2044" w:type="pct"/>
            <w:shd w:val="clear" w:color="000000" w:fill="FFFFFF"/>
            <w:vAlign w:val="center"/>
          </w:tcPr>
          <w:p w14:paraId="6CA2D0C3">
            <w:pPr>
              <w:pageBreakBefore w:val="0"/>
              <w:widowControl/>
              <w:kinsoku/>
              <w:wordWrap/>
              <w:overflowPunct/>
              <w:topLinePunct w:val="0"/>
              <w:autoSpaceDE/>
              <w:autoSpaceDN/>
              <w:bidi w:val="0"/>
              <w:snapToGrid w:val="0"/>
              <w:spacing w:line="560" w:lineRule="exact"/>
              <w:ind w:left="0" w:leftChars="0"/>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512" w:type="pct"/>
            <w:shd w:val="clear" w:color="000000" w:fill="FFFFFF"/>
            <w:vAlign w:val="center"/>
          </w:tcPr>
          <w:p w14:paraId="15818A03">
            <w:pPr>
              <w:pageBreakBefore w:val="0"/>
              <w:widowControl/>
              <w:kinsoku/>
              <w:wordWrap/>
              <w:overflowPunct/>
              <w:topLinePunct w:val="0"/>
              <w:autoSpaceDE/>
              <w:autoSpaceDN/>
              <w:bidi w:val="0"/>
              <w:snapToGrid w:val="0"/>
              <w:spacing w:line="560" w:lineRule="exact"/>
              <w:ind w:left="0" w:leftChars="0"/>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537" w:type="pct"/>
            <w:shd w:val="clear" w:color="000000" w:fill="FFFFFF"/>
            <w:vAlign w:val="center"/>
          </w:tcPr>
          <w:p w14:paraId="3725F306">
            <w:pPr>
              <w:pageBreakBefore w:val="0"/>
              <w:widowControl/>
              <w:kinsoku/>
              <w:wordWrap/>
              <w:overflowPunct/>
              <w:topLinePunct w:val="0"/>
              <w:autoSpaceDE/>
              <w:autoSpaceDN/>
              <w:bidi w:val="0"/>
              <w:snapToGrid w:val="0"/>
              <w:spacing w:line="560" w:lineRule="exact"/>
              <w:ind w:left="0" w:leftChars="0"/>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4252E5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continue"/>
            <w:shd w:val="clear" w:color="auto" w:fill="FFFFFF"/>
            <w:vAlign w:val="center"/>
          </w:tcPr>
          <w:p w14:paraId="554CF609">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p>
        </w:tc>
        <w:tc>
          <w:tcPr>
            <w:tcW w:w="302" w:type="pct"/>
            <w:shd w:val="clear" w:color="auto" w:fill="FFFFFF"/>
            <w:vAlign w:val="center"/>
          </w:tcPr>
          <w:p w14:paraId="0F604612">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产出成本</w:t>
            </w:r>
          </w:p>
        </w:tc>
        <w:tc>
          <w:tcPr>
            <w:tcW w:w="344" w:type="pct"/>
            <w:shd w:val="clear" w:color="auto" w:fill="FFFFFF"/>
            <w:vAlign w:val="center"/>
          </w:tcPr>
          <w:p w14:paraId="74D39B58">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成本节约率</w:t>
            </w:r>
          </w:p>
        </w:tc>
        <w:tc>
          <w:tcPr>
            <w:tcW w:w="927" w:type="pct"/>
            <w:shd w:val="clear" w:color="000000" w:fill="FFFFFF"/>
            <w:vAlign w:val="center"/>
          </w:tcPr>
          <w:p w14:paraId="2EA6C57E">
            <w:pPr>
              <w:pageBreakBefore w:val="0"/>
              <w:widowControl/>
              <w:kinsoku/>
              <w:wordWrap/>
              <w:overflowPunct/>
              <w:topLinePunct w:val="0"/>
              <w:autoSpaceDE/>
              <w:autoSpaceDN/>
              <w:bidi w:val="0"/>
              <w:snapToGrid w:val="0"/>
              <w:spacing w:line="560" w:lineRule="exact"/>
              <w:ind w:left="0" w:leftChars="0"/>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2044" w:type="pct"/>
            <w:shd w:val="clear" w:color="000000" w:fill="FFFFFF"/>
            <w:vAlign w:val="center"/>
          </w:tcPr>
          <w:p w14:paraId="01439BCF">
            <w:pPr>
              <w:pageBreakBefore w:val="0"/>
              <w:widowControl/>
              <w:kinsoku/>
              <w:wordWrap/>
              <w:overflowPunct/>
              <w:topLinePunct w:val="0"/>
              <w:autoSpaceDE/>
              <w:autoSpaceDN/>
              <w:bidi w:val="0"/>
              <w:snapToGrid w:val="0"/>
              <w:spacing w:line="560" w:lineRule="exact"/>
              <w:ind w:left="0" w:leftChars="0"/>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512" w:type="pct"/>
            <w:shd w:val="clear" w:color="000000" w:fill="FFFFFF"/>
            <w:vAlign w:val="center"/>
          </w:tcPr>
          <w:p w14:paraId="45FA7303">
            <w:pPr>
              <w:pageBreakBefore w:val="0"/>
              <w:widowControl/>
              <w:kinsoku/>
              <w:wordWrap/>
              <w:overflowPunct/>
              <w:topLinePunct w:val="0"/>
              <w:autoSpaceDE/>
              <w:autoSpaceDN/>
              <w:bidi w:val="0"/>
              <w:snapToGrid w:val="0"/>
              <w:spacing w:line="560" w:lineRule="exact"/>
              <w:ind w:left="0" w:leftChars="0"/>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14:paraId="00B5FC98">
            <w:pPr>
              <w:pageBreakBefore w:val="0"/>
              <w:widowControl/>
              <w:kinsoku/>
              <w:wordWrap/>
              <w:overflowPunct/>
              <w:topLinePunct w:val="0"/>
              <w:autoSpaceDE/>
              <w:autoSpaceDN/>
              <w:bidi w:val="0"/>
              <w:snapToGrid w:val="0"/>
              <w:spacing w:line="560" w:lineRule="exact"/>
              <w:ind w:left="0" w:leftChars="0"/>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57FAEE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31" w:type="pct"/>
            <w:vMerge w:val="restart"/>
            <w:shd w:val="clear" w:color="auto" w:fill="FFFFFF"/>
            <w:vAlign w:val="center"/>
          </w:tcPr>
          <w:p w14:paraId="6BC3241B">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效益　</w:t>
            </w:r>
          </w:p>
        </w:tc>
        <w:tc>
          <w:tcPr>
            <w:tcW w:w="302" w:type="pct"/>
            <w:vMerge w:val="restart"/>
            <w:shd w:val="clear" w:color="auto" w:fill="FFFFFF"/>
            <w:vAlign w:val="center"/>
          </w:tcPr>
          <w:p w14:paraId="5E605887">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项目效益　</w:t>
            </w:r>
          </w:p>
        </w:tc>
        <w:tc>
          <w:tcPr>
            <w:tcW w:w="344" w:type="pct"/>
            <w:shd w:val="clear" w:color="auto" w:fill="FFFFFF"/>
            <w:vAlign w:val="center"/>
          </w:tcPr>
          <w:p w14:paraId="59A0479C">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实施效益</w:t>
            </w:r>
          </w:p>
        </w:tc>
        <w:tc>
          <w:tcPr>
            <w:tcW w:w="927" w:type="pct"/>
            <w:shd w:val="clear" w:color="auto" w:fill="FFFFFF"/>
            <w:vAlign w:val="center"/>
          </w:tcPr>
          <w:p w14:paraId="3FBF1030">
            <w:pPr>
              <w:pageBreakBefore w:val="0"/>
              <w:widowControl/>
              <w:kinsoku/>
              <w:wordWrap/>
              <w:overflowPunct/>
              <w:topLinePunct w:val="0"/>
              <w:autoSpaceDE/>
              <w:autoSpaceDN/>
              <w:bidi w:val="0"/>
              <w:snapToGrid w:val="0"/>
              <w:spacing w:line="560" w:lineRule="exact"/>
              <w:ind w:left="0" w:leftChars="0"/>
              <w:jc w:val="left"/>
              <w:rPr>
                <w:color w:val="000000"/>
                <w:kern w:val="0"/>
                <w:sz w:val="22"/>
                <w:szCs w:val="22"/>
              </w:rPr>
            </w:pPr>
            <w:r>
              <w:rPr>
                <w:color w:val="000000"/>
                <w:kern w:val="0"/>
                <w:sz w:val="22"/>
                <w:szCs w:val="22"/>
              </w:rPr>
              <w:t>项目实施所产生的效益。</w:t>
            </w:r>
          </w:p>
        </w:tc>
        <w:tc>
          <w:tcPr>
            <w:tcW w:w="2044" w:type="pct"/>
            <w:shd w:val="clear" w:color="auto" w:fill="FFFFFF"/>
            <w:vAlign w:val="center"/>
          </w:tcPr>
          <w:p w14:paraId="7AD2FC82">
            <w:pPr>
              <w:pageBreakBefore w:val="0"/>
              <w:widowControl/>
              <w:kinsoku/>
              <w:wordWrap/>
              <w:overflowPunct/>
              <w:topLinePunct w:val="0"/>
              <w:autoSpaceDE/>
              <w:autoSpaceDN/>
              <w:bidi w:val="0"/>
              <w:snapToGrid w:val="0"/>
              <w:spacing w:line="560" w:lineRule="exact"/>
              <w:ind w:left="0" w:leftChars="0"/>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12" w:type="pct"/>
            <w:shd w:val="clear" w:color="auto" w:fill="FFFFFF"/>
            <w:vAlign w:val="center"/>
          </w:tcPr>
          <w:p w14:paraId="556CA260">
            <w:pPr>
              <w:pageBreakBefore w:val="0"/>
              <w:widowControl/>
              <w:kinsoku/>
              <w:wordWrap/>
              <w:overflowPunct/>
              <w:topLinePunct w:val="0"/>
              <w:autoSpaceDE/>
              <w:autoSpaceDN/>
              <w:bidi w:val="0"/>
              <w:snapToGrid w:val="0"/>
              <w:spacing w:line="560" w:lineRule="exact"/>
              <w:ind w:left="0" w:leftChars="0"/>
              <w:jc w:val="center"/>
              <w:rPr>
                <w:b/>
                <w:bCs/>
                <w:color w:val="000000"/>
                <w:kern w:val="0"/>
                <w:sz w:val="22"/>
                <w:szCs w:val="22"/>
              </w:rPr>
            </w:pPr>
            <w:r>
              <w:rPr>
                <w:rFonts w:hint="eastAsia"/>
                <w:b/>
                <w:bCs/>
                <w:color w:val="000000"/>
                <w:kern w:val="0"/>
                <w:sz w:val="22"/>
                <w:szCs w:val="22"/>
              </w:rPr>
              <w:t>15</w:t>
            </w:r>
          </w:p>
        </w:tc>
        <w:tc>
          <w:tcPr>
            <w:tcW w:w="537" w:type="pct"/>
            <w:shd w:val="clear" w:color="auto" w:fill="FFFFFF"/>
            <w:vAlign w:val="center"/>
          </w:tcPr>
          <w:p w14:paraId="14DC3623">
            <w:pPr>
              <w:pageBreakBefore w:val="0"/>
              <w:widowControl/>
              <w:kinsoku/>
              <w:wordWrap/>
              <w:overflowPunct/>
              <w:topLinePunct w:val="0"/>
              <w:autoSpaceDE/>
              <w:autoSpaceDN/>
              <w:bidi w:val="0"/>
              <w:snapToGrid w:val="0"/>
              <w:spacing w:line="560" w:lineRule="exact"/>
              <w:ind w:left="0" w:leftChars="0"/>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15</w:t>
            </w:r>
          </w:p>
        </w:tc>
      </w:tr>
      <w:tr w14:paraId="13FE11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31" w:type="pct"/>
            <w:vMerge w:val="continue"/>
            <w:shd w:val="clear" w:color="auto" w:fill="FFFFFF"/>
            <w:vAlign w:val="center"/>
          </w:tcPr>
          <w:p w14:paraId="4AA0E42E">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p>
        </w:tc>
        <w:tc>
          <w:tcPr>
            <w:tcW w:w="302" w:type="pct"/>
            <w:vMerge w:val="continue"/>
            <w:shd w:val="clear" w:color="auto" w:fill="FFFFFF"/>
            <w:vAlign w:val="center"/>
          </w:tcPr>
          <w:p w14:paraId="5FF31317">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p>
        </w:tc>
        <w:tc>
          <w:tcPr>
            <w:tcW w:w="344" w:type="pct"/>
            <w:shd w:val="clear" w:color="auto" w:fill="FFFFFF"/>
            <w:vAlign w:val="center"/>
          </w:tcPr>
          <w:p w14:paraId="4E6A9529">
            <w:pPr>
              <w:pageBreakBefore w:val="0"/>
              <w:widowControl/>
              <w:kinsoku/>
              <w:wordWrap/>
              <w:overflowPunct/>
              <w:topLinePunct w:val="0"/>
              <w:autoSpaceDE/>
              <w:autoSpaceDN/>
              <w:bidi w:val="0"/>
              <w:snapToGrid w:val="0"/>
              <w:spacing w:line="560" w:lineRule="exact"/>
              <w:ind w:left="0" w:leftChars="0"/>
              <w:jc w:val="center"/>
              <w:rPr>
                <w:color w:val="000000"/>
                <w:kern w:val="0"/>
                <w:sz w:val="22"/>
                <w:szCs w:val="22"/>
              </w:rPr>
            </w:pPr>
            <w:r>
              <w:rPr>
                <w:color w:val="000000"/>
                <w:kern w:val="0"/>
                <w:sz w:val="22"/>
                <w:szCs w:val="22"/>
              </w:rPr>
              <w:t>满意度</w:t>
            </w:r>
          </w:p>
        </w:tc>
        <w:tc>
          <w:tcPr>
            <w:tcW w:w="927" w:type="pct"/>
            <w:shd w:val="clear" w:color="000000" w:fill="FFFFFF"/>
            <w:vAlign w:val="center"/>
          </w:tcPr>
          <w:p w14:paraId="2F483CEB">
            <w:pPr>
              <w:pageBreakBefore w:val="0"/>
              <w:widowControl/>
              <w:kinsoku/>
              <w:wordWrap/>
              <w:overflowPunct/>
              <w:topLinePunct w:val="0"/>
              <w:autoSpaceDE/>
              <w:autoSpaceDN/>
              <w:bidi w:val="0"/>
              <w:snapToGrid w:val="0"/>
              <w:spacing w:line="560" w:lineRule="exact"/>
              <w:ind w:left="0" w:leftChars="0"/>
              <w:rPr>
                <w:color w:val="000000"/>
                <w:kern w:val="0"/>
                <w:sz w:val="22"/>
                <w:szCs w:val="22"/>
              </w:rPr>
            </w:pPr>
            <w:r>
              <w:rPr>
                <w:color w:val="000000"/>
                <w:kern w:val="0"/>
                <w:sz w:val="22"/>
                <w:szCs w:val="22"/>
              </w:rPr>
              <w:t>社会公众或服务对象对项目实施效果的满意程度。</w:t>
            </w:r>
          </w:p>
        </w:tc>
        <w:tc>
          <w:tcPr>
            <w:tcW w:w="2044" w:type="pct"/>
            <w:shd w:val="clear" w:color="000000" w:fill="FFFFFF"/>
            <w:vAlign w:val="center"/>
          </w:tcPr>
          <w:p w14:paraId="225AADDB">
            <w:pPr>
              <w:pageBreakBefore w:val="0"/>
              <w:widowControl/>
              <w:kinsoku/>
              <w:wordWrap/>
              <w:overflowPunct/>
              <w:topLinePunct w:val="0"/>
              <w:autoSpaceDE/>
              <w:autoSpaceDN/>
              <w:bidi w:val="0"/>
              <w:snapToGrid w:val="0"/>
              <w:spacing w:line="560" w:lineRule="exact"/>
              <w:ind w:left="0" w:leftChars="0"/>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12" w:type="pct"/>
            <w:shd w:val="clear" w:color="000000" w:fill="FFFFFF"/>
            <w:vAlign w:val="center"/>
          </w:tcPr>
          <w:p w14:paraId="294CE1BA">
            <w:pPr>
              <w:pageBreakBefore w:val="0"/>
              <w:widowControl/>
              <w:kinsoku/>
              <w:wordWrap/>
              <w:overflowPunct/>
              <w:topLinePunct w:val="0"/>
              <w:autoSpaceDE/>
              <w:autoSpaceDN/>
              <w:bidi w:val="0"/>
              <w:snapToGrid w:val="0"/>
              <w:spacing w:line="560" w:lineRule="exact"/>
              <w:ind w:left="0" w:leftChars="0"/>
              <w:jc w:val="center"/>
              <w:rPr>
                <w:b/>
                <w:bCs/>
                <w:color w:val="000000"/>
                <w:kern w:val="0"/>
                <w:sz w:val="22"/>
                <w:szCs w:val="22"/>
              </w:rPr>
            </w:pPr>
            <w:r>
              <w:rPr>
                <w:rFonts w:hint="eastAsia"/>
                <w:b/>
                <w:bCs/>
                <w:color w:val="000000"/>
                <w:kern w:val="0"/>
                <w:sz w:val="22"/>
                <w:szCs w:val="22"/>
              </w:rPr>
              <w:t>5</w:t>
            </w:r>
          </w:p>
        </w:tc>
        <w:tc>
          <w:tcPr>
            <w:tcW w:w="537" w:type="pct"/>
            <w:shd w:val="clear" w:color="000000" w:fill="FFFFFF"/>
            <w:vAlign w:val="center"/>
          </w:tcPr>
          <w:p w14:paraId="7BE8A6E1">
            <w:pPr>
              <w:pageBreakBefore w:val="0"/>
              <w:widowControl/>
              <w:kinsoku/>
              <w:wordWrap/>
              <w:overflowPunct/>
              <w:topLinePunct w:val="0"/>
              <w:autoSpaceDE/>
              <w:autoSpaceDN/>
              <w:bidi w:val="0"/>
              <w:snapToGrid w:val="0"/>
              <w:spacing w:line="560" w:lineRule="exact"/>
              <w:ind w:left="0" w:leftChars="0"/>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5</w:t>
            </w:r>
          </w:p>
        </w:tc>
      </w:tr>
    </w:tbl>
    <w:p w14:paraId="1FD109DC">
      <w:pPr>
        <w:pStyle w:val="18"/>
        <w:pageBreakBefore w:val="0"/>
        <w:kinsoku/>
        <w:wordWrap/>
        <w:overflowPunct/>
        <w:topLinePunct w:val="0"/>
        <w:autoSpaceDE/>
        <w:autoSpaceDN/>
        <w:bidi w:val="0"/>
        <w:snapToGrid w:val="0"/>
        <w:spacing w:before="0" w:after="0" w:line="560" w:lineRule="exact"/>
        <w:ind w:left="0" w:leftChars="0"/>
        <w:rPr>
          <w:rFonts w:ascii="Times New Roman" w:hAnsi="Times New Roman"/>
        </w:rPr>
      </w:pPr>
    </w:p>
    <w:p w14:paraId="593DDE79">
      <w:pPr>
        <w:pageBreakBefore w:val="0"/>
        <w:kinsoku/>
        <w:wordWrap/>
        <w:overflowPunct/>
        <w:topLinePunct w:val="0"/>
        <w:autoSpaceDE/>
        <w:autoSpaceDN/>
        <w:bidi w:val="0"/>
        <w:snapToGrid w:val="0"/>
        <w:spacing w:line="560" w:lineRule="exact"/>
        <w:ind w:left="0" w:leftChars="0"/>
      </w:pPr>
    </w:p>
    <w:p w14:paraId="10D1031B">
      <w:pPr>
        <w:pageBreakBefore w:val="0"/>
        <w:kinsoku/>
        <w:wordWrap/>
        <w:overflowPunct/>
        <w:topLinePunct w:val="0"/>
        <w:autoSpaceDE/>
        <w:autoSpaceDN/>
        <w:bidi w:val="0"/>
        <w:snapToGrid w:val="0"/>
        <w:spacing w:line="560" w:lineRule="exact"/>
        <w:ind w:left="0" w:leftChars="0" w:firstLine="640"/>
        <w:rPr>
          <w:rStyle w:val="23"/>
          <w:rFonts w:eastAsia="黑体"/>
          <w:bCs w:val="0"/>
          <w:spacing w:val="-4"/>
          <w:sz w:val="32"/>
          <w:szCs w:val="32"/>
        </w:rPr>
      </w:pPr>
    </w:p>
    <w:p w14:paraId="3CF3A602">
      <w:pPr>
        <w:pageBreakBefore w:val="0"/>
        <w:kinsoku/>
        <w:wordWrap/>
        <w:overflowPunct/>
        <w:topLinePunct w:val="0"/>
        <w:autoSpaceDE/>
        <w:autoSpaceDN/>
        <w:bidi w:val="0"/>
        <w:snapToGrid w:val="0"/>
        <w:spacing w:line="560" w:lineRule="exact"/>
        <w:ind w:left="0" w:leftChars="0" w:firstLine="640"/>
        <w:rPr>
          <w:rStyle w:val="23"/>
          <w:rFonts w:eastAsia="黑体"/>
          <w:bCs w:val="0"/>
          <w:spacing w:val="-4"/>
          <w:sz w:val="32"/>
          <w:szCs w:val="32"/>
        </w:rPr>
      </w:pPr>
    </w:p>
    <w:p w14:paraId="335B8F25">
      <w:pPr>
        <w:pageBreakBefore w:val="0"/>
        <w:kinsoku/>
        <w:wordWrap/>
        <w:overflowPunct/>
        <w:topLinePunct w:val="0"/>
        <w:autoSpaceDE/>
        <w:autoSpaceDN/>
        <w:bidi w:val="0"/>
        <w:snapToGrid w:val="0"/>
        <w:spacing w:line="560" w:lineRule="exact"/>
        <w:ind w:left="0" w:leftChars="0" w:firstLine="640"/>
        <w:rPr>
          <w:rStyle w:val="23"/>
          <w:rFonts w:eastAsia="黑体"/>
          <w:bCs w:val="0"/>
          <w:spacing w:val="-4"/>
          <w:sz w:val="32"/>
          <w:szCs w:val="32"/>
        </w:rPr>
      </w:pPr>
    </w:p>
    <w:p w14:paraId="54C6E221">
      <w:pPr>
        <w:pageBreakBefore w:val="0"/>
        <w:kinsoku/>
        <w:wordWrap/>
        <w:overflowPunct/>
        <w:topLinePunct w:val="0"/>
        <w:autoSpaceDE/>
        <w:autoSpaceDN/>
        <w:bidi w:val="0"/>
        <w:snapToGrid w:val="0"/>
        <w:spacing w:line="560" w:lineRule="exact"/>
        <w:ind w:left="0" w:leftChars="0" w:firstLine="640"/>
        <w:rPr>
          <w:rStyle w:val="23"/>
          <w:rFonts w:eastAsia="黑体"/>
          <w:bCs w:val="0"/>
          <w:spacing w:val="-4"/>
          <w:sz w:val="32"/>
          <w:szCs w:val="32"/>
        </w:rPr>
      </w:pPr>
    </w:p>
    <w:p w14:paraId="1AC3BB94">
      <w:pPr>
        <w:pageBreakBefore w:val="0"/>
        <w:kinsoku/>
        <w:wordWrap/>
        <w:overflowPunct/>
        <w:topLinePunct w:val="0"/>
        <w:autoSpaceDE/>
        <w:autoSpaceDN/>
        <w:bidi w:val="0"/>
        <w:snapToGrid w:val="0"/>
        <w:spacing w:line="560" w:lineRule="exact"/>
        <w:ind w:left="0" w:leftChars="0" w:firstLine="640"/>
        <w:rPr>
          <w:rStyle w:val="23"/>
          <w:rFonts w:eastAsia="黑体"/>
          <w:bCs w:val="0"/>
          <w:spacing w:val="-4"/>
          <w:sz w:val="32"/>
          <w:szCs w:val="32"/>
        </w:rPr>
      </w:pPr>
    </w:p>
    <w:p w14:paraId="42175E9C">
      <w:pPr>
        <w:pageBreakBefore w:val="0"/>
        <w:kinsoku/>
        <w:wordWrap/>
        <w:overflowPunct/>
        <w:topLinePunct w:val="0"/>
        <w:autoSpaceDE/>
        <w:autoSpaceDN/>
        <w:bidi w:val="0"/>
        <w:snapToGrid w:val="0"/>
        <w:spacing w:line="560" w:lineRule="exact"/>
        <w:ind w:left="0" w:leftChars="0" w:firstLine="640"/>
        <w:rPr>
          <w:rStyle w:val="23"/>
          <w:rFonts w:eastAsia="黑体"/>
          <w:bCs w:val="0"/>
          <w:spacing w:val="-4"/>
          <w:sz w:val="32"/>
          <w:szCs w:val="32"/>
        </w:rPr>
      </w:pPr>
    </w:p>
    <w:p w14:paraId="215B2AB3">
      <w:pPr>
        <w:pageBreakBefore w:val="0"/>
        <w:kinsoku/>
        <w:wordWrap/>
        <w:overflowPunct/>
        <w:topLinePunct w:val="0"/>
        <w:autoSpaceDE/>
        <w:autoSpaceDN/>
        <w:bidi w:val="0"/>
        <w:snapToGrid w:val="0"/>
        <w:spacing w:line="560" w:lineRule="exact"/>
        <w:ind w:left="0" w:leftChars="0"/>
        <w:rPr>
          <w:rStyle w:val="23"/>
          <w:rFonts w:eastAsia="仿宋"/>
          <w:b w:val="0"/>
          <w:spacing w:val="-4"/>
          <w:sz w:val="32"/>
          <w:szCs w:val="32"/>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简体">
    <w:altName w:val="Arial Unicode MS"/>
    <w:panose1 w:val="02000000000000000000"/>
    <w:charset w:val="00"/>
    <w:family w:val="auto"/>
    <w:pitch w:val="default"/>
    <w:sig w:usb0="00000000" w:usb1="00000000" w:usb2="00000012" w:usb3="00000000" w:csb0="0004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25ACDD">
    <w:pPr>
      <w:pStyle w:val="15"/>
      <w:jc w:val="center"/>
    </w:pPr>
    <w:r>
      <w:fldChar w:fldCharType="begin"/>
    </w:r>
    <w:r>
      <w:instrText xml:space="preserve">PAGE   \* MERGEFORMAT</w:instrText>
    </w:r>
    <w:r>
      <w:fldChar w:fldCharType="separate"/>
    </w:r>
    <w:r>
      <w:rPr>
        <w:lang w:val="zh-CN"/>
      </w:rPr>
      <w:t>17</w:t>
    </w:r>
    <w:r>
      <w:fldChar w:fldCharType="end"/>
    </w:r>
  </w:p>
  <w:p w14:paraId="3F284973">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2"/>
      <w:numFmt w:val="decimal"/>
      <w:suff w:val="nothing"/>
      <w:lvlText w:val="%1、"/>
      <w:lvlJc w:val="left"/>
    </w:lvl>
  </w:abstractNum>
  <w:abstractNum w:abstractNumId="1">
    <w:nsid w:val="00000001"/>
    <w:multiLevelType w:val="singleLevel"/>
    <w:tmpl w:val="00000001"/>
    <w:lvl w:ilvl="0" w:tentative="0">
      <w:start w:val="2"/>
      <w:numFmt w:val="chineseCounting"/>
      <w:suff w:val="nothing"/>
      <w:lvlText w:val="（%1）"/>
      <w:lvlJc w:val="left"/>
      <w:rPr>
        <w:rFonts w:hint="eastAsia"/>
      </w:rPr>
    </w:lvl>
  </w:abstractNum>
  <w:abstractNum w:abstractNumId="2">
    <w:nsid w:val="00000002"/>
    <w:multiLevelType w:val="singleLevel"/>
    <w:tmpl w:val="00000002"/>
    <w:lvl w:ilvl="0" w:tentative="0">
      <w:start w:val="2"/>
      <w:numFmt w:val="chineseCounting"/>
      <w:suff w:val="nothing"/>
      <w:lvlText w:val="（%1）"/>
      <w:lvlJc w:val="left"/>
      <w:rPr>
        <w:rFonts w:hint="eastAsia"/>
      </w:rPr>
    </w:lvl>
  </w:abstractNum>
  <w:abstractNum w:abstractNumId="3">
    <w:nsid w:val="00000003"/>
    <w:multiLevelType w:val="singleLevel"/>
    <w:tmpl w:val="00000003"/>
    <w:lvl w:ilvl="0" w:tentative="0">
      <w:start w:val="3"/>
      <w:numFmt w:val="chineseCounting"/>
      <w:suff w:val="nothing"/>
      <w:lvlText w:val="%1、"/>
      <w:lvlJc w:val="left"/>
      <w:rPr>
        <w:rFonts w:hint="eastAsia"/>
      </w:rPr>
    </w:lvl>
  </w:abstractNum>
  <w:abstractNum w:abstractNumId="4">
    <w:nsid w:val="00000004"/>
    <w:multiLevelType w:val="singleLevel"/>
    <w:tmpl w:val="00000004"/>
    <w:lvl w:ilvl="0" w:tentative="0">
      <w:start w:val="3"/>
      <w:numFmt w:val="chineseCounting"/>
      <w:suff w:val="nothing"/>
      <w:lvlText w:val="（%1）"/>
      <w:lvlJc w:val="left"/>
      <w:rPr>
        <w:rFonts w:hint="eastAsia"/>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g4ZTk4ZThiOTlhYTkyOGVkOWQ5NDlhNjIwNjNhNzEifQ=="/>
  </w:docVars>
  <w:rsids>
    <w:rsidRoot w:val="00000000"/>
    <w:rsid w:val="22E93A8A"/>
    <w:rsid w:val="2BB045A9"/>
    <w:rsid w:val="3FE65B14"/>
    <w:rsid w:val="71EA0570"/>
    <w:rsid w:val="7AFDF026"/>
    <w:rsid w:val="FB3DDEEB"/>
    <w:rsid w:val="FCF74D3A"/>
    <w:rsid w:val="FECE6063"/>
    <w:rsid w:val="FFFB3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5"/>
    <w:qFormat/>
    <w:uiPriority w:val="9"/>
    <w:pPr>
      <w:keepNext/>
      <w:widowControl/>
      <w:spacing w:before="240" w:after="60"/>
      <w:jc w:val="left"/>
      <w:outlineLvl w:val="0"/>
    </w:pPr>
    <w:rPr>
      <w:rFonts w:ascii="Cambria" w:hAnsi="Cambria" w:eastAsia="宋体"/>
      <w:b/>
      <w:bCs/>
      <w:kern w:val="32"/>
      <w:sz w:val="32"/>
      <w:szCs w:val="32"/>
    </w:rPr>
  </w:style>
  <w:style w:type="paragraph" w:styleId="4">
    <w:name w:val="heading 2"/>
    <w:basedOn w:val="1"/>
    <w:next w:val="1"/>
    <w:link w:val="26"/>
    <w:qFormat/>
    <w:uiPriority w:val="9"/>
    <w:pPr>
      <w:keepNext/>
      <w:widowControl/>
      <w:spacing w:before="240" w:after="60"/>
      <w:jc w:val="left"/>
      <w:outlineLvl w:val="1"/>
    </w:pPr>
    <w:rPr>
      <w:rFonts w:ascii="Cambria" w:hAnsi="Cambria" w:eastAsia="宋体"/>
      <w:b/>
      <w:bCs/>
      <w:i/>
      <w:iCs/>
      <w:kern w:val="0"/>
      <w:sz w:val="28"/>
      <w:szCs w:val="28"/>
    </w:rPr>
  </w:style>
  <w:style w:type="paragraph" w:styleId="5">
    <w:name w:val="heading 3"/>
    <w:basedOn w:val="1"/>
    <w:next w:val="1"/>
    <w:link w:val="27"/>
    <w:qFormat/>
    <w:uiPriority w:val="9"/>
    <w:pPr>
      <w:keepNext/>
      <w:widowControl/>
      <w:spacing w:before="240" w:after="60"/>
      <w:jc w:val="left"/>
      <w:outlineLvl w:val="2"/>
    </w:pPr>
    <w:rPr>
      <w:rFonts w:ascii="Cambria" w:hAnsi="Cambria" w:eastAsia="宋体"/>
      <w:b/>
      <w:bCs/>
      <w:kern w:val="0"/>
      <w:sz w:val="26"/>
      <w:szCs w:val="26"/>
    </w:rPr>
  </w:style>
  <w:style w:type="paragraph" w:styleId="6">
    <w:name w:val="heading 4"/>
    <w:basedOn w:val="1"/>
    <w:next w:val="1"/>
    <w:link w:val="28"/>
    <w:qFormat/>
    <w:uiPriority w:val="9"/>
    <w:pPr>
      <w:keepNext/>
      <w:widowControl/>
      <w:spacing w:before="240" w:after="60"/>
      <w:jc w:val="left"/>
      <w:outlineLvl w:val="3"/>
    </w:pPr>
    <w:rPr>
      <w:rFonts w:ascii="Calibri" w:hAnsi="Calibri" w:eastAsia="宋体"/>
      <w:b/>
      <w:bCs/>
      <w:kern w:val="0"/>
      <w:sz w:val="28"/>
      <w:szCs w:val="28"/>
    </w:rPr>
  </w:style>
  <w:style w:type="paragraph" w:styleId="7">
    <w:name w:val="heading 5"/>
    <w:basedOn w:val="1"/>
    <w:next w:val="1"/>
    <w:link w:val="29"/>
    <w:qFormat/>
    <w:uiPriority w:val="9"/>
    <w:pPr>
      <w:widowControl/>
      <w:spacing w:before="240" w:after="60"/>
      <w:jc w:val="left"/>
      <w:outlineLvl w:val="4"/>
    </w:pPr>
    <w:rPr>
      <w:rFonts w:ascii="Calibri" w:hAnsi="Calibri" w:eastAsia="宋体"/>
      <w:b/>
      <w:bCs/>
      <w:i/>
      <w:iCs/>
      <w:kern w:val="0"/>
      <w:sz w:val="26"/>
      <w:szCs w:val="26"/>
    </w:rPr>
  </w:style>
  <w:style w:type="paragraph" w:styleId="8">
    <w:name w:val="heading 6"/>
    <w:basedOn w:val="1"/>
    <w:next w:val="1"/>
    <w:link w:val="30"/>
    <w:qFormat/>
    <w:uiPriority w:val="9"/>
    <w:pPr>
      <w:widowControl/>
      <w:spacing w:before="240" w:after="60"/>
      <w:jc w:val="left"/>
      <w:outlineLvl w:val="5"/>
    </w:pPr>
    <w:rPr>
      <w:rFonts w:ascii="Calibri" w:hAnsi="Calibri" w:eastAsia="宋体"/>
      <w:b/>
      <w:bCs/>
      <w:kern w:val="0"/>
      <w:sz w:val="22"/>
      <w:szCs w:val="22"/>
    </w:rPr>
  </w:style>
  <w:style w:type="paragraph" w:styleId="9">
    <w:name w:val="heading 7"/>
    <w:basedOn w:val="1"/>
    <w:next w:val="1"/>
    <w:link w:val="31"/>
    <w:qFormat/>
    <w:uiPriority w:val="9"/>
    <w:pPr>
      <w:widowControl/>
      <w:spacing w:before="240" w:after="60"/>
      <w:jc w:val="left"/>
      <w:outlineLvl w:val="6"/>
    </w:pPr>
    <w:rPr>
      <w:rFonts w:ascii="Calibri" w:hAnsi="Calibri" w:eastAsia="宋体"/>
      <w:kern w:val="0"/>
      <w:sz w:val="24"/>
    </w:rPr>
  </w:style>
  <w:style w:type="paragraph" w:styleId="10">
    <w:name w:val="heading 8"/>
    <w:basedOn w:val="1"/>
    <w:next w:val="1"/>
    <w:link w:val="32"/>
    <w:qFormat/>
    <w:uiPriority w:val="9"/>
    <w:pPr>
      <w:widowControl/>
      <w:spacing w:before="240" w:after="60"/>
      <w:jc w:val="left"/>
      <w:outlineLvl w:val="7"/>
    </w:pPr>
    <w:rPr>
      <w:rFonts w:ascii="Calibri" w:hAnsi="Calibri" w:eastAsia="宋体"/>
      <w:i/>
      <w:iCs/>
      <w:kern w:val="0"/>
      <w:sz w:val="24"/>
    </w:rPr>
  </w:style>
  <w:style w:type="paragraph" w:styleId="11">
    <w:name w:val="heading 9"/>
    <w:basedOn w:val="1"/>
    <w:next w:val="1"/>
    <w:link w:val="33"/>
    <w:qFormat/>
    <w:uiPriority w:val="9"/>
    <w:pPr>
      <w:widowControl/>
      <w:spacing w:before="240" w:after="60"/>
      <w:jc w:val="left"/>
      <w:outlineLvl w:val="8"/>
    </w:pPr>
    <w:rPr>
      <w:rFonts w:ascii="Cambria" w:hAnsi="Cambria" w:eastAsia="宋体"/>
      <w:kern w:val="0"/>
      <w:sz w:val="22"/>
      <w:szCs w:val="22"/>
    </w:rPr>
  </w:style>
  <w:style w:type="character" w:default="1" w:styleId="22">
    <w:name w:val="Default Paragraph Font"/>
    <w:qFormat/>
    <w:uiPriority w:val="1"/>
  </w:style>
  <w:style w:type="table" w:default="1" w:styleId="21">
    <w:name w:val="Normal Table"/>
    <w:qFormat/>
    <w:uiPriority w:val="99"/>
    <w:tblPr>
      <w:tblCellMar>
        <w:top w:w="0" w:type="dxa"/>
        <w:left w:w="108" w:type="dxa"/>
        <w:bottom w:w="0" w:type="dxa"/>
        <w:right w:w="108" w:type="dxa"/>
      </w:tblCellMar>
    </w:tblPr>
  </w:style>
  <w:style w:type="paragraph" w:styleId="2">
    <w:name w:val="List"/>
    <w:basedOn w:val="1"/>
    <w:qFormat/>
    <w:uiPriority w:val="0"/>
    <w:pPr>
      <w:ind w:left="200" w:hanging="200" w:hangingChars="200"/>
    </w:pPr>
  </w:style>
  <w:style w:type="paragraph" w:styleId="12">
    <w:name w:val="Body Text"/>
    <w:basedOn w:val="1"/>
    <w:qFormat/>
    <w:uiPriority w:val="0"/>
    <w:pPr>
      <w:spacing w:after="120"/>
    </w:pPr>
  </w:style>
  <w:style w:type="paragraph" w:styleId="13">
    <w:name w:val="Body Text Indent"/>
    <w:basedOn w:val="1"/>
    <w:qFormat/>
    <w:uiPriority w:val="0"/>
    <w:pPr>
      <w:spacing w:after="120"/>
      <w:ind w:left="420" w:leftChars="200"/>
    </w:pPr>
    <w:rPr>
      <w:rFonts w:ascii="Calibri" w:hAnsi="Calibri"/>
    </w:rPr>
  </w:style>
  <w:style w:type="paragraph" w:styleId="14">
    <w:name w:val="Balloon Text"/>
    <w:basedOn w:val="1"/>
    <w:link w:val="50"/>
    <w:qFormat/>
    <w:uiPriority w:val="99"/>
    <w:rPr>
      <w:sz w:val="18"/>
      <w:szCs w:val="18"/>
    </w:rPr>
  </w:style>
  <w:style w:type="paragraph" w:styleId="15">
    <w:name w:val="footer"/>
    <w:basedOn w:val="1"/>
    <w:link w:val="49"/>
    <w:qFormat/>
    <w:uiPriority w:val="99"/>
    <w:pPr>
      <w:tabs>
        <w:tab w:val="center" w:pos="4153"/>
        <w:tab w:val="right" w:pos="8306"/>
      </w:tabs>
      <w:snapToGrid w:val="0"/>
      <w:jc w:val="left"/>
    </w:pPr>
    <w:rPr>
      <w:rFonts w:ascii="Calibri" w:hAnsi="Calibri"/>
      <w:sz w:val="18"/>
      <w:szCs w:val="18"/>
    </w:rPr>
  </w:style>
  <w:style w:type="paragraph" w:styleId="16">
    <w:name w:val="header"/>
    <w:basedOn w:val="1"/>
    <w:link w:val="48"/>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7">
    <w:name w:val="Subtitle"/>
    <w:basedOn w:val="1"/>
    <w:next w:val="1"/>
    <w:link w:val="35"/>
    <w:qFormat/>
    <w:uiPriority w:val="11"/>
    <w:pPr>
      <w:widowControl/>
      <w:spacing w:after="60"/>
      <w:jc w:val="center"/>
      <w:outlineLvl w:val="1"/>
    </w:pPr>
    <w:rPr>
      <w:rFonts w:ascii="Cambria" w:hAnsi="Cambria" w:eastAsia="宋体"/>
      <w:kern w:val="0"/>
      <w:sz w:val="24"/>
    </w:rPr>
  </w:style>
  <w:style w:type="paragraph" w:styleId="18">
    <w:name w:val="Title"/>
    <w:basedOn w:val="1"/>
    <w:next w:val="1"/>
    <w:link w:val="34"/>
    <w:qFormat/>
    <w:uiPriority w:val="10"/>
    <w:pPr>
      <w:widowControl/>
      <w:spacing w:before="240" w:after="60"/>
      <w:jc w:val="center"/>
      <w:outlineLvl w:val="0"/>
    </w:pPr>
    <w:rPr>
      <w:rFonts w:ascii="Cambria" w:hAnsi="Cambria" w:eastAsia="宋体"/>
      <w:b/>
      <w:bCs/>
      <w:kern w:val="28"/>
      <w:sz w:val="32"/>
      <w:szCs w:val="32"/>
    </w:rPr>
  </w:style>
  <w:style w:type="paragraph" w:styleId="19">
    <w:name w:val="Body Text First Indent"/>
    <w:basedOn w:val="12"/>
    <w:qFormat/>
    <w:uiPriority w:val="0"/>
    <w:pPr>
      <w:spacing w:after="0"/>
      <w:ind w:firstLine="200" w:firstLineChars="200"/>
    </w:pPr>
  </w:style>
  <w:style w:type="paragraph" w:styleId="20">
    <w:name w:val="Body Text First Indent 2"/>
    <w:basedOn w:val="13"/>
    <w:qFormat/>
    <w:uiPriority w:val="0"/>
    <w:pPr>
      <w:ind w:firstLine="420" w:firstLineChars="200"/>
    </w:pPr>
  </w:style>
  <w:style w:type="character" w:styleId="23">
    <w:name w:val="Strong"/>
    <w:basedOn w:val="22"/>
    <w:qFormat/>
    <w:uiPriority w:val="0"/>
    <w:rPr>
      <w:b/>
      <w:bCs/>
    </w:rPr>
  </w:style>
  <w:style w:type="character" w:styleId="24">
    <w:name w:val="Emphasis"/>
    <w:basedOn w:val="22"/>
    <w:qFormat/>
    <w:uiPriority w:val="20"/>
    <w:rPr>
      <w:rFonts w:ascii="Calibri" w:hAnsi="Calibri"/>
      <w:b/>
      <w:i/>
      <w:iCs/>
    </w:rPr>
  </w:style>
  <w:style w:type="character" w:customStyle="1" w:styleId="25">
    <w:name w:val="标题 1 字符"/>
    <w:basedOn w:val="22"/>
    <w:link w:val="3"/>
    <w:qFormat/>
    <w:uiPriority w:val="9"/>
    <w:rPr>
      <w:rFonts w:ascii="Cambria" w:hAnsi="Cambria" w:eastAsia="宋体"/>
      <w:b/>
      <w:bCs/>
      <w:kern w:val="32"/>
      <w:sz w:val="32"/>
      <w:szCs w:val="32"/>
    </w:rPr>
  </w:style>
  <w:style w:type="character" w:customStyle="1" w:styleId="26">
    <w:name w:val="标题 2 字符"/>
    <w:basedOn w:val="22"/>
    <w:link w:val="4"/>
    <w:qFormat/>
    <w:uiPriority w:val="9"/>
    <w:rPr>
      <w:rFonts w:ascii="Cambria" w:hAnsi="Cambria" w:eastAsia="宋体"/>
      <w:b/>
      <w:bCs/>
      <w:i/>
      <w:iCs/>
      <w:sz w:val="28"/>
      <w:szCs w:val="28"/>
    </w:rPr>
  </w:style>
  <w:style w:type="character" w:customStyle="1" w:styleId="27">
    <w:name w:val="标题 3 字符"/>
    <w:basedOn w:val="22"/>
    <w:link w:val="5"/>
    <w:qFormat/>
    <w:uiPriority w:val="9"/>
    <w:rPr>
      <w:rFonts w:ascii="Cambria" w:hAnsi="Cambria" w:eastAsia="宋体"/>
      <w:b/>
      <w:bCs/>
      <w:sz w:val="26"/>
      <w:szCs w:val="26"/>
    </w:rPr>
  </w:style>
  <w:style w:type="character" w:customStyle="1" w:styleId="28">
    <w:name w:val="标题 4 字符"/>
    <w:basedOn w:val="22"/>
    <w:link w:val="6"/>
    <w:qFormat/>
    <w:uiPriority w:val="9"/>
    <w:rPr>
      <w:b/>
      <w:bCs/>
      <w:sz w:val="28"/>
      <w:szCs w:val="28"/>
    </w:rPr>
  </w:style>
  <w:style w:type="character" w:customStyle="1" w:styleId="29">
    <w:name w:val="标题 5 字符"/>
    <w:basedOn w:val="22"/>
    <w:link w:val="7"/>
    <w:qFormat/>
    <w:uiPriority w:val="9"/>
    <w:rPr>
      <w:b/>
      <w:bCs/>
      <w:i/>
      <w:iCs/>
      <w:sz w:val="26"/>
      <w:szCs w:val="26"/>
    </w:rPr>
  </w:style>
  <w:style w:type="character" w:customStyle="1" w:styleId="30">
    <w:name w:val="标题 6 字符"/>
    <w:basedOn w:val="22"/>
    <w:link w:val="8"/>
    <w:qFormat/>
    <w:uiPriority w:val="9"/>
    <w:rPr>
      <w:b/>
      <w:bCs/>
    </w:rPr>
  </w:style>
  <w:style w:type="character" w:customStyle="1" w:styleId="31">
    <w:name w:val="标题 7 字符"/>
    <w:basedOn w:val="22"/>
    <w:link w:val="9"/>
    <w:qFormat/>
    <w:uiPriority w:val="9"/>
    <w:rPr>
      <w:sz w:val="24"/>
      <w:szCs w:val="24"/>
    </w:rPr>
  </w:style>
  <w:style w:type="character" w:customStyle="1" w:styleId="32">
    <w:name w:val="标题 8 字符"/>
    <w:basedOn w:val="22"/>
    <w:link w:val="10"/>
    <w:qFormat/>
    <w:uiPriority w:val="9"/>
    <w:rPr>
      <w:i/>
      <w:iCs/>
      <w:sz w:val="24"/>
      <w:szCs w:val="24"/>
    </w:rPr>
  </w:style>
  <w:style w:type="character" w:customStyle="1" w:styleId="33">
    <w:name w:val="标题 9 字符"/>
    <w:basedOn w:val="22"/>
    <w:link w:val="11"/>
    <w:qFormat/>
    <w:uiPriority w:val="9"/>
    <w:rPr>
      <w:rFonts w:ascii="Cambria" w:hAnsi="Cambria" w:eastAsia="宋体"/>
    </w:rPr>
  </w:style>
  <w:style w:type="character" w:customStyle="1" w:styleId="34">
    <w:name w:val="标题 字符"/>
    <w:basedOn w:val="22"/>
    <w:link w:val="18"/>
    <w:qFormat/>
    <w:uiPriority w:val="10"/>
    <w:rPr>
      <w:rFonts w:ascii="Cambria" w:hAnsi="Cambria" w:eastAsia="宋体"/>
      <w:b/>
      <w:bCs/>
      <w:kern w:val="28"/>
      <w:sz w:val="32"/>
      <w:szCs w:val="32"/>
    </w:rPr>
  </w:style>
  <w:style w:type="character" w:customStyle="1" w:styleId="35">
    <w:name w:val="副标题 字符"/>
    <w:basedOn w:val="22"/>
    <w:link w:val="17"/>
    <w:qFormat/>
    <w:uiPriority w:val="11"/>
    <w:rPr>
      <w:rFonts w:ascii="Cambria" w:hAnsi="Cambria" w:eastAsia="宋体"/>
      <w:sz w:val="24"/>
      <w:szCs w:val="24"/>
    </w:rPr>
  </w:style>
  <w:style w:type="paragraph" w:styleId="36">
    <w:name w:val="No Spacing"/>
    <w:basedOn w:val="1"/>
    <w:qFormat/>
    <w:uiPriority w:val="1"/>
    <w:pPr>
      <w:widowControl/>
      <w:jc w:val="left"/>
    </w:pPr>
    <w:rPr>
      <w:rFonts w:ascii="Calibri" w:hAnsi="Calibri" w:eastAsia="宋体"/>
      <w:kern w:val="0"/>
      <w:sz w:val="24"/>
      <w:szCs w:val="32"/>
      <w:lang w:eastAsia="en-US" w:bidi="en-US"/>
    </w:rPr>
  </w:style>
  <w:style w:type="paragraph" w:styleId="37">
    <w:name w:val="List Paragraph"/>
    <w:basedOn w:val="1"/>
    <w:qFormat/>
    <w:uiPriority w:val="34"/>
    <w:pPr>
      <w:widowControl/>
      <w:ind w:left="720"/>
      <w:contextualSpacing/>
      <w:jc w:val="left"/>
    </w:pPr>
    <w:rPr>
      <w:rFonts w:ascii="Calibri" w:hAnsi="Calibri" w:eastAsia="宋体"/>
      <w:kern w:val="0"/>
      <w:sz w:val="24"/>
      <w:lang w:eastAsia="en-US" w:bidi="en-US"/>
    </w:rPr>
  </w:style>
  <w:style w:type="paragraph" w:styleId="38">
    <w:name w:val="Quote"/>
    <w:basedOn w:val="1"/>
    <w:next w:val="1"/>
    <w:link w:val="39"/>
    <w:qFormat/>
    <w:uiPriority w:val="29"/>
    <w:pPr>
      <w:widowControl/>
      <w:jc w:val="left"/>
    </w:pPr>
    <w:rPr>
      <w:rFonts w:ascii="Calibri" w:hAnsi="Calibri" w:eastAsia="宋体"/>
      <w:i/>
      <w:kern w:val="0"/>
      <w:sz w:val="24"/>
    </w:rPr>
  </w:style>
  <w:style w:type="character" w:customStyle="1" w:styleId="39">
    <w:name w:val="引用 字符"/>
    <w:basedOn w:val="22"/>
    <w:link w:val="38"/>
    <w:qFormat/>
    <w:uiPriority w:val="29"/>
    <w:rPr>
      <w:i/>
      <w:sz w:val="24"/>
      <w:szCs w:val="24"/>
    </w:rPr>
  </w:style>
  <w:style w:type="paragraph" w:styleId="40">
    <w:name w:val="Intense Quote"/>
    <w:basedOn w:val="1"/>
    <w:next w:val="1"/>
    <w:link w:val="41"/>
    <w:qFormat/>
    <w:uiPriority w:val="30"/>
    <w:pPr>
      <w:widowControl/>
      <w:ind w:left="720" w:right="720"/>
      <w:jc w:val="left"/>
    </w:pPr>
    <w:rPr>
      <w:rFonts w:ascii="Calibri" w:hAnsi="Calibri" w:eastAsia="宋体"/>
      <w:b/>
      <w:i/>
      <w:kern w:val="0"/>
      <w:sz w:val="24"/>
      <w:szCs w:val="22"/>
    </w:rPr>
  </w:style>
  <w:style w:type="character" w:customStyle="1" w:styleId="41">
    <w:name w:val="明显引用 字符"/>
    <w:basedOn w:val="22"/>
    <w:link w:val="40"/>
    <w:qFormat/>
    <w:uiPriority w:val="30"/>
    <w:rPr>
      <w:b/>
      <w:i/>
      <w:sz w:val="24"/>
    </w:rPr>
  </w:style>
  <w:style w:type="character" w:customStyle="1" w:styleId="42">
    <w:name w:val="不明显强调1"/>
    <w:qFormat/>
    <w:uiPriority w:val="19"/>
    <w:rPr>
      <w:i/>
      <w:color w:val="595959"/>
    </w:rPr>
  </w:style>
  <w:style w:type="character" w:customStyle="1" w:styleId="43">
    <w:name w:val="明显强调1"/>
    <w:basedOn w:val="22"/>
    <w:qFormat/>
    <w:uiPriority w:val="21"/>
    <w:rPr>
      <w:b/>
      <w:i/>
      <w:sz w:val="24"/>
      <w:szCs w:val="24"/>
      <w:u w:val="single"/>
    </w:rPr>
  </w:style>
  <w:style w:type="character" w:customStyle="1" w:styleId="44">
    <w:name w:val="不明显参考1"/>
    <w:basedOn w:val="22"/>
    <w:qFormat/>
    <w:uiPriority w:val="31"/>
    <w:rPr>
      <w:sz w:val="24"/>
      <w:szCs w:val="24"/>
      <w:u w:val="single"/>
    </w:rPr>
  </w:style>
  <w:style w:type="character" w:customStyle="1" w:styleId="45">
    <w:name w:val="明显参考1"/>
    <w:basedOn w:val="22"/>
    <w:qFormat/>
    <w:uiPriority w:val="32"/>
    <w:rPr>
      <w:b/>
      <w:sz w:val="24"/>
      <w:u w:val="single"/>
    </w:rPr>
  </w:style>
  <w:style w:type="character" w:customStyle="1" w:styleId="46">
    <w:name w:val="书籍标题1"/>
    <w:basedOn w:val="22"/>
    <w:qFormat/>
    <w:uiPriority w:val="33"/>
    <w:rPr>
      <w:rFonts w:ascii="Cambria" w:hAnsi="Cambria" w:eastAsia="宋体"/>
      <w:b/>
      <w:i/>
      <w:sz w:val="24"/>
      <w:szCs w:val="24"/>
    </w:rPr>
  </w:style>
  <w:style w:type="paragraph" w:customStyle="1" w:styleId="47">
    <w:name w:val="TOC 标题1"/>
    <w:basedOn w:val="3"/>
    <w:next w:val="1"/>
    <w:qFormat/>
    <w:uiPriority w:val="39"/>
    <w:pPr>
      <w:outlineLvl w:val="9"/>
    </w:pPr>
    <w:rPr>
      <w:lang w:eastAsia="en-US" w:bidi="en-US"/>
    </w:rPr>
  </w:style>
  <w:style w:type="character" w:customStyle="1" w:styleId="48">
    <w:name w:val="页眉 字符"/>
    <w:basedOn w:val="22"/>
    <w:link w:val="16"/>
    <w:qFormat/>
    <w:uiPriority w:val="99"/>
    <w:rPr>
      <w:rFonts w:ascii="Calibri" w:hAnsi="Calibri" w:eastAsia="宋体"/>
      <w:kern w:val="2"/>
      <w:sz w:val="18"/>
      <w:szCs w:val="18"/>
    </w:rPr>
  </w:style>
  <w:style w:type="character" w:customStyle="1" w:styleId="49">
    <w:name w:val="页脚 字符"/>
    <w:basedOn w:val="22"/>
    <w:link w:val="15"/>
    <w:qFormat/>
    <w:uiPriority w:val="99"/>
    <w:rPr>
      <w:rFonts w:ascii="Calibri" w:hAnsi="Calibri" w:eastAsia="宋体"/>
      <w:kern w:val="2"/>
      <w:sz w:val="18"/>
      <w:szCs w:val="18"/>
    </w:rPr>
  </w:style>
  <w:style w:type="character" w:customStyle="1" w:styleId="50">
    <w:name w:val="批注框文本 字符"/>
    <w:basedOn w:val="22"/>
    <w:link w:val="14"/>
    <w:qFormat/>
    <w:uiPriority w:val="99"/>
    <w:rPr>
      <w:rFonts w:ascii="Times New Roman" w:hAnsi="Times New Roman" w:eastAsia="宋体"/>
      <w:kern w:val="2"/>
      <w:sz w:val="18"/>
      <w:szCs w:val="18"/>
    </w:rPr>
  </w:style>
  <w:style w:type="paragraph" w:customStyle="1" w:styleId="51">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2">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23</Pages>
  <Words>7167</Words>
  <Characters>7462</Characters>
  <Paragraphs>469</Paragraphs>
  <TotalTime>65</TotalTime>
  <ScaleCrop>false</ScaleCrop>
  <LinksUpToDate>false</LinksUpToDate>
  <CharactersWithSpaces>7498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2020-07-07T16:35:00Z</dcterms:created>
  <dc:creator>赵 恺（预算处）</dc:creator>
  <cp:lastModifiedBy>岁月无痕</cp:lastModifiedBy>
  <cp:lastPrinted>2024-07-11T10:57:00Z</cp:lastPrinted>
  <dcterms:modified xsi:type="dcterms:W3CDTF">2024-08-16T04:31:55Z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370f8c61945e4453aaa6c3840ff9bd0f_23</vt:lpwstr>
  </property>
  <property fmtid="{D5CDD505-2E9C-101B-9397-08002B2CF9AE}" pid="4" name="KSOSaveFontToCloudKey">
    <vt:lpwstr>0_btnclosed</vt:lpwstr>
  </property>
</Properties>
</file>