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D8C51D">
      <w:pPr>
        <w:spacing w:line="540" w:lineRule="exact"/>
        <w:jc w:val="center"/>
        <w:rPr>
          <w:rFonts w:eastAsia="华文中宋"/>
          <w:b/>
          <w:kern w:val="0"/>
          <w:sz w:val="52"/>
          <w:szCs w:val="52"/>
        </w:rPr>
      </w:pPr>
    </w:p>
    <w:p w14:paraId="5175A53D">
      <w:pPr>
        <w:spacing w:line="540" w:lineRule="exact"/>
        <w:rPr>
          <w:rFonts w:eastAsia="华文中宋"/>
          <w:b/>
          <w:kern w:val="0"/>
          <w:sz w:val="52"/>
          <w:szCs w:val="52"/>
        </w:rPr>
      </w:pPr>
    </w:p>
    <w:p w14:paraId="574B11A4">
      <w:pPr>
        <w:spacing w:line="540" w:lineRule="exact"/>
        <w:jc w:val="center"/>
        <w:rPr>
          <w:rFonts w:eastAsia="华文中宋"/>
          <w:b/>
          <w:kern w:val="0"/>
          <w:sz w:val="52"/>
          <w:szCs w:val="52"/>
        </w:rPr>
      </w:pPr>
    </w:p>
    <w:p w14:paraId="797892FE">
      <w:pPr>
        <w:spacing w:line="540" w:lineRule="exact"/>
        <w:jc w:val="center"/>
        <w:rPr>
          <w:rFonts w:eastAsia="华文中宋"/>
          <w:b/>
          <w:kern w:val="0"/>
          <w:sz w:val="52"/>
          <w:szCs w:val="52"/>
        </w:rPr>
      </w:pPr>
    </w:p>
    <w:p w14:paraId="0837457D">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center"/>
        <w:textAlignment w:val="auto"/>
        <w:outlineLvl w:val="0"/>
        <w:rPr>
          <w:rFonts w:hint="default" w:ascii="Times New Roman" w:hAnsi="Times New Roman" w:eastAsia="方正小标宋简体" w:cs="Times New Roman"/>
          <w:color w:val="auto"/>
          <w:sz w:val="48"/>
          <w:szCs w:val="48"/>
          <w:highlight w:val="none"/>
          <w:lang w:val="en-US" w:eastAsia="zh-CN"/>
        </w:rPr>
      </w:pPr>
      <w:r>
        <w:rPr>
          <w:rFonts w:hint="default" w:ascii="Times New Roman" w:hAnsi="Times New Roman" w:eastAsia="方正小标宋简体" w:cs="Times New Roman"/>
          <w:color w:val="auto"/>
          <w:sz w:val="48"/>
          <w:szCs w:val="48"/>
          <w:highlight w:val="none"/>
          <w:lang w:val="en-US" w:eastAsia="zh-CN"/>
        </w:rPr>
        <w:t>2023年自治区葡萄酒产业发展专项</w:t>
      </w:r>
    </w:p>
    <w:p w14:paraId="4776F0D8">
      <w:pPr>
        <w:spacing w:line="540" w:lineRule="exact"/>
        <w:jc w:val="center"/>
        <w:rPr>
          <w:rFonts w:eastAsia="方正小标宋_GBK"/>
          <w:kern w:val="0"/>
          <w:sz w:val="48"/>
          <w:szCs w:val="48"/>
        </w:rPr>
      </w:pPr>
      <w:r>
        <w:rPr>
          <w:rFonts w:eastAsia="方正小标宋_GBK"/>
          <w:kern w:val="0"/>
          <w:sz w:val="48"/>
          <w:szCs w:val="48"/>
        </w:rPr>
        <w:t>资金项目支出绩效评价</w:t>
      </w:r>
    </w:p>
    <w:p w14:paraId="26CF70F7">
      <w:pPr>
        <w:spacing w:line="540" w:lineRule="exact"/>
        <w:jc w:val="center"/>
        <w:rPr>
          <w:rFonts w:eastAsia="方正小标宋_GBK"/>
          <w:kern w:val="0"/>
          <w:sz w:val="48"/>
          <w:szCs w:val="48"/>
        </w:rPr>
      </w:pPr>
      <w:r>
        <w:rPr>
          <w:rFonts w:eastAsia="方正小标宋_GBK"/>
          <w:kern w:val="0"/>
          <w:sz w:val="48"/>
          <w:szCs w:val="48"/>
        </w:rPr>
        <w:t>报告</w:t>
      </w:r>
    </w:p>
    <w:p w14:paraId="76644F93">
      <w:pPr>
        <w:spacing w:line="540" w:lineRule="exact"/>
        <w:jc w:val="center"/>
        <w:rPr>
          <w:rFonts w:eastAsia="华文中宋"/>
          <w:b/>
          <w:kern w:val="0"/>
          <w:sz w:val="52"/>
          <w:szCs w:val="52"/>
        </w:rPr>
      </w:pPr>
    </w:p>
    <w:p w14:paraId="68827830">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14:paraId="3D5771B4">
      <w:pPr>
        <w:spacing w:line="540" w:lineRule="exact"/>
        <w:jc w:val="center"/>
        <w:rPr>
          <w:rFonts w:eastAsia="仿宋_GB2312"/>
          <w:kern w:val="0"/>
          <w:sz w:val="30"/>
          <w:szCs w:val="30"/>
        </w:rPr>
      </w:pPr>
    </w:p>
    <w:p w14:paraId="231181ED">
      <w:pPr>
        <w:spacing w:line="540" w:lineRule="exact"/>
        <w:jc w:val="center"/>
        <w:rPr>
          <w:rFonts w:eastAsia="仿宋_GB2312"/>
          <w:kern w:val="0"/>
          <w:sz w:val="30"/>
          <w:szCs w:val="30"/>
        </w:rPr>
      </w:pPr>
    </w:p>
    <w:p w14:paraId="055D7A10">
      <w:pPr>
        <w:spacing w:line="540" w:lineRule="exact"/>
        <w:jc w:val="center"/>
        <w:rPr>
          <w:rFonts w:eastAsia="仿宋_GB2312"/>
          <w:kern w:val="0"/>
          <w:sz w:val="30"/>
          <w:szCs w:val="30"/>
        </w:rPr>
      </w:pPr>
    </w:p>
    <w:p w14:paraId="10424906">
      <w:pPr>
        <w:pStyle w:val="10"/>
      </w:pPr>
    </w:p>
    <w:p w14:paraId="6E0C0179">
      <w:pPr>
        <w:spacing w:line="540" w:lineRule="exact"/>
        <w:jc w:val="center"/>
        <w:rPr>
          <w:rFonts w:eastAsia="仿宋_GB2312"/>
          <w:kern w:val="0"/>
          <w:sz w:val="30"/>
          <w:szCs w:val="30"/>
        </w:rPr>
      </w:pPr>
    </w:p>
    <w:p w14:paraId="50620138">
      <w:pPr>
        <w:spacing w:line="540" w:lineRule="exact"/>
        <w:rPr>
          <w:rFonts w:eastAsia="仿宋_GB2312"/>
          <w:kern w:val="0"/>
          <w:sz w:val="30"/>
          <w:szCs w:val="30"/>
        </w:rPr>
      </w:pPr>
    </w:p>
    <w:p w14:paraId="67D8BC5D">
      <w:pPr>
        <w:spacing w:line="700" w:lineRule="exact"/>
        <w:ind w:firstLine="1440" w:firstLineChars="400"/>
        <w:jc w:val="left"/>
        <w:rPr>
          <w:rFonts w:hint="eastAsia" w:eastAsia="仿宋_GB2312"/>
          <w:kern w:val="0"/>
          <w:sz w:val="36"/>
          <w:szCs w:val="36"/>
        </w:rPr>
      </w:pPr>
      <w:r>
        <w:rPr>
          <w:rFonts w:eastAsia="仿宋_GB2312"/>
          <w:kern w:val="0"/>
          <w:sz w:val="36"/>
          <w:szCs w:val="36"/>
        </w:rPr>
        <w:t>项目名称：</w:t>
      </w:r>
      <w:r>
        <w:rPr>
          <w:rFonts w:hint="eastAsia" w:eastAsia="仿宋_GB2312"/>
          <w:kern w:val="0"/>
          <w:sz w:val="36"/>
          <w:szCs w:val="36"/>
        </w:rPr>
        <w:t>2023年自治区葡萄酒产业发展</w:t>
      </w:r>
    </w:p>
    <w:p w14:paraId="310B92FB">
      <w:pPr>
        <w:spacing w:line="700" w:lineRule="exact"/>
        <w:ind w:firstLine="3240" w:firstLineChars="900"/>
        <w:jc w:val="left"/>
        <w:rPr>
          <w:rFonts w:eastAsia="仿宋_GB2312"/>
          <w:kern w:val="0"/>
          <w:sz w:val="36"/>
          <w:szCs w:val="36"/>
        </w:rPr>
      </w:pPr>
      <w:r>
        <w:rPr>
          <w:rFonts w:hint="eastAsia" w:eastAsia="仿宋_GB2312"/>
          <w:kern w:val="0"/>
          <w:sz w:val="36"/>
          <w:szCs w:val="36"/>
        </w:rPr>
        <w:t>专项资金</w:t>
      </w:r>
    </w:p>
    <w:p w14:paraId="593A124E">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实施单位（公章）：</w:t>
      </w:r>
      <w:r>
        <w:rPr>
          <w:rFonts w:hint="eastAsia" w:eastAsia="仿宋_GB2312"/>
          <w:kern w:val="0"/>
          <w:sz w:val="36"/>
          <w:szCs w:val="36"/>
          <w:lang w:eastAsia="zh-CN"/>
        </w:rPr>
        <w:t>轻工业行业管理处</w:t>
      </w:r>
    </w:p>
    <w:p w14:paraId="0AE0953C">
      <w:pPr>
        <w:spacing w:line="700" w:lineRule="exact"/>
        <w:ind w:firstLine="1440" w:firstLineChars="400"/>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lang w:eastAsia="zh-CN"/>
        </w:rPr>
        <w:t>自治区工业和信息化厅</w:t>
      </w:r>
    </w:p>
    <w:p w14:paraId="6B31F7D6">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项目负责人（签章）：</w:t>
      </w:r>
      <w:r>
        <w:rPr>
          <w:rFonts w:hint="eastAsia" w:eastAsia="仿宋_GB2312"/>
          <w:kern w:val="0"/>
          <w:sz w:val="36"/>
          <w:szCs w:val="36"/>
          <w:lang w:eastAsia="zh-CN"/>
        </w:rPr>
        <w:t>张百武</w:t>
      </w:r>
    </w:p>
    <w:p w14:paraId="0575D2F5">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eastAsia" w:eastAsia="仿宋_GB2312"/>
          <w:kern w:val="0"/>
          <w:sz w:val="36"/>
          <w:szCs w:val="36"/>
          <w:lang w:val="en-US" w:eastAsia="zh-CN"/>
        </w:rPr>
        <w:t>4</w:t>
      </w:r>
      <w:r>
        <w:rPr>
          <w:rFonts w:eastAsia="仿宋_GB2312"/>
          <w:kern w:val="0"/>
          <w:sz w:val="36"/>
          <w:szCs w:val="36"/>
        </w:rPr>
        <w:t>月</w:t>
      </w:r>
      <w:r>
        <w:rPr>
          <w:rFonts w:hint="eastAsia" w:eastAsia="仿宋_GB2312"/>
          <w:kern w:val="0"/>
          <w:sz w:val="36"/>
          <w:szCs w:val="36"/>
          <w:lang w:val="en-US" w:eastAsia="zh-CN"/>
        </w:rPr>
        <w:t>9</w:t>
      </w:r>
      <w:r>
        <w:rPr>
          <w:rFonts w:eastAsia="仿宋_GB2312"/>
          <w:kern w:val="0"/>
          <w:sz w:val="36"/>
          <w:szCs w:val="36"/>
        </w:rPr>
        <w:t>日</w:t>
      </w:r>
    </w:p>
    <w:p w14:paraId="39BAF8C6">
      <w:pPr>
        <w:spacing w:line="540" w:lineRule="exact"/>
        <w:jc w:val="center"/>
        <w:rPr>
          <w:rFonts w:eastAsia="仿宋_GB2312"/>
          <w:kern w:val="0"/>
          <w:sz w:val="30"/>
          <w:szCs w:val="30"/>
        </w:rPr>
      </w:pPr>
    </w:p>
    <w:p w14:paraId="69D43177">
      <w:pPr>
        <w:spacing w:line="540" w:lineRule="exact"/>
        <w:rPr>
          <w:rStyle w:val="16"/>
          <w:rFonts w:eastAsia="黑体"/>
          <w:b w:val="0"/>
          <w:spacing w:val="-4"/>
          <w:sz w:val="32"/>
          <w:szCs w:val="32"/>
        </w:rPr>
      </w:pPr>
    </w:p>
    <w:p w14:paraId="2979D841">
      <w:pPr>
        <w:spacing w:line="560" w:lineRule="exact"/>
        <w:rPr>
          <w:rFonts w:eastAsia="黑体"/>
          <w:bCs/>
          <w:sz w:val="32"/>
          <w:szCs w:val="32"/>
        </w:rPr>
        <w:sectPr>
          <w:pgSz w:w="11906" w:h="16838"/>
          <w:pgMar w:top="1440" w:right="1558" w:bottom="1440" w:left="1800" w:header="851" w:footer="992" w:gutter="0"/>
          <w:cols w:space="425" w:num="1"/>
          <w:docGrid w:type="lines" w:linePitch="312" w:charSpace="0"/>
        </w:sectPr>
      </w:pPr>
    </w:p>
    <w:p w14:paraId="57BEB231">
      <w:pPr>
        <w:spacing w:line="560" w:lineRule="exact"/>
        <w:ind w:firstLine="640" w:firstLineChars="200"/>
        <w:rPr>
          <w:rFonts w:eastAsia="黑体"/>
          <w:bCs/>
          <w:sz w:val="32"/>
          <w:szCs w:val="32"/>
        </w:rPr>
      </w:pPr>
      <w:r>
        <w:rPr>
          <w:rFonts w:eastAsia="黑体"/>
          <w:bCs/>
          <w:sz w:val="32"/>
          <w:szCs w:val="32"/>
        </w:rPr>
        <w:t>一、基本情况</w:t>
      </w:r>
    </w:p>
    <w:p w14:paraId="2CE7A2DB">
      <w:pPr>
        <w:spacing w:line="560" w:lineRule="exact"/>
        <w:ind w:firstLine="643" w:firstLineChars="200"/>
        <w:rPr>
          <w:rFonts w:eastAsia="楷体_GB2312"/>
          <w:b/>
          <w:bCs/>
          <w:sz w:val="32"/>
          <w:szCs w:val="32"/>
        </w:rPr>
      </w:pPr>
      <w:r>
        <w:rPr>
          <w:rFonts w:eastAsia="楷体_GB2312"/>
          <w:b/>
          <w:bCs/>
          <w:sz w:val="32"/>
          <w:szCs w:val="32"/>
        </w:rPr>
        <w:t>（一）项目概况</w:t>
      </w:r>
    </w:p>
    <w:p w14:paraId="3A4D59D9">
      <w:pPr>
        <w:spacing w:line="560" w:lineRule="exact"/>
        <w:ind w:firstLine="643" w:firstLineChars="200"/>
        <w:rPr>
          <w:rFonts w:eastAsia="仿宋_GB2312"/>
          <w:b/>
          <w:bCs/>
          <w:sz w:val="32"/>
          <w:szCs w:val="32"/>
        </w:rPr>
      </w:pPr>
      <w:r>
        <w:rPr>
          <w:rFonts w:eastAsia="仿宋_GB2312"/>
          <w:b/>
          <w:bCs/>
          <w:sz w:val="32"/>
          <w:szCs w:val="32"/>
        </w:rPr>
        <w:t>1</w:t>
      </w:r>
      <w:r>
        <w:rPr>
          <w:rFonts w:hint="eastAsia" w:eastAsia="仿宋_GB2312"/>
          <w:b/>
          <w:bCs/>
          <w:sz w:val="32"/>
          <w:szCs w:val="32"/>
          <w:lang w:val="en-US" w:eastAsia="zh"/>
        </w:rPr>
        <w:t>.</w:t>
      </w:r>
      <w:r>
        <w:rPr>
          <w:rFonts w:eastAsia="仿宋_GB2312"/>
          <w:b/>
          <w:bCs/>
          <w:sz w:val="32"/>
          <w:szCs w:val="32"/>
        </w:rPr>
        <w:t>项目背景</w:t>
      </w:r>
    </w:p>
    <w:p w14:paraId="578E1164">
      <w:pPr>
        <w:spacing w:line="560" w:lineRule="exact"/>
        <w:ind w:firstLine="640" w:firstLineChars="200"/>
        <w:rPr>
          <w:rStyle w:val="16"/>
          <w:rFonts w:hint="eastAsia" w:eastAsia="黑体"/>
          <w:b w:val="0"/>
          <w:bCs/>
          <w:spacing w:val="-4"/>
          <w:sz w:val="32"/>
          <w:szCs w:val="32"/>
          <w:highlight w:val="yellow"/>
          <w:lang w:eastAsia="zh-CN"/>
        </w:rPr>
      </w:pPr>
      <w:r>
        <w:rPr>
          <w:rFonts w:hint="default" w:ascii="Times New Roman" w:hAnsi="Times New Roman" w:eastAsia="仿宋_GB2312" w:cs="Times New Roman"/>
          <w:spacing w:val="0"/>
          <w:sz w:val="32"/>
          <w:szCs w:val="32"/>
          <w:lang w:val="en-US" w:eastAsia="zh-CN"/>
        </w:rPr>
        <w:t>根据</w:t>
      </w:r>
      <w:r>
        <w:rPr>
          <w:rFonts w:hint="default" w:ascii="Times New Roman" w:hAnsi="Times New Roman" w:eastAsia="仿宋_GB2312" w:cs="Times New Roman"/>
          <w:sz w:val="32"/>
          <w:szCs w:val="32"/>
          <w:lang w:val="en-US" w:eastAsia="zh-CN"/>
        </w:rPr>
        <w:t>《新疆维吾尔自治区葡萄酒产业发展专项资金管理办法》（新财规〔2023〕5号</w:t>
      </w:r>
      <w:r>
        <w:rPr>
          <w:rFonts w:hint="default" w:ascii="Times New Roman" w:hAnsi="Times New Roman" w:eastAsia="仿宋_GB2312" w:cs="Times New Roman"/>
          <w:b w:val="0"/>
          <w:bCs w:val="0"/>
          <w:spacing w:val="0"/>
          <w:sz w:val="32"/>
          <w:szCs w:val="32"/>
          <w:highlight w:val="none"/>
          <w:lang w:val="en-US" w:eastAsia="zh-CN"/>
        </w:rPr>
        <w:t>，以下简称《资金管理办法》</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b w:val="0"/>
          <w:bCs w:val="0"/>
          <w:spacing w:val="0"/>
          <w:sz w:val="32"/>
          <w:szCs w:val="32"/>
          <w:highlight w:val="none"/>
          <w:lang w:val="en-US" w:eastAsia="zh-CN"/>
        </w:rPr>
        <w:t>，</w:t>
      </w:r>
      <w:r>
        <w:rPr>
          <w:rFonts w:hint="default" w:ascii="Times New Roman" w:hAnsi="Times New Roman" w:eastAsia="仿宋_GB2312" w:cs="Times New Roman"/>
          <w:spacing w:val="0"/>
          <w:sz w:val="32"/>
          <w:szCs w:val="32"/>
          <w:lang w:val="en-US" w:eastAsia="zh-CN"/>
        </w:rPr>
        <w:t>自治区工业和信息化厅</w:t>
      </w:r>
      <w:r>
        <w:rPr>
          <w:rFonts w:hint="default" w:ascii="Times New Roman" w:hAnsi="Times New Roman" w:eastAsia="仿宋_GB2312" w:cs="Times New Roman"/>
          <w:b w:val="0"/>
          <w:bCs w:val="0"/>
          <w:spacing w:val="0"/>
          <w:sz w:val="32"/>
          <w:szCs w:val="32"/>
          <w:highlight w:val="none"/>
          <w:lang w:val="en-US" w:eastAsia="zh-CN"/>
        </w:rPr>
        <w:t>组织开展了2023年自治区葡萄酒产业发展专项资金项目</w:t>
      </w:r>
      <w:r>
        <w:rPr>
          <w:rFonts w:hint="eastAsia" w:eastAsia="仿宋_GB2312" w:cs="Times New Roman"/>
          <w:b w:val="0"/>
          <w:bCs w:val="0"/>
          <w:spacing w:val="0"/>
          <w:sz w:val="32"/>
          <w:szCs w:val="32"/>
          <w:highlight w:val="none"/>
          <w:lang w:val="en-US" w:eastAsia="zh-CN"/>
        </w:rPr>
        <w:t>申报等有关</w:t>
      </w:r>
      <w:r>
        <w:rPr>
          <w:rFonts w:hint="default" w:ascii="Times New Roman" w:hAnsi="Times New Roman" w:eastAsia="仿宋_GB2312" w:cs="Times New Roman"/>
          <w:b w:val="0"/>
          <w:bCs w:val="0"/>
          <w:spacing w:val="0"/>
          <w:sz w:val="32"/>
          <w:szCs w:val="32"/>
          <w:highlight w:val="none"/>
          <w:lang w:val="en-US" w:eastAsia="zh-CN"/>
        </w:rPr>
        <w:t>工作</w:t>
      </w:r>
      <w:r>
        <w:rPr>
          <w:rFonts w:hint="eastAsia" w:ascii="Times New Roman" w:hAnsi="Times New Roman" w:eastAsia="仿宋_GB2312" w:cs="Times New Roman"/>
          <w:b w:val="0"/>
          <w:bCs w:val="0"/>
          <w:spacing w:val="0"/>
          <w:sz w:val="32"/>
          <w:szCs w:val="32"/>
          <w:highlight w:val="none"/>
          <w:lang w:val="en-US" w:eastAsia="zh-CN"/>
        </w:rPr>
        <w:t>。</w:t>
      </w:r>
    </w:p>
    <w:p w14:paraId="5BFD76D7">
      <w:pPr>
        <w:pStyle w:val="10"/>
        <w:numPr>
          <w:ilvl w:val="0"/>
          <w:numId w:val="0"/>
        </w:numPr>
        <w:spacing w:before="0" w:after="0" w:line="560" w:lineRule="exact"/>
        <w:ind w:firstLine="643" w:firstLineChars="200"/>
        <w:jc w:val="both"/>
        <w:rPr>
          <w:rFonts w:ascii="Times New Roman" w:hAnsi="Times New Roman" w:eastAsia="仿宋_GB2312"/>
          <w:kern w:val="2"/>
        </w:rPr>
      </w:pPr>
      <w:r>
        <w:rPr>
          <w:rFonts w:hint="eastAsia" w:ascii="Times New Roman" w:hAnsi="Times New Roman" w:eastAsia="仿宋_GB2312"/>
          <w:kern w:val="2"/>
          <w:lang w:val="en-US" w:eastAsia="zh"/>
        </w:rPr>
        <w:t>2.</w:t>
      </w:r>
      <w:r>
        <w:rPr>
          <w:rFonts w:ascii="Times New Roman" w:hAnsi="Times New Roman" w:eastAsia="仿宋_GB2312"/>
          <w:kern w:val="2"/>
        </w:rPr>
        <w:t>项目主要内容：</w:t>
      </w:r>
    </w:p>
    <w:p w14:paraId="4D2F8D8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仿宋_GB2312" w:cs="Times New Roman"/>
          <w:b w:val="0"/>
          <w:bCs w:val="0"/>
          <w:spacing w:val="0"/>
          <w:sz w:val="32"/>
          <w:szCs w:val="32"/>
          <w:highlight w:val="none"/>
          <w:lang w:val="en-US" w:eastAsia="zh-CN"/>
        </w:rPr>
      </w:pPr>
      <w:r>
        <w:rPr>
          <w:rFonts w:hint="eastAsia" w:ascii="Times New Roman" w:hAnsi="Times New Roman" w:eastAsia="仿宋_GB2312" w:cs="Times New Roman"/>
          <w:spacing w:val="0"/>
          <w:sz w:val="32"/>
          <w:szCs w:val="32"/>
          <w:lang w:val="en-US" w:eastAsia="zh-CN"/>
        </w:rPr>
        <w:t>项目主要内容：</w:t>
      </w:r>
      <w:r>
        <w:rPr>
          <w:rFonts w:hint="default" w:ascii="Times New Roman" w:hAnsi="Times New Roman" w:eastAsia="仿宋_GB2312" w:cs="Times New Roman"/>
          <w:spacing w:val="0"/>
          <w:sz w:val="32"/>
          <w:szCs w:val="32"/>
          <w:lang w:eastAsia="zh-CN"/>
        </w:rPr>
        <w:t>2023年自治区葡萄酒产业发展专项资金</w:t>
      </w:r>
      <w:r>
        <w:rPr>
          <w:rFonts w:hint="default" w:ascii="Times New Roman" w:hAnsi="Times New Roman" w:eastAsia="仿宋_GB2312" w:cs="Times New Roman"/>
          <w:spacing w:val="0"/>
          <w:sz w:val="32"/>
          <w:szCs w:val="32"/>
          <w:lang w:val="en-US" w:eastAsia="zh-CN"/>
        </w:rPr>
        <w:t>3006.8</w:t>
      </w:r>
      <w:r>
        <w:rPr>
          <w:rFonts w:hint="default" w:ascii="Times New Roman" w:hAnsi="Times New Roman" w:eastAsia="仿宋_GB2312" w:cs="Times New Roman"/>
          <w:spacing w:val="0"/>
          <w:sz w:val="32"/>
          <w:szCs w:val="32"/>
          <w:lang w:eastAsia="zh-CN"/>
        </w:rPr>
        <w:t>万元，</w:t>
      </w:r>
      <w:r>
        <w:rPr>
          <w:rFonts w:hint="default" w:ascii="Times New Roman" w:hAnsi="Times New Roman" w:eastAsia="仿宋_GB2312" w:cs="Times New Roman"/>
          <w:spacing w:val="0"/>
          <w:sz w:val="32"/>
          <w:szCs w:val="32"/>
        </w:rPr>
        <w:t>主要支持产区品牌培育类</w:t>
      </w:r>
      <w:r>
        <w:rPr>
          <w:rFonts w:hint="default" w:ascii="Times New Roman" w:hAnsi="Times New Roman" w:eastAsia="仿宋_GB2312" w:cs="Times New Roman"/>
          <w:spacing w:val="0"/>
          <w:sz w:val="32"/>
          <w:szCs w:val="32"/>
          <w:lang w:eastAsia="zh-CN"/>
        </w:rPr>
        <w:t>项目、市场开拓推广类项目（含国内外赛事获奖类项目）、产业集聚壮大类项目</w:t>
      </w:r>
      <w:r>
        <w:rPr>
          <w:rFonts w:hint="default" w:ascii="Times New Roman" w:hAnsi="Times New Roman" w:eastAsia="仿宋_GB2312" w:cs="Times New Roman"/>
          <w:spacing w:val="0"/>
          <w:sz w:val="32"/>
          <w:szCs w:val="32"/>
        </w:rPr>
        <w:t>、专项人才培养类</w:t>
      </w:r>
      <w:r>
        <w:rPr>
          <w:rFonts w:hint="default" w:ascii="Times New Roman" w:hAnsi="Times New Roman" w:eastAsia="仿宋_GB2312" w:cs="Times New Roman"/>
          <w:spacing w:val="0"/>
          <w:sz w:val="32"/>
          <w:szCs w:val="32"/>
          <w:lang w:eastAsia="zh-CN"/>
        </w:rPr>
        <w:t>项目、贷款贴息类项目、自治区工信厅</w:t>
      </w:r>
      <w:r>
        <w:rPr>
          <w:rFonts w:hint="eastAsia" w:eastAsia="仿宋_GB2312" w:cs="Times New Roman"/>
          <w:spacing w:val="0"/>
          <w:sz w:val="32"/>
          <w:szCs w:val="32"/>
          <w:lang w:eastAsia="zh-CN"/>
        </w:rPr>
        <w:t>本级</w:t>
      </w:r>
      <w:r>
        <w:rPr>
          <w:rFonts w:hint="default" w:ascii="Times New Roman" w:hAnsi="Times New Roman" w:eastAsia="仿宋_GB2312" w:cs="Times New Roman"/>
          <w:spacing w:val="0"/>
          <w:sz w:val="32"/>
          <w:szCs w:val="32"/>
        </w:rPr>
        <w:t>项目</w:t>
      </w:r>
      <w:r>
        <w:rPr>
          <w:rFonts w:hint="default" w:ascii="Times New Roman" w:hAnsi="Times New Roman" w:eastAsia="仿宋_GB2312" w:cs="Times New Roman"/>
          <w:spacing w:val="0"/>
          <w:sz w:val="32"/>
          <w:szCs w:val="32"/>
          <w:lang w:eastAsia="zh-CN"/>
        </w:rPr>
        <w:t>、政府已批复项目</w:t>
      </w:r>
      <w:r>
        <w:rPr>
          <w:rFonts w:hint="eastAsia" w:eastAsia="仿宋_GB2312" w:cs="Times New Roman"/>
          <w:spacing w:val="0"/>
          <w:sz w:val="32"/>
          <w:szCs w:val="32"/>
          <w:lang w:eastAsia="zh-CN"/>
        </w:rPr>
        <w:t>等七类项目</w:t>
      </w:r>
      <w:r>
        <w:rPr>
          <w:rFonts w:hint="default" w:ascii="Times New Roman" w:hAnsi="Times New Roman" w:eastAsia="仿宋_GB2312" w:cs="Times New Roman"/>
          <w:spacing w:val="0"/>
          <w:sz w:val="32"/>
          <w:szCs w:val="32"/>
          <w:lang w:eastAsia="zh-CN"/>
        </w:rPr>
        <w:t>。</w:t>
      </w:r>
    </w:p>
    <w:p w14:paraId="17E1A16A">
      <w:pPr>
        <w:spacing w:line="560" w:lineRule="exact"/>
        <w:ind w:firstLine="640" w:firstLineChars="200"/>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470FC491">
      <w:pPr>
        <w:spacing w:line="560" w:lineRule="exact"/>
        <w:ind w:firstLine="643" w:firstLineChars="200"/>
        <w:rPr>
          <w:rFonts w:eastAsia="仿宋_GB2312"/>
          <w:b/>
          <w:bCs/>
          <w:sz w:val="32"/>
          <w:szCs w:val="32"/>
        </w:rPr>
      </w:pPr>
      <w:r>
        <w:rPr>
          <w:rFonts w:eastAsia="仿宋_GB2312"/>
          <w:b/>
          <w:bCs/>
          <w:sz w:val="32"/>
          <w:szCs w:val="32"/>
        </w:rPr>
        <w:t>3</w:t>
      </w:r>
      <w:r>
        <w:rPr>
          <w:rFonts w:hint="eastAsia" w:eastAsia="仿宋_GB2312"/>
          <w:b/>
          <w:bCs/>
          <w:sz w:val="32"/>
          <w:szCs w:val="32"/>
          <w:lang w:val="en-US" w:eastAsia="zh"/>
        </w:rPr>
        <w:t>.</w:t>
      </w:r>
      <w:r>
        <w:rPr>
          <w:rFonts w:eastAsia="仿宋_GB2312"/>
          <w:b/>
          <w:bCs/>
          <w:sz w:val="32"/>
          <w:szCs w:val="32"/>
        </w:rPr>
        <w:t>资金投入和使用情况</w:t>
      </w:r>
    </w:p>
    <w:p w14:paraId="71FB80CD">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14:paraId="4811AEF9">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该项目年初预算数0万元，全年预算数3006.8万元，实际总投入2941.8万元，该项目资金已全部落实到位，资金来源为财政资金。</w:t>
      </w:r>
    </w:p>
    <w:p w14:paraId="1AF81BA0">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14:paraId="13918EDA">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该项目年初预算数0万元，全年预算数3006.8万元,全年执行数2941.8万元，预算执行率为97.8%，主要用于：</w:t>
      </w:r>
      <w:r>
        <w:rPr>
          <w:rFonts w:hint="eastAsia" w:eastAsia="仿宋_GB2312" w:cs="Times New Roman"/>
          <w:b w:val="0"/>
          <w:bCs w:val="0"/>
          <w:spacing w:val="0"/>
          <w:sz w:val="32"/>
          <w:szCs w:val="32"/>
          <w:highlight w:val="none"/>
          <w:lang w:val="en-US" w:eastAsia="zh-CN"/>
        </w:rPr>
        <w:t>《关于追加2023年自治区葡萄酒产业发展专项资金的通知》（新财建〔2023〕253号）</w:t>
      </w:r>
      <w:r>
        <w:rPr>
          <w:rFonts w:hint="eastAsia" w:ascii="仿宋_GB2312" w:hAnsi="仿宋_GB2312" w:eastAsia="仿宋_GB2312" w:cs="仿宋_GB2312"/>
          <w:sz w:val="32"/>
          <w:szCs w:val="32"/>
          <w:highlight w:val="none"/>
        </w:rPr>
        <w:t>所包含的</w:t>
      </w:r>
      <w:r>
        <w:rPr>
          <w:rFonts w:hint="eastAsia" w:ascii="仿宋_GB2312" w:hAnsi="仿宋_GB2312" w:eastAsia="仿宋_GB2312" w:cs="仿宋_GB2312"/>
          <w:sz w:val="32"/>
          <w:szCs w:val="32"/>
          <w:highlight w:val="none"/>
          <w:lang w:eastAsia="zh-CN"/>
        </w:rPr>
        <w:t>全部</w:t>
      </w:r>
      <w:r>
        <w:rPr>
          <w:rFonts w:hint="eastAsia" w:ascii="仿宋_GB2312" w:hAnsi="仿宋_GB2312" w:eastAsia="仿宋_GB2312" w:cs="仿宋_GB2312"/>
          <w:sz w:val="32"/>
          <w:szCs w:val="32"/>
          <w:highlight w:val="none"/>
        </w:rPr>
        <w:t>项目</w:t>
      </w:r>
      <w:r>
        <w:rPr>
          <w:rFonts w:hint="default" w:ascii="Times New Roman" w:hAnsi="Times New Roman" w:eastAsia="仿宋_GB2312" w:cs="Times New Roman"/>
          <w:b w:val="0"/>
          <w:bCs w:val="0"/>
          <w:spacing w:val="0"/>
          <w:sz w:val="32"/>
          <w:szCs w:val="32"/>
          <w:highlight w:val="none"/>
          <w:lang w:val="en-US" w:eastAsia="zh-CN"/>
        </w:rPr>
        <w:t>。</w:t>
      </w:r>
    </w:p>
    <w:p w14:paraId="6798F20C">
      <w:pPr>
        <w:spacing w:line="560" w:lineRule="exact"/>
        <w:ind w:firstLine="643" w:firstLineChars="200"/>
        <w:rPr>
          <w:rFonts w:eastAsia="楷体_GB2312"/>
          <w:b/>
          <w:bCs/>
          <w:sz w:val="32"/>
          <w:szCs w:val="32"/>
        </w:rPr>
      </w:pPr>
      <w:r>
        <w:rPr>
          <w:rFonts w:eastAsia="楷体_GB2312"/>
          <w:b/>
          <w:bCs/>
          <w:sz w:val="32"/>
          <w:szCs w:val="32"/>
        </w:rPr>
        <w:t>（二）项目绩效目标</w:t>
      </w:r>
    </w:p>
    <w:p w14:paraId="39340CB2">
      <w:pPr>
        <w:spacing w:line="56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lang w:val="en-US" w:eastAsia="zh"/>
        </w:rPr>
        <w:t>.</w:t>
      </w:r>
      <w:r>
        <w:rPr>
          <w:rFonts w:eastAsia="仿宋_GB2312"/>
          <w:sz w:val="32"/>
          <w:szCs w:val="32"/>
        </w:rPr>
        <w:t>总体目标</w:t>
      </w:r>
    </w:p>
    <w:p w14:paraId="12EFF2DF">
      <w:pPr>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）新疆葡萄酒产区及产品知名度、影响力和竞争力有效提升，扩大对外交流与合作，有效增加市场份额。</w:t>
      </w:r>
    </w:p>
    <w:p w14:paraId="0CB6F61E">
      <w:pPr>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）葡萄酒生产企业技术装备有效改造，葡萄酒生产能力和原酒品质进一步提升。</w:t>
      </w:r>
    </w:p>
    <w:p w14:paraId="35DA07FA">
      <w:pPr>
        <w:spacing w:line="560" w:lineRule="exact"/>
        <w:ind w:firstLine="640" w:firstLineChars="200"/>
        <w:rPr>
          <w:rFonts w:hint="eastAsia" w:eastAsia="黑体"/>
          <w:b w:val="0"/>
          <w:bCs/>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）提升葡萄酒企业经营、技术、管理等人员素质，提高我区葡萄酒企业在新技术研发创新、新产业发展、新模式应用等方面的水平，为自治区葡萄酒产业高质量发展和企业转型升级提供人才支撑。</w:t>
      </w:r>
    </w:p>
    <w:p w14:paraId="0663875A">
      <w:pPr>
        <w:spacing w:line="560" w:lineRule="exact"/>
        <w:ind w:firstLine="640" w:firstLineChars="200"/>
        <w:rPr>
          <w:rFonts w:hint="eastAsia" w:ascii="仿宋_GB2312" w:hAnsi="仿宋_GB2312" w:eastAsia="仿宋_GB2312" w:cs="仿宋_GB2312"/>
          <w:color w:val="FF0000"/>
          <w:sz w:val="30"/>
          <w:szCs w:val="30"/>
          <w:highlight w:val="none"/>
          <w:lang w:val="en-US" w:eastAsia="zh-CN"/>
        </w:rPr>
      </w:pPr>
      <w:r>
        <w:rPr>
          <w:rFonts w:eastAsia="仿宋_GB2312"/>
          <w:sz w:val="32"/>
          <w:szCs w:val="32"/>
        </w:rPr>
        <w:t>2</w:t>
      </w:r>
      <w:r>
        <w:rPr>
          <w:rFonts w:hint="eastAsia" w:eastAsia="仿宋_GB2312"/>
          <w:sz w:val="32"/>
          <w:szCs w:val="32"/>
          <w:lang w:val="en-US" w:eastAsia="zh"/>
        </w:rPr>
        <w:t>.</w:t>
      </w:r>
      <w:r>
        <w:rPr>
          <w:rFonts w:eastAsia="仿宋_GB2312"/>
          <w:sz w:val="32"/>
          <w:szCs w:val="32"/>
        </w:rPr>
        <w:t>阶段性目标</w:t>
      </w:r>
    </w:p>
    <w:p w14:paraId="691E085C">
      <w:pPr>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）新疆葡萄酒产区及产品知名度、影响力和竞争力有效提升，扩大对外交流与合作，有效增加市场份额。</w:t>
      </w:r>
    </w:p>
    <w:p w14:paraId="24716DB5">
      <w:pPr>
        <w:spacing w:line="560" w:lineRule="exact"/>
        <w:ind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）提高我区葡萄酒企业在新技术研发创新、新产业发展、新模式应用等方面的水平。</w:t>
      </w:r>
    </w:p>
    <w:p w14:paraId="60370FA6">
      <w:pPr>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）提高葡萄酒企业高级管理人员的管理理念和实践经验，提升葡萄酒企业检验及品控等专业技术人员专业技能水平，为我区葡萄酒产品品质保证、品质不断提升提供高质量的专业人才支撑。</w:t>
      </w:r>
    </w:p>
    <w:p w14:paraId="7B75DFC5">
      <w:pPr>
        <w:spacing w:line="560" w:lineRule="exact"/>
        <w:ind w:firstLine="640" w:firstLineChars="200"/>
        <w:rPr>
          <w:rFonts w:eastAsia="黑体"/>
          <w:sz w:val="32"/>
          <w:szCs w:val="32"/>
        </w:rPr>
      </w:pPr>
      <w:r>
        <w:rPr>
          <w:rFonts w:eastAsia="黑体"/>
          <w:sz w:val="32"/>
          <w:szCs w:val="32"/>
        </w:rPr>
        <w:t>二、绩效评价工作开展情况</w:t>
      </w:r>
    </w:p>
    <w:p w14:paraId="4A4CFEFB">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02FEB119">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w:t>
      </w:r>
      <w:r>
        <w:rPr>
          <w:rFonts w:hint="eastAsia" w:ascii="Times New Roman" w:hAnsi="Times New Roman" w:eastAsia="仿宋_GB2312"/>
          <w:b w:val="0"/>
          <w:bCs w:val="0"/>
          <w:lang w:val="en-US" w:eastAsia="zh"/>
        </w:rPr>
        <w:t>.</w:t>
      </w:r>
      <w:r>
        <w:rPr>
          <w:rFonts w:ascii="Times New Roman" w:hAnsi="Times New Roman" w:eastAsia="仿宋_GB2312"/>
          <w:b w:val="0"/>
          <w:bCs w:val="0"/>
        </w:rPr>
        <w:t>绩效评价的目的</w:t>
      </w:r>
    </w:p>
    <w:p w14:paraId="287F1F74">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2445A575">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14:paraId="12E8F98C">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14:paraId="0D1369E6">
      <w:pPr>
        <w:pStyle w:val="19"/>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2ECFCD15">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w:t>
      </w:r>
      <w:r>
        <w:rPr>
          <w:rFonts w:hint="eastAsia" w:ascii="Times New Roman" w:hAnsi="Times New Roman" w:eastAsia="仿宋_GB2312"/>
          <w:b w:val="0"/>
          <w:bCs w:val="0"/>
          <w:lang w:val="en-US" w:eastAsia="zh"/>
        </w:rPr>
        <w:t>.</w:t>
      </w:r>
      <w:r>
        <w:rPr>
          <w:rFonts w:ascii="Times New Roman" w:hAnsi="Times New Roman" w:eastAsia="仿宋_GB2312"/>
          <w:b w:val="0"/>
          <w:bCs w:val="0"/>
        </w:rPr>
        <w:t>绩效评价的对象</w:t>
      </w:r>
    </w:p>
    <w:p w14:paraId="64568A63">
      <w:pPr>
        <w:spacing w:line="560" w:lineRule="exact"/>
        <w:ind w:firstLine="640" w:firstLineChars="200"/>
        <w:rPr>
          <w:rFonts w:ascii="仿宋_GB2312" w:hAnsi="仿宋_GB2312" w:eastAsia="仿宋_GB2312" w:cs="仿宋_GB2312"/>
          <w:sz w:val="32"/>
          <w:szCs w:val="32"/>
        </w:rPr>
      </w:pPr>
      <w:r>
        <w:rPr>
          <w:rFonts w:hint="eastAsia" w:eastAsia="仿宋_GB2312" w:cs="Times New Roman"/>
          <w:b w:val="0"/>
          <w:bCs w:val="0"/>
          <w:spacing w:val="0"/>
          <w:sz w:val="32"/>
          <w:szCs w:val="32"/>
          <w:highlight w:val="none"/>
          <w:lang w:val="en-US" w:eastAsia="zh-CN"/>
        </w:rPr>
        <w:t>《关于追加2023年自治区葡萄酒产业发展专项资金的通知》（新财建〔2023〕253号）</w:t>
      </w:r>
      <w:r>
        <w:rPr>
          <w:rFonts w:hint="eastAsia" w:ascii="仿宋_GB2312" w:hAnsi="仿宋_GB2312" w:eastAsia="仿宋_GB2312" w:cs="仿宋_GB2312"/>
          <w:sz w:val="32"/>
          <w:szCs w:val="32"/>
        </w:rPr>
        <w:t>所包含的全部项目内容。</w:t>
      </w:r>
    </w:p>
    <w:p w14:paraId="7C8A794D">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w:t>
      </w:r>
      <w:r>
        <w:rPr>
          <w:rFonts w:hint="eastAsia" w:ascii="Times New Roman" w:hAnsi="Times New Roman" w:eastAsia="仿宋_GB2312"/>
          <w:b w:val="0"/>
          <w:bCs w:val="0"/>
          <w:lang w:val="en-US" w:eastAsia="zh"/>
        </w:rPr>
        <w:t>.</w:t>
      </w:r>
      <w:r>
        <w:rPr>
          <w:rFonts w:ascii="Times New Roman" w:hAnsi="Times New Roman" w:eastAsia="仿宋_GB2312"/>
          <w:b w:val="0"/>
          <w:bCs w:val="0"/>
        </w:rPr>
        <w:t>绩效评价的范围</w:t>
      </w:r>
    </w:p>
    <w:p w14:paraId="5778E34E">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w:t>
      </w:r>
      <w:r>
        <w:rPr>
          <w:rFonts w:hint="eastAsia" w:ascii="仿宋_GB2312" w:hAnsi="仿宋_GB2312" w:eastAsia="仿宋_GB2312" w:cs="仿宋_GB2312"/>
          <w:sz w:val="32"/>
          <w:szCs w:val="32"/>
          <w:highlight w:val="none"/>
          <w:lang w:val="en-US" w:eastAsia="zh-CN"/>
        </w:rPr>
        <w:t>2023年自治区葡萄酒产业专项资金项目</w:t>
      </w:r>
      <w:r>
        <w:rPr>
          <w:rFonts w:hint="eastAsia" w:ascii="仿宋_GB2312" w:hAnsi="仿宋_GB2312" w:eastAsia="仿宋_GB2312" w:cs="仿宋_GB2312"/>
          <w:sz w:val="32"/>
          <w:szCs w:val="32"/>
        </w:rPr>
        <w:t>进行评价，评价核心为专项资金的支出完成情况和效果。</w:t>
      </w:r>
    </w:p>
    <w:p w14:paraId="5FDE4BF4">
      <w:pPr>
        <w:spacing w:line="560" w:lineRule="exact"/>
        <w:ind w:firstLine="643" w:firstLineChars="200"/>
      </w:pPr>
      <w:r>
        <w:rPr>
          <w:rFonts w:eastAsia="楷体_GB2312"/>
          <w:b/>
          <w:bCs/>
          <w:sz w:val="32"/>
          <w:szCs w:val="32"/>
        </w:rPr>
        <w:t>（二）绩效评价原则、评价指标体系（详情见表1）、评价方法、评价标准。</w:t>
      </w:r>
    </w:p>
    <w:p w14:paraId="65F6BF5F">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w:t>
      </w:r>
      <w:r>
        <w:rPr>
          <w:rFonts w:hint="eastAsia" w:ascii="Times New Roman" w:hAnsi="Times New Roman" w:eastAsia="仿宋_GB2312"/>
          <w:b w:val="0"/>
          <w:bCs w:val="0"/>
          <w:lang w:val="en-US" w:eastAsia="zh"/>
        </w:rPr>
        <w:t>.</w:t>
      </w:r>
      <w:r>
        <w:rPr>
          <w:rFonts w:ascii="Times New Roman" w:hAnsi="Times New Roman" w:eastAsia="仿宋_GB2312"/>
          <w:b w:val="0"/>
          <w:bCs w:val="0"/>
        </w:rPr>
        <w:t>绩效评价原则</w:t>
      </w:r>
    </w:p>
    <w:p w14:paraId="02D548A4">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74F226A0">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39C0D932">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32B8E0C5">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50B59806">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3E005165">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w:t>
      </w:r>
      <w:r>
        <w:rPr>
          <w:rFonts w:hint="eastAsia" w:ascii="Times New Roman" w:hAnsi="Times New Roman" w:eastAsia="仿宋_GB2312"/>
          <w:b w:val="0"/>
          <w:bCs w:val="0"/>
          <w:lang w:val="en-US" w:eastAsia="zh"/>
        </w:rPr>
        <w:t>.</w:t>
      </w:r>
      <w:r>
        <w:rPr>
          <w:rFonts w:ascii="Times New Roman" w:hAnsi="Times New Roman" w:eastAsia="仿宋_GB2312"/>
          <w:b w:val="0"/>
          <w:bCs w:val="0"/>
        </w:rPr>
        <w:t>评价指标体系</w:t>
      </w:r>
    </w:p>
    <w:p w14:paraId="047CFF20">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2384181A">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2871FF55">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D53BE33">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32C625AF">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032ECDA8">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758D5B7D">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1F08C161">
      <w:pPr>
        <w:pStyle w:val="10"/>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4A013F05">
      <w:pPr>
        <w:pStyle w:val="10"/>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02537948">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w:t>
      </w:r>
      <w:r>
        <w:rPr>
          <w:rFonts w:hint="eastAsia" w:ascii="Times New Roman" w:hAnsi="Times New Roman" w:eastAsia="仿宋_GB2312"/>
          <w:b w:val="0"/>
          <w:bCs w:val="0"/>
          <w:lang w:val="en-US" w:eastAsia="zh"/>
        </w:rPr>
        <w:t>.</w:t>
      </w:r>
      <w:r>
        <w:rPr>
          <w:rFonts w:ascii="Times New Roman" w:hAnsi="Times New Roman" w:eastAsia="仿宋_GB2312"/>
          <w:b w:val="0"/>
          <w:bCs w:val="0"/>
        </w:rPr>
        <w:t>绩效评价方法</w:t>
      </w:r>
    </w:p>
    <w:p w14:paraId="5B7BBA97">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7E08B5F2">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5F94C150">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14:paraId="58D401B5">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28B1DF38">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14:paraId="70B08A2A">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37F36492">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w:t>
      </w:r>
      <w:r>
        <w:rPr>
          <w:rFonts w:hint="eastAsia" w:ascii="Times New Roman" w:hAnsi="Times New Roman" w:eastAsia="仿宋_GB2312"/>
          <w:b w:val="0"/>
          <w:bCs w:val="0"/>
          <w:lang w:val="en-US" w:eastAsia="zh"/>
        </w:rPr>
        <w:t>.</w:t>
      </w:r>
      <w:r>
        <w:rPr>
          <w:rFonts w:ascii="Times New Roman" w:hAnsi="Times New Roman" w:eastAsia="仿宋_GB2312"/>
          <w:b w:val="0"/>
          <w:bCs w:val="0"/>
        </w:rPr>
        <w:t>评价标准</w:t>
      </w:r>
    </w:p>
    <w:p w14:paraId="76ABBB05">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绩效评价标准通常包括计划标准、行业标准、历史标准等，用于对绩效指标完成情况进行比较、分析、评价。本次评价主要采用了</w:t>
      </w:r>
      <w:r>
        <w:rPr>
          <w:rFonts w:hint="eastAsia" w:eastAsia="仿宋_GB2312"/>
          <w:color w:val="000000"/>
          <w:spacing w:val="17"/>
          <w:sz w:val="32"/>
          <w:szCs w:val="32"/>
          <w:lang w:val="en-US" w:eastAsia="zh-CN"/>
        </w:rPr>
        <w:t>计划标准和预算支出标准</w:t>
      </w:r>
      <w:r>
        <w:rPr>
          <w:rFonts w:hint="eastAsia" w:eastAsia="仿宋_GB2312"/>
          <w:color w:val="000000"/>
          <w:spacing w:val="17"/>
          <w:sz w:val="32"/>
          <w:szCs w:val="32"/>
        </w:rPr>
        <w:t>。</w:t>
      </w:r>
    </w:p>
    <w:p w14:paraId="5D42A464">
      <w:pPr>
        <w:spacing w:line="560" w:lineRule="exact"/>
        <w:ind w:firstLine="708" w:firstLineChars="200"/>
        <w:rPr>
          <w:rFonts w:eastAsia="仿宋_GB2312"/>
          <w:color w:val="000000"/>
          <w:spacing w:val="17"/>
          <w:sz w:val="32"/>
          <w:szCs w:val="32"/>
        </w:rPr>
      </w:pPr>
      <w:bookmarkStart w:id="0" w:name="_Toc31464"/>
      <w:bookmarkStart w:id="1" w:name="_Toc17882"/>
      <w:r>
        <w:rPr>
          <w:rFonts w:hint="eastAsia" w:eastAsia="仿宋_GB2312"/>
          <w:color w:val="000000"/>
          <w:spacing w:val="17"/>
          <w:sz w:val="32"/>
          <w:szCs w:val="32"/>
        </w:rPr>
        <w:t>计划标准：指以预先制定的目标、计划、预算、定额等作为评价标准。</w:t>
      </w:r>
      <w:bookmarkEnd w:id="0"/>
      <w:bookmarkEnd w:id="1"/>
    </w:p>
    <w:p w14:paraId="3B54C39D">
      <w:pPr>
        <w:spacing w:line="560" w:lineRule="exact"/>
        <w:ind w:firstLine="708" w:firstLineChars="200"/>
        <w:rPr>
          <w:rFonts w:eastAsia="仿宋_GB2312"/>
          <w:color w:val="000000"/>
          <w:spacing w:val="17"/>
          <w:sz w:val="32"/>
          <w:szCs w:val="32"/>
        </w:rPr>
      </w:pPr>
      <w:bookmarkStart w:id="2" w:name="_Toc5633"/>
      <w:bookmarkStart w:id="3" w:name="_Toc2318"/>
      <w:r>
        <w:rPr>
          <w:rFonts w:hint="eastAsia" w:eastAsia="仿宋_GB2312"/>
          <w:color w:val="000000"/>
          <w:spacing w:val="17"/>
          <w:sz w:val="32"/>
          <w:szCs w:val="32"/>
        </w:rPr>
        <w:t>行业标准：指参照国家公布的行业指标数据制定的评价标准。</w:t>
      </w:r>
      <w:bookmarkEnd w:id="2"/>
      <w:bookmarkEnd w:id="3"/>
    </w:p>
    <w:p w14:paraId="61A002AC">
      <w:pPr>
        <w:spacing w:line="560" w:lineRule="exact"/>
        <w:ind w:firstLine="708" w:firstLineChars="200"/>
        <w:rPr>
          <w:rFonts w:eastAsia="仿宋_GB2312"/>
          <w:color w:val="000000"/>
          <w:spacing w:val="17"/>
          <w:sz w:val="32"/>
          <w:szCs w:val="32"/>
        </w:rPr>
      </w:pPr>
      <w:bookmarkStart w:id="4" w:name="_Toc16028"/>
      <w:bookmarkStart w:id="5" w:name="_Toc430"/>
      <w:r>
        <w:rPr>
          <w:rFonts w:hint="eastAsia" w:eastAsia="仿宋_GB2312"/>
          <w:color w:val="000000"/>
          <w:spacing w:val="17"/>
          <w:sz w:val="32"/>
          <w:szCs w:val="32"/>
        </w:rPr>
        <w:t>历史标准：指参照历史数据制定的评价标准，为体现绩效改进的原则，在可实现的条件下应当确定相对较高的评价标准。</w:t>
      </w:r>
      <w:bookmarkEnd w:id="4"/>
      <w:bookmarkEnd w:id="5"/>
    </w:p>
    <w:p w14:paraId="46B12260">
      <w:pPr>
        <w:pStyle w:val="10"/>
        <w:numPr>
          <w:ilvl w:val="0"/>
          <w:numId w:val="3"/>
        </w:numPr>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5EF1AE4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1.</w:t>
      </w: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7A08F2D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2.</w:t>
      </w: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4E0DEED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r>
        <w:rPr>
          <w:rFonts w:hint="eastAsia" w:eastAsia="仿宋_GB2312"/>
          <w:bCs/>
          <w:sz w:val="32"/>
          <w:szCs w:val="32"/>
          <w:lang w:val="en-US" w:eastAsia="zh-CN"/>
        </w:rPr>
        <w:t>3.</w:t>
      </w: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02F8D945">
      <w:pPr>
        <w:numPr>
          <w:ilvl w:val="0"/>
          <w:numId w:val="4"/>
        </w:numPr>
        <w:spacing w:line="560" w:lineRule="exact"/>
        <w:ind w:firstLine="640" w:firstLineChars="200"/>
        <w:rPr>
          <w:rFonts w:eastAsia="黑体"/>
          <w:sz w:val="32"/>
          <w:szCs w:val="32"/>
        </w:rPr>
      </w:pPr>
      <w:r>
        <w:rPr>
          <w:rFonts w:eastAsia="黑体"/>
          <w:sz w:val="32"/>
          <w:szCs w:val="32"/>
        </w:rPr>
        <w:t>综合评价情况及评价结论（附相关评分表）</w:t>
      </w:r>
    </w:p>
    <w:p w14:paraId="50FA0FB5">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14:paraId="162B40E1">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28FCE52A">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14:paraId="317CA2B3">
      <w:pPr>
        <w:pStyle w:val="10"/>
        <w:widowControl w:val="0"/>
        <w:spacing w:before="0" w:after="0" w:line="560" w:lineRule="exact"/>
        <w:ind w:firstLine="640" w:firstLineChars="200"/>
        <w:jc w:val="both"/>
        <w:outlineLvl w:val="9"/>
        <w:rPr>
          <w:rFonts w:hint="eastAsia" w:ascii="Times New Roman" w:hAnsi="Times New Roman" w:eastAsia="仿宋_GB2312"/>
          <w:b w:val="0"/>
          <w:bCs w:val="0"/>
          <w:lang w:eastAsia="zh-CN"/>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总得分为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 xml:space="preserve">分，属于“优”。其中，项目决策类指标权重为20分，得分为 </w:t>
      </w:r>
      <w:r>
        <w:rPr>
          <w:rFonts w:hint="eastAsia" w:ascii="Times New Roman" w:hAnsi="Times New Roman" w:eastAsia="仿宋_GB2312"/>
          <w:b w:val="0"/>
          <w:bCs w:val="0"/>
          <w:highlight w:val="none"/>
          <w:lang w:val="en-US" w:eastAsia="zh"/>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
        </w:rPr>
        <w:t>40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
        </w:rPr>
        <w:t>100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
        </w:rPr>
        <w:t>100</w:t>
      </w:r>
      <w:r>
        <w:rPr>
          <w:rFonts w:hint="eastAsia" w:ascii="Times New Roman" w:hAnsi="Times New Roman" w:eastAsia="仿宋_GB2312"/>
          <w:b w:val="0"/>
          <w:bCs w:val="0"/>
          <w:highlight w:val="none"/>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14:paraId="13738CA6">
      <w:pPr>
        <w:pStyle w:val="10"/>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14:paraId="30A8EBA3">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6EE3B41A">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5989994">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0BF1E0E">
            <w:pPr>
              <w:jc w:val="center"/>
              <w:rPr>
                <w:b/>
                <w:bCs/>
                <w:color w:val="000000"/>
                <w:sz w:val="22"/>
              </w:rPr>
            </w:pPr>
            <w:r>
              <w:rPr>
                <w:rFonts w:hint="eastAsia"/>
                <w:b/>
                <w:bCs/>
                <w:color w:val="000000"/>
                <w:sz w:val="22"/>
              </w:rPr>
              <w:t>得分</w:t>
            </w:r>
          </w:p>
        </w:tc>
      </w:tr>
      <w:tr w14:paraId="21632FC4">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573B121">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084DAFDD">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D7AC3C1">
            <w:pPr>
              <w:jc w:val="center"/>
              <w:rPr>
                <w:rFonts w:hint="default" w:eastAsia="宋体"/>
                <w:color w:val="000000"/>
                <w:sz w:val="22"/>
                <w:lang w:val="en-US" w:eastAsia="zh-CN"/>
              </w:rPr>
            </w:pPr>
            <w:r>
              <w:rPr>
                <w:rFonts w:hint="eastAsia"/>
                <w:color w:val="000000"/>
                <w:sz w:val="22"/>
                <w:lang w:val="en-US" w:eastAsia="zh-CN"/>
              </w:rPr>
              <w:t>20</w:t>
            </w:r>
          </w:p>
        </w:tc>
      </w:tr>
      <w:tr w14:paraId="266D8FF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F701D32">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14:paraId="22F8B8A6">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2E8F618C">
            <w:pPr>
              <w:jc w:val="center"/>
              <w:rPr>
                <w:rFonts w:hint="default" w:eastAsia="宋体"/>
                <w:color w:val="000000"/>
                <w:sz w:val="22"/>
                <w:lang w:val="en-US" w:eastAsia="zh-CN"/>
              </w:rPr>
            </w:pPr>
            <w:r>
              <w:rPr>
                <w:rFonts w:hint="eastAsia"/>
                <w:color w:val="000000"/>
                <w:sz w:val="22"/>
                <w:lang w:val="en-US" w:eastAsia="zh-CN"/>
              </w:rPr>
              <w:t>20</w:t>
            </w:r>
          </w:p>
        </w:tc>
      </w:tr>
      <w:tr w14:paraId="0B9453E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29405C8">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3FE695BE">
            <w:pPr>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6AB21CD0">
            <w:pPr>
              <w:jc w:val="center"/>
              <w:rPr>
                <w:rFonts w:hint="default" w:eastAsia="宋体"/>
                <w:color w:val="000000"/>
                <w:sz w:val="22"/>
                <w:lang w:val="en-US" w:eastAsia="zh-CN"/>
              </w:rPr>
            </w:pPr>
            <w:r>
              <w:rPr>
                <w:rFonts w:hint="eastAsia"/>
                <w:color w:val="000000"/>
                <w:sz w:val="22"/>
                <w:lang w:val="en-US" w:eastAsia="zh-CN"/>
              </w:rPr>
              <w:t>40</w:t>
            </w:r>
          </w:p>
        </w:tc>
      </w:tr>
      <w:tr w14:paraId="3A1906D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30640D8">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592B8DD7">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2F561CBB">
            <w:pPr>
              <w:jc w:val="center"/>
              <w:rPr>
                <w:rFonts w:hint="default" w:eastAsia="宋体"/>
                <w:color w:val="000000"/>
                <w:sz w:val="22"/>
                <w:lang w:val="en-US" w:eastAsia="zh-CN"/>
              </w:rPr>
            </w:pPr>
            <w:r>
              <w:rPr>
                <w:rFonts w:hint="eastAsia"/>
                <w:color w:val="000000"/>
                <w:sz w:val="22"/>
                <w:lang w:val="en-US" w:eastAsia="zh-CN"/>
              </w:rPr>
              <w:t>20</w:t>
            </w:r>
          </w:p>
        </w:tc>
      </w:tr>
      <w:tr w14:paraId="4D5475E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00D3BE9">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14:paraId="2C0C72FC">
            <w:pPr>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28829301">
            <w:pPr>
              <w:jc w:val="center"/>
              <w:rPr>
                <w:rFonts w:hint="default" w:eastAsia="宋体"/>
                <w:b/>
                <w:bCs/>
                <w:color w:val="000000"/>
                <w:sz w:val="22"/>
                <w:lang w:val="en-US" w:eastAsia="zh-CN"/>
              </w:rPr>
            </w:pPr>
            <w:r>
              <w:rPr>
                <w:rFonts w:hint="eastAsia"/>
                <w:b/>
                <w:bCs/>
                <w:color w:val="000000"/>
                <w:sz w:val="22"/>
                <w:lang w:val="en-US" w:eastAsia="zh-CN"/>
              </w:rPr>
              <w:t>100</w:t>
            </w:r>
          </w:p>
        </w:tc>
      </w:tr>
    </w:tbl>
    <w:p w14:paraId="266E5891">
      <w:pPr>
        <w:spacing w:line="560" w:lineRule="exact"/>
        <w:ind w:firstLine="640" w:firstLineChars="200"/>
        <w:rPr>
          <w:rFonts w:eastAsia="黑体"/>
          <w:sz w:val="32"/>
          <w:szCs w:val="32"/>
        </w:rPr>
      </w:pPr>
      <w:r>
        <w:rPr>
          <w:rFonts w:eastAsia="黑体"/>
          <w:sz w:val="32"/>
          <w:szCs w:val="32"/>
        </w:rPr>
        <w:t>四、绩效评价指标分析</w:t>
      </w:r>
    </w:p>
    <w:p w14:paraId="215CA8A0">
      <w:pPr>
        <w:pStyle w:val="10"/>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14:paraId="4300B952">
      <w:pPr>
        <w:shd w:val="clear"/>
        <w:spacing w:line="600" w:lineRule="exact"/>
        <w:ind w:firstLine="600" w:firstLineChars="200"/>
        <w:outlineLvl w:val="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项目决策类指标包括项目立项、绩效目标和资金投入三方面的内容，由6个三级指标构成，权重分值为20分，实际得分20分，得分率为100%。</w:t>
      </w:r>
    </w:p>
    <w:p w14:paraId="3677FD69">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14:paraId="6F7593A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14:paraId="1F9FC5D4">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05C43E34">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14:paraId="01D7FE5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专家论证、绩效评估、集体决策，保障了程序的规范性。</w:t>
      </w:r>
    </w:p>
    <w:p w14:paraId="7A95DEAB">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14:paraId="6ACFA170">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14:paraId="2452AB40">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14C540A2">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14:paraId="58F19D04">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413FC4A6">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14:paraId="461A635A">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14:paraId="181A007E">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14:paraId="4B132F3B">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14:paraId="4569FD24">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14:paraId="003C4643">
      <w:pPr>
        <w:pStyle w:val="10"/>
        <w:numPr>
          <w:ilvl w:val="0"/>
          <w:numId w:val="5"/>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14:paraId="1A7BF36A">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实际得分20分，得分率为100%。</w:t>
      </w:r>
    </w:p>
    <w:p w14:paraId="5BAD89B1">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4D0FE908">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14:paraId="6B8E325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14:paraId="120EE70E">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本项目总预算3006.8万元，实际</w:t>
      </w:r>
      <w:r>
        <w:rPr>
          <w:rFonts w:hint="eastAsia" w:ascii="仿宋_GB2312" w:hAnsi="仿宋_GB2312" w:eastAsia="仿宋_GB2312" w:cs="仿宋_GB2312"/>
          <w:sz w:val="32"/>
          <w:szCs w:val="32"/>
          <w:highlight w:val="none"/>
          <w:lang w:val="en-US" w:eastAsia="zh-CN"/>
        </w:rPr>
        <w:t>总投入2941.8万元，财政资金及时足额到位，到位率100%，预算资金按计划进度执行。</w:t>
      </w:r>
    </w:p>
    <w:p w14:paraId="363C14D8">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14:paraId="4F9AC56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预算编制较为详细，项目资金支出总体能够按照预算执行，预算资金支出2906.8万元，结转下一年度使用35万元，预算执行率为97.8%。</w:t>
      </w:r>
    </w:p>
    <w:p w14:paraId="4CB93B2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14:paraId="0D6E1B82">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6BA6F89F">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6EF0E7D0">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14:paraId="6EF2E344">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2A6405FA">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14:paraId="3C470E9B">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27B356E7">
      <w:pPr>
        <w:pStyle w:val="12"/>
        <w:numPr>
          <w:ilvl w:val="0"/>
          <w:numId w:val="5"/>
        </w:numPr>
        <w:spacing w:line="560" w:lineRule="exact"/>
        <w:ind w:firstLine="643"/>
        <w:rPr>
          <w:rFonts w:eastAsia="楷体_GB2312"/>
          <w:b/>
          <w:bCs/>
          <w:sz w:val="32"/>
          <w:szCs w:val="32"/>
        </w:rPr>
      </w:pPr>
      <w:r>
        <w:rPr>
          <w:rFonts w:eastAsia="楷体_GB2312"/>
          <w:b/>
          <w:bCs/>
          <w:sz w:val="32"/>
          <w:szCs w:val="32"/>
        </w:rPr>
        <w:t>项目产出</w:t>
      </w:r>
      <w:r>
        <w:rPr>
          <w:rFonts w:hint="eastAsia" w:eastAsia="楷体_GB2312"/>
          <w:b/>
          <w:bCs/>
          <w:sz w:val="32"/>
          <w:szCs w:val="32"/>
          <w:lang w:val="en-US" w:eastAsia="zh-CN"/>
        </w:rPr>
        <w:t>情况</w:t>
      </w:r>
    </w:p>
    <w:p w14:paraId="3923EE1E">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w:t>
      </w:r>
      <w:r>
        <w:rPr>
          <w:rFonts w:hint="eastAsia" w:ascii="仿宋_GB2312" w:hAnsi="仿宋_GB2312" w:eastAsia="仿宋_GB2312" w:cs="仿宋_GB2312"/>
          <w:sz w:val="32"/>
          <w:szCs w:val="32"/>
          <w:highlight w:val="none"/>
          <w:lang w:val="en-US" w:eastAsia="zh-CN"/>
        </w:rPr>
        <w:t>由22个三级指标构成，权重分为40分，实际得分40分，得分率为100%。具体产</w:t>
      </w:r>
      <w:r>
        <w:rPr>
          <w:rFonts w:hint="eastAsia" w:ascii="仿宋_GB2312" w:hAnsi="仿宋_GB2312" w:eastAsia="仿宋_GB2312" w:cs="仿宋_GB2312"/>
          <w:sz w:val="32"/>
          <w:szCs w:val="32"/>
          <w:lang w:val="en-US" w:eastAsia="zh-CN"/>
        </w:rPr>
        <w:t>出指标完成情况如下：</w:t>
      </w:r>
    </w:p>
    <w:p w14:paraId="734F2FC2">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14:paraId="415B648A">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b w:val="0"/>
          <w:bCs w:val="0"/>
          <w:sz w:val="32"/>
          <w:szCs w:val="32"/>
          <w:highlight w:val="none"/>
        </w:rPr>
        <w:t>指标1：开展新疆葡萄酒产区推广及参展活动</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指标值：≥4次</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b w:val="0"/>
          <w:bCs w:val="0"/>
          <w:sz w:val="32"/>
          <w:szCs w:val="32"/>
          <w:highlight w:val="none"/>
        </w:rPr>
        <w:t>实际完成值：</w:t>
      </w:r>
      <w:r>
        <w:rPr>
          <w:rFonts w:hint="eastAsia" w:ascii="仿宋_GB2312" w:hAnsi="仿宋_GB2312" w:eastAsia="仿宋_GB2312" w:cs="仿宋_GB2312"/>
          <w:b w:val="0"/>
          <w:bCs w:val="0"/>
          <w:sz w:val="32"/>
          <w:szCs w:val="32"/>
          <w:highlight w:val="none"/>
          <w:lang w:val="en-US" w:eastAsia="zh-CN"/>
        </w:rPr>
        <w:t>4次</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，偏差原因：需进一步加强项目执行进度。</w:t>
      </w:r>
    </w:p>
    <w:p w14:paraId="5E284EEA">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指标2：举办新疆丝绸之路葡萄酒节</w:t>
      </w:r>
      <w:r>
        <w:rPr>
          <w:rFonts w:hint="eastAsia" w:ascii="仿宋_GB2312" w:hAnsi="仿宋_GB2312" w:eastAsia="仿宋_GB2312" w:cs="仿宋_GB2312"/>
          <w:sz w:val="32"/>
          <w:szCs w:val="32"/>
          <w:highlight w:val="none"/>
          <w:lang w:eastAsia="zh-CN"/>
        </w:rPr>
        <w:t>，指标值：</w:t>
      </w:r>
      <w:r>
        <w:rPr>
          <w:rFonts w:hint="eastAsia" w:ascii="仿宋_GB2312" w:hAnsi="仿宋_GB2312" w:eastAsia="仿宋_GB2312" w:cs="仿宋_GB2312"/>
          <w:sz w:val="32"/>
          <w:szCs w:val="32"/>
          <w:highlight w:val="none"/>
        </w:rPr>
        <w:t>=1次</w:t>
      </w:r>
      <w:r>
        <w:rPr>
          <w:rFonts w:hint="eastAsia" w:ascii="仿宋_GB2312" w:hAnsi="仿宋_GB2312" w:eastAsia="仿宋_GB2312" w:cs="仿宋_GB2312"/>
          <w:sz w:val="32"/>
          <w:szCs w:val="32"/>
          <w:highlight w:val="none"/>
          <w:lang w:eastAsia="zh-CN"/>
        </w:rPr>
        <w:t>，实际完成值：</w:t>
      </w:r>
      <w:r>
        <w:rPr>
          <w:rFonts w:hint="eastAsia" w:ascii="仿宋_GB2312" w:hAnsi="仿宋_GB2312" w:eastAsia="仿宋_GB2312" w:cs="仿宋_GB2312"/>
          <w:sz w:val="32"/>
          <w:szCs w:val="32"/>
          <w:highlight w:val="none"/>
          <w:lang w:val="en-US" w:eastAsia="zh-CN"/>
        </w:rPr>
        <w:t>1次，指标完成率100%，</w:t>
      </w:r>
      <w:r>
        <w:rPr>
          <w:rFonts w:hint="eastAsia" w:ascii="仿宋_GB2312" w:hAnsi="仿宋_GB2312" w:eastAsia="仿宋_GB2312" w:cs="仿宋_GB2312"/>
          <w:sz w:val="32"/>
          <w:szCs w:val="32"/>
          <w:highlight w:val="none"/>
          <w:lang w:eastAsia="zh-CN"/>
        </w:rPr>
        <w:t>偏差原因：需进一步加强项目执行进度。</w:t>
      </w:r>
    </w:p>
    <w:p w14:paraId="1701EBF2">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指标</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产区葡萄酒展示及外销平台建设</w:t>
      </w:r>
      <w:r>
        <w:rPr>
          <w:rFonts w:hint="eastAsia" w:ascii="仿宋_GB2312" w:hAnsi="仿宋_GB2312" w:eastAsia="仿宋_GB2312" w:cs="仿宋_GB2312"/>
          <w:sz w:val="32"/>
          <w:szCs w:val="32"/>
          <w:highlight w:val="none"/>
          <w:lang w:eastAsia="zh-CN"/>
        </w:rPr>
        <w:t>，指标值：</w:t>
      </w:r>
      <w:r>
        <w:rPr>
          <w:rFonts w:hint="eastAsia" w:ascii="仿宋_GB2312" w:hAnsi="仿宋_GB2312" w:eastAsia="仿宋_GB2312" w:cs="仿宋_GB2312"/>
          <w:sz w:val="32"/>
          <w:szCs w:val="32"/>
          <w:highlight w:val="none"/>
        </w:rPr>
        <w:t>≥11个</w:t>
      </w:r>
      <w:r>
        <w:rPr>
          <w:rFonts w:hint="eastAsia" w:ascii="仿宋_GB2312" w:hAnsi="仿宋_GB2312" w:eastAsia="仿宋_GB2312" w:cs="仿宋_GB2312"/>
          <w:sz w:val="32"/>
          <w:szCs w:val="32"/>
          <w:highlight w:val="none"/>
          <w:lang w:eastAsia="zh-CN"/>
        </w:rPr>
        <w:t>，实际完成值：</w:t>
      </w:r>
      <w:r>
        <w:rPr>
          <w:rFonts w:hint="eastAsia" w:ascii="仿宋_GB2312" w:hAnsi="仿宋_GB2312" w:eastAsia="仿宋_GB2312" w:cs="仿宋_GB2312"/>
          <w:sz w:val="32"/>
          <w:szCs w:val="32"/>
          <w:highlight w:val="none"/>
          <w:lang w:val="en-US" w:eastAsia="zh-CN"/>
        </w:rPr>
        <w:t>11次，指标完成率100%，</w:t>
      </w:r>
      <w:r>
        <w:rPr>
          <w:rFonts w:hint="eastAsia" w:ascii="仿宋_GB2312" w:hAnsi="仿宋_GB2312" w:eastAsia="仿宋_GB2312" w:cs="仿宋_GB2312"/>
          <w:sz w:val="32"/>
          <w:szCs w:val="32"/>
          <w:highlight w:val="none"/>
          <w:lang w:eastAsia="zh-CN"/>
        </w:rPr>
        <w:t>偏差原因：需进一步加强项目执行进度。</w:t>
      </w:r>
    </w:p>
    <w:p w14:paraId="645834F9">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指标</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编制《新疆产区葡萄酒产业发展报告》</w:t>
      </w:r>
      <w:r>
        <w:rPr>
          <w:rFonts w:hint="eastAsia" w:ascii="仿宋_GB2312" w:hAnsi="仿宋_GB2312" w:eastAsia="仿宋_GB2312" w:cs="仿宋_GB2312"/>
          <w:sz w:val="32"/>
          <w:szCs w:val="32"/>
          <w:highlight w:val="none"/>
          <w:lang w:eastAsia="zh-CN"/>
        </w:rPr>
        <w:t>，指标值：</w:t>
      </w:r>
      <w:r>
        <w:rPr>
          <w:rFonts w:hint="eastAsia" w:ascii="仿宋_GB2312" w:hAnsi="仿宋_GB2312" w:eastAsia="仿宋_GB2312" w:cs="仿宋_GB2312"/>
          <w:sz w:val="32"/>
          <w:szCs w:val="32"/>
          <w:highlight w:val="none"/>
        </w:rPr>
        <w:t>=1个</w:t>
      </w:r>
      <w:r>
        <w:rPr>
          <w:rFonts w:hint="eastAsia" w:ascii="仿宋_GB2312" w:hAnsi="仿宋_GB2312" w:eastAsia="仿宋_GB2312" w:cs="仿宋_GB2312"/>
          <w:sz w:val="32"/>
          <w:szCs w:val="32"/>
          <w:highlight w:val="none"/>
          <w:lang w:eastAsia="zh-CN"/>
        </w:rPr>
        <w:t>，实际完成值：</w:t>
      </w:r>
      <w:r>
        <w:rPr>
          <w:rFonts w:hint="eastAsia" w:ascii="仿宋_GB2312" w:hAnsi="仿宋_GB2312" w:eastAsia="仿宋_GB2312" w:cs="仿宋_GB2312"/>
          <w:sz w:val="32"/>
          <w:szCs w:val="32"/>
          <w:highlight w:val="none"/>
          <w:lang w:val="en-US" w:eastAsia="zh-CN"/>
        </w:rPr>
        <w:t>1个，指标完成率100%，</w:t>
      </w:r>
      <w:r>
        <w:rPr>
          <w:rFonts w:hint="eastAsia" w:ascii="仿宋_GB2312" w:hAnsi="仿宋_GB2312" w:eastAsia="仿宋_GB2312" w:cs="仿宋_GB2312"/>
          <w:sz w:val="32"/>
          <w:szCs w:val="32"/>
          <w:highlight w:val="none"/>
          <w:lang w:eastAsia="zh-CN"/>
        </w:rPr>
        <w:t>偏差原因：需进一步加强项目执行进度。</w:t>
      </w:r>
    </w:p>
    <w:p w14:paraId="7042113B">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指标</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开展《自治区葡萄酒产业发展促进条例》调研论证</w:t>
      </w:r>
      <w:r>
        <w:rPr>
          <w:rFonts w:hint="eastAsia" w:ascii="仿宋_GB2312" w:hAnsi="仿宋_GB2312" w:eastAsia="仿宋_GB2312" w:cs="仿宋_GB2312"/>
          <w:sz w:val="32"/>
          <w:szCs w:val="32"/>
          <w:highlight w:val="none"/>
          <w:lang w:eastAsia="zh-CN"/>
        </w:rPr>
        <w:t>，指标值：</w:t>
      </w:r>
      <w:r>
        <w:rPr>
          <w:rFonts w:hint="eastAsia" w:ascii="仿宋_GB2312" w:hAnsi="仿宋_GB2312" w:eastAsia="仿宋_GB2312" w:cs="仿宋_GB2312"/>
          <w:sz w:val="32"/>
          <w:szCs w:val="32"/>
          <w:highlight w:val="none"/>
        </w:rPr>
        <w:t>=1次</w:t>
      </w:r>
      <w:r>
        <w:rPr>
          <w:rFonts w:hint="eastAsia" w:ascii="仿宋_GB2312" w:hAnsi="仿宋_GB2312" w:eastAsia="仿宋_GB2312" w:cs="仿宋_GB2312"/>
          <w:sz w:val="32"/>
          <w:szCs w:val="32"/>
          <w:highlight w:val="none"/>
          <w:lang w:eastAsia="zh-CN"/>
        </w:rPr>
        <w:t>，实际完成值：</w:t>
      </w:r>
      <w:r>
        <w:rPr>
          <w:rFonts w:hint="eastAsia" w:ascii="仿宋_GB2312" w:hAnsi="仿宋_GB2312" w:eastAsia="仿宋_GB2312" w:cs="仿宋_GB2312"/>
          <w:sz w:val="32"/>
          <w:szCs w:val="32"/>
          <w:highlight w:val="none"/>
          <w:lang w:val="en-US" w:eastAsia="zh-CN"/>
        </w:rPr>
        <w:t>1次，指标完成率100%，</w:t>
      </w:r>
      <w:r>
        <w:rPr>
          <w:rFonts w:hint="eastAsia" w:ascii="仿宋_GB2312" w:hAnsi="仿宋_GB2312" w:eastAsia="仿宋_GB2312" w:cs="仿宋_GB2312"/>
          <w:sz w:val="32"/>
          <w:szCs w:val="32"/>
          <w:highlight w:val="none"/>
          <w:lang w:eastAsia="zh-CN"/>
        </w:rPr>
        <w:t>偏差原因：需进一步加强项目执行进度。</w:t>
      </w:r>
    </w:p>
    <w:p w14:paraId="19345D71">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指标</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支持葡萄酒企业技术升级改造项目</w:t>
      </w:r>
      <w:r>
        <w:rPr>
          <w:rFonts w:hint="eastAsia" w:ascii="仿宋_GB2312" w:hAnsi="仿宋_GB2312" w:eastAsia="仿宋_GB2312" w:cs="仿宋_GB2312"/>
          <w:sz w:val="32"/>
          <w:szCs w:val="32"/>
          <w:highlight w:val="none"/>
          <w:lang w:eastAsia="zh-CN"/>
        </w:rPr>
        <w:t>，指标值：</w:t>
      </w:r>
      <w:r>
        <w:rPr>
          <w:rFonts w:hint="eastAsia" w:ascii="仿宋_GB2312" w:hAnsi="仿宋_GB2312" w:eastAsia="仿宋_GB2312" w:cs="仿宋_GB2312"/>
          <w:sz w:val="32"/>
          <w:szCs w:val="32"/>
          <w:highlight w:val="none"/>
        </w:rPr>
        <w:t>≥15个</w:t>
      </w:r>
      <w:r>
        <w:rPr>
          <w:rFonts w:hint="eastAsia" w:ascii="仿宋_GB2312" w:hAnsi="仿宋_GB2312" w:eastAsia="仿宋_GB2312" w:cs="仿宋_GB2312"/>
          <w:sz w:val="32"/>
          <w:szCs w:val="32"/>
          <w:highlight w:val="none"/>
          <w:lang w:eastAsia="zh-CN"/>
        </w:rPr>
        <w:t>，实际完成值：</w:t>
      </w:r>
      <w:r>
        <w:rPr>
          <w:rFonts w:hint="eastAsia" w:ascii="仿宋_GB2312" w:hAnsi="仿宋_GB2312" w:eastAsia="仿宋_GB2312" w:cs="仿宋_GB2312"/>
          <w:sz w:val="32"/>
          <w:szCs w:val="32"/>
          <w:highlight w:val="none"/>
          <w:lang w:val="en-US" w:eastAsia="zh-CN"/>
        </w:rPr>
        <w:t>15个，指标完成率100%，</w:t>
      </w:r>
      <w:r>
        <w:rPr>
          <w:rFonts w:hint="eastAsia" w:ascii="仿宋_GB2312" w:hAnsi="仿宋_GB2312" w:eastAsia="仿宋_GB2312" w:cs="仿宋_GB2312"/>
          <w:sz w:val="32"/>
          <w:szCs w:val="32"/>
          <w:highlight w:val="none"/>
          <w:lang w:eastAsia="zh-CN"/>
        </w:rPr>
        <w:t>偏差原因：需进一步加强项目执行进度。</w:t>
      </w:r>
    </w:p>
    <w:p w14:paraId="219B8EF2">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指标</w:t>
      </w: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rPr>
        <w:t>开展葡萄酒企业链人才培训及产区电商培训</w:t>
      </w:r>
      <w:r>
        <w:rPr>
          <w:rFonts w:hint="eastAsia" w:ascii="仿宋_GB2312" w:hAnsi="仿宋_GB2312" w:eastAsia="仿宋_GB2312" w:cs="仿宋_GB2312"/>
          <w:sz w:val="32"/>
          <w:szCs w:val="32"/>
          <w:highlight w:val="none"/>
          <w:lang w:eastAsia="zh-CN"/>
        </w:rPr>
        <w:t>，指标值：</w:t>
      </w:r>
      <w:r>
        <w:rPr>
          <w:rFonts w:hint="eastAsia" w:ascii="仿宋_GB2312" w:hAnsi="仿宋_GB2312" w:eastAsia="仿宋_GB2312" w:cs="仿宋_GB2312"/>
          <w:sz w:val="32"/>
          <w:szCs w:val="32"/>
          <w:highlight w:val="none"/>
        </w:rPr>
        <w:t>≥4次</w:t>
      </w:r>
      <w:r>
        <w:rPr>
          <w:rFonts w:hint="eastAsia" w:ascii="仿宋_GB2312" w:hAnsi="仿宋_GB2312" w:eastAsia="仿宋_GB2312" w:cs="仿宋_GB2312"/>
          <w:sz w:val="32"/>
          <w:szCs w:val="32"/>
          <w:highlight w:val="none"/>
          <w:lang w:eastAsia="zh-CN"/>
        </w:rPr>
        <w:t>，实际完成值：</w:t>
      </w:r>
      <w:r>
        <w:rPr>
          <w:rFonts w:hint="eastAsia" w:ascii="仿宋_GB2312" w:hAnsi="仿宋_GB2312" w:eastAsia="仿宋_GB2312" w:cs="仿宋_GB2312"/>
          <w:sz w:val="32"/>
          <w:szCs w:val="32"/>
          <w:highlight w:val="none"/>
          <w:lang w:val="en-US" w:eastAsia="zh-CN"/>
        </w:rPr>
        <w:t>4次，指标完成率100%，</w:t>
      </w:r>
      <w:r>
        <w:rPr>
          <w:rFonts w:hint="eastAsia" w:ascii="仿宋_GB2312" w:hAnsi="仿宋_GB2312" w:eastAsia="仿宋_GB2312" w:cs="仿宋_GB2312"/>
          <w:sz w:val="32"/>
          <w:szCs w:val="32"/>
          <w:highlight w:val="none"/>
          <w:lang w:eastAsia="zh-CN"/>
        </w:rPr>
        <w:t>偏差原因：需进一步加强项目执行进度。</w:t>
      </w:r>
    </w:p>
    <w:p w14:paraId="1F07E5E8">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14:paraId="1FD38DDE">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指标1：资金使用合规率，指标值：=100%，实际完成值：100%，指标完成率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。偏差原因：需进一步加强项目执行进度。</w:t>
      </w:r>
    </w:p>
    <w:p w14:paraId="067C4553">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14:paraId="0AF7C6BE">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指标1：资金拨付及时率，</w:t>
      </w:r>
      <w:r>
        <w:rPr>
          <w:rFonts w:hint="eastAsia" w:ascii="仿宋_GB2312" w:hAnsi="仿宋_GB2312" w:eastAsia="仿宋_GB2312" w:cs="仿宋_GB2312"/>
          <w:sz w:val="32"/>
          <w:szCs w:val="32"/>
          <w:highlight w:val="none"/>
        </w:rPr>
        <w:t>指标值：=100%，实际完成值：100%，指标完成率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7D7C053B">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4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④</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成本指标：</w:t>
      </w:r>
    </w:p>
    <w:p w14:paraId="389CCC68">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指标1：产区品牌培育类项目，指标值：≤387万元，实际完成值：387万元，指标完成率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。偏差原因：需进一步加强项目执行进度。</w:t>
      </w:r>
    </w:p>
    <w:p w14:paraId="5076B951">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：产业集聚壮大类项目，指标值：≤583万元，实际完成值：583万元，指标完成率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。偏差原因：需进一步加强项目执行进度。</w:t>
      </w:r>
    </w:p>
    <w:p w14:paraId="61DEEBA7">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：贷款贴息类项目，指标值：≤157.9万元，实际完成值：157.9万元，指标完成率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。偏差原因：需进一步加强项目执行进度。</w:t>
      </w:r>
    </w:p>
    <w:p w14:paraId="056BB869">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：国内外赛事获奖项目，指标值：≤220万元，实际完成值：220万元，指标完成率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。偏差原因：需进一步加强项目执行进度。</w:t>
      </w:r>
    </w:p>
    <w:p w14:paraId="76D647B0">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：市场开拓推广类项目，指标值：≤595万元，实际完成值：595万元，指标完成率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。偏差原因：需进一步加强项目执行进度。</w:t>
      </w:r>
    </w:p>
    <w:p w14:paraId="5B153454">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：政府已批复项目，指标值：≤677.9万元，实际完成值：677.9万元，指标完成率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。偏差原因：需进一步加强项目执行进度。</w:t>
      </w:r>
    </w:p>
    <w:p w14:paraId="076E88AC">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rPr>
        <w:t>：专项人才培养类项目，指标值：≤286万元，实际完成值：286万元，指标完成率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。偏差原因：需进一步加强项目执行进度。</w:t>
      </w:r>
    </w:p>
    <w:p w14:paraId="272AC9A3">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rPr>
        <w:t>：自治区本级项目，指标值：≤100万元，实际完成值：100万元，指标完成率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。偏差原因：需进一步加强项目执行进度。</w:t>
      </w:r>
    </w:p>
    <w:p w14:paraId="1E37907B">
      <w:pPr>
        <w:pStyle w:val="12"/>
        <w:numPr>
          <w:ilvl w:val="0"/>
          <w:numId w:val="0"/>
        </w:numPr>
        <w:spacing w:line="560" w:lineRule="exact"/>
        <w:ind w:firstLine="643" w:firstLineChars="200"/>
        <w:rPr>
          <w:rFonts w:hint="eastAsia" w:ascii="Times New Roman" w:hAnsi="Times New Roman" w:eastAsia="楷体_GB2312" w:cs="Times New Roman"/>
          <w:b/>
          <w:bCs/>
          <w:sz w:val="32"/>
          <w:szCs w:val="32"/>
          <w:lang w:val="en-US" w:eastAsia="zh-CN"/>
        </w:rPr>
      </w:pPr>
      <w:r>
        <w:rPr>
          <w:rFonts w:hint="eastAsia" w:eastAsia="楷体_GB2312" w:cs="Times New Roman"/>
          <w:b/>
          <w:bCs/>
          <w:sz w:val="32"/>
          <w:szCs w:val="32"/>
          <w:lang w:val="en-US" w:eastAsia="zh-CN"/>
        </w:rPr>
        <w:t>（四）</w:t>
      </w:r>
      <w:r>
        <w:rPr>
          <w:rFonts w:hint="eastAsia" w:ascii="Times New Roman" w:hAnsi="Times New Roman" w:eastAsia="楷体_GB2312" w:cs="Times New Roman"/>
          <w:b/>
          <w:bCs/>
          <w:sz w:val="32"/>
          <w:szCs w:val="32"/>
          <w:lang w:val="en-US" w:eastAsia="zh-CN"/>
        </w:rPr>
        <w:t>项目效益情况</w:t>
      </w:r>
    </w:p>
    <w:p w14:paraId="07A0FB8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w:t>
      </w:r>
      <w:r>
        <w:rPr>
          <w:rFonts w:hint="eastAsia" w:ascii="仿宋_GB2312" w:hAnsi="仿宋_GB2312" w:eastAsia="仿宋_GB2312" w:cs="仿宋_GB2312"/>
          <w:sz w:val="32"/>
          <w:szCs w:val="32"/>
          <w:highlight w:val="none"/>
          <w:lang w:val="en-US" w:eastAsia="zh-CN"/>
        </w:rPr>
        <w:t>由5个三级指标构成，权重分为20分，实际得分20分，得分率为100%。具体效益指标及</w:t>
      </w:r>
      <w:r>
        <w:rPr>
          <w:rFonts w:hint="eastAsia" w:ascii="仿宋_GB2312" w:hAnsi="仿宋_GB2312" w:eastAsia="仿宋_GB2312" w:cs="仿宋_GB2312"/>
          <w:sz w:val="32"/>
          <w:szCs w:val="32"/>
          <w:lang w:val="en-US" w:eastAsia="zh-CN"/>
        </w:rPr>
        <w:t>满意度指标完成情况如下：</w:t>
      </w:r>
    </w:p>
    <w:p w14:paraId="2E87299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14:paraId="73B2B035">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经济效益指标：</w:t>
      </w:r>
    </w:p>
    <w:p w14:paraId="56B90166">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指标1：葡萄酒成品酒产量，指标值：≥0.7万千升，实际完成值：0.83万千升，指标完成率118.6%，</w:t>
      </w:r>
      <w:r>
        <w:rPr>
          <w:rFonts w:hint="eastAsia" w:ascii="仿宋_GB2312" w:hAnsi="仿宋_GB2312" w:eastAsia="仿宋_GB2312" w:cs="仿宋_GB2312"/>
          <w:sz w:val="32"/>
          <w:szCs w:val="32"/>
          <w:highlight w:val="none"/>
          <w:lang w:eastAsia="zh-CN"/>
        </w:rPr>
        <w:t>偏差原因：需进一步加强项目执行进度。</w:t>
      </w:r>
    </w:p>
    <w:p w14:paraId="1DB25401">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14:paraId="237F8375">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指标1：有效挖掘新疆葡萄酒产业发展潜力，规范市场经营行为，营造公平竞争营销环境，积极促进葡萄酒产业高质量发展水平，指标值：持续提升，实际完成值：持续提升，指标完成率100%，</w:t>
      </w:r>
      <w:r>
        <w:rPr>
          <w:rFonts w:hint="eastAsia" w:ascii="仿宋_GB2312" w:hAnsi="仿宋_GB2312" w:eastAsia="仿宋_GB2312" w:cs="仿宋_GB2312"/>
          <w:sz w:val="32"/>
          <w:szCs w:val="32"/>
          <w:highlight w:val="none"/>
          <w:lang w:eastAsia="zh-CN"/>
        </w:rPr>
        <w:t>偏差原因：需进一步加强项目执行进度。</w:t>
      </w:r>
    </w:p>
    <w:p w14:paraId="6DD05454">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指标2：提高我区葡萄酒企业在新技术研发创新、新产业发展、新模式应用等方面的水平，指标值：有效提升，实际完成值：有效提升，指标完成率100%，</w:t>
      </w:r>
      <w:r>
        <w:rPr>
          <w:rFonts w:hint="eastAsia" w:ascii="仿宋_GB2312" w:hAnsi="仿宋_GB2312" w:eastAsia="仿宋_GB2312" w:cs="仿宋_GB2312"/>
          <w:sz w:val="32"/>
          <w:szCs w:val="32"/>
          <w:highlight w:val="none"/>
          <w:lang w:eastAsia="zh-CN"/>
        </w:rPr>
        <w:t>偏差原因：需进一步加强项目执行进度。</w:t>
      </w:r>
    </w:p>
    <w:p w14:paraId="5AA4CAA0">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3：提升葡萄酒企业经营、技术、管理等人员素质，提高我区葡萄酒企业在新技术研发创新、新产业发展、新模式应用等方面的水平，为自治区葡萄酒产业高质量发展和企业转型升级提供人才支撑，指标值：有效提升，实际完成值：有效提升，指标完成率100%，</w:t>
      </w:r>
      <w:r>
        <w:rPr>
          <w:rFonts w:hint="eastAsia" w:ascii="仿宋_GB2312" w:hAnsi="仿宋_GB2312" w:eastAsia="仿宋_GB2312" w:cs="仿宋_GB2312"/>
          <w:sz w:val="32"/>
          <w:szCs w:val="32"/>
          <w:highlight w:val="none"/>
          <w:lang w:eastAsia="zh-CN"/>
        </w:rPr>
        <w:t>偏差原因：需进一步加强项目执行进度。</w:t>
      </w:r>
    </w:p>
    <w:p w14:paraId="19893CBB">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14:paraId="12E85CBB">
      <w:pPr>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满意度指标：被服务单位满意度，指标值：≥90%，实际完成值：100%，指标完成率110%，</w:t>
      </w:r>
      <w:r>
        <w:rPr>
          <w:rFonts w:hint="eastAsia" w:ascii="仿宋_GB2312" w:hAnsi="仿宋_GB2312" w:eastAsia="仿宋_GB2312" w:cs="仿宋_GB2312"/>
          <w:sz w:val="32"/>
          <w:szCs w:val="32"/>
          <w:highlight w:val="none"/>
          <w:lang w:eastAsia="zh-CN"/>
        </w:rPr>
        <w:t>偏差原因：需进一步加强项目执行进度。</w:t>
      </w:r>
    </w:p>
    <w:p w14:paraId="5A9BC150">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14:paraId="7244DCBB">
      <w:pPr>
        <w:pStyle w:val="19"/>
        <w:spacing w:line="560" w:lineRule="exact"/>
        <w:ind w:firstLine="640"/>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2023年自治区葡萄酒产业发展专项资金项目年初预算0万元，全年预算3006.8万元，实际支出2941.8万元，预算执行率为97.8%，项目绩效指标总体完成率为100%，</w:t>
      </w:r>
      <w:r>
        <w:rPr>
          <w:rFonts w:hint="eastAsia" w:ascii="仿宋_GB2312" w:hAnsi="仿宋_GB2312" w:eastAsia="仿宋_GB2312" w:cs="仿宋_GB2312"/>
          <w:kern w:val="2"/>
          <w:sz w:val="32"/>
          <w:szCs w:val="32"/>
          <w:highlight w:val="none"/>
          <w:lang w:val="en-US" w:eastAsia="zh-Hans" w:bidi="ar-SA"/>
        </w:rPr>
        <w:t>总体</w:t>
      </w:r>
      <w:r>
        <w:rPr>
          <w:rFonts w:hint="eastAsia" w:ascii="仿宋_GB2312" w:hAnsi="仿宋_GB2312" w:eastAsia="仿宋_GB2312" w:cs="仿宋_GB2312"/>
          <w:kern w:val="2"/>
          <w:sz w:val="32"/>
          <w:szCs w:val="32"/>
          <w:highlight w:val="none"/>
          <w:lang w:val="en-US" w:eastAsia="zh-CN" w:bidi="ar-SA"/>
        </w:rPr>
        <w:t>偏差率为2.2%,</w:t>
      </w:r>
      <w:r>
        <w:rPr>
          <w:rFonts w:hint="eastAsia" w:ascii="仿宋_GB2312" w:hAnsi="仿宋_GB2312" w:eastAsia="仿宋_GB2312" w:cs="仿宋_GB2312"/>
          <w:kern w:val="2"/>
          <w:sz w:val="32"/>
          <w:szCs w:val="32"/>
          <w:highlight w:val="none"/>
          <w:lang w:val="en-US" w:eastAsia="zh-Hans" w:bidi="ar-SA"/>
        </w:rPr>
        <w:t>偏差</w:t>
      </w:r>
      <w:r>
        <w:rPr>
          <w:rFonts w:hint="eastAsia" w:ascii="仿宋_GB2312" w:hAnsi="仿宋_GB2312" w:eastAsia="仿宋_GB2312" w:cs="仿宋_GB2312"/>
          <w:kern w:val="2"/>
          <w:sz w:val="32"/>
          <w:szCs w:val="32"/>
          <w:highlight w:val="none"/>
          <w:lang w:val="en-US" w:eastAsia="zh-CN" w:bidi="ar-SA"/>
        </w:rPr>
        <w:t>原因：需进一步加强项目执行进度，</w:t>
      </w:r>
      <w:r>
        <w:rPr>
          <w:rFonts w:hint="eastAsia" w:ascii="仿宋_GB2312" w:hAnsi="仿宋_GB2312" w:eastAsia="仿宋_GB2312" w:cs="仿宋_GB2312"/>
          <w:kern w:val="2"/>
          <w:sz w:val="32"/>
          <w:szCs w:val="32"/>
          <w:highlight w:val="none"/>
          <w:lang w:val="en-US" w:eastAsia="zh-Hans" w:bidi="ar-SA"/>
        </w:rPr>
        <w:t>改进</w:t>
      </w:r>
      <w:r>
        <w:rPr>
          <w:rFonts w:hint="eastAsia" w:ascii="仿宋_GB2312" w:hAnsi="仿宋_GB2312" w:eastAsia="仿宋_GB2312" w:cs="仿宋_GB2312"/>
          <w:kern w:val="2"/>
          <w:sz w:val="32"/>
          <w:szCs w:val="32"/>
          <w:highlight w:val="none"/>
          <w:lang w:val="en-US" w:eastAsia="zh-CN" w:bidi="ar-SA"/>
        </w:rPr>
        <w:t>措施：加强项目执行进度。</w:t>
      </w:r>
    </w:p>
    <w:p w14:paraId="46102201">
      <w:pPr>
        <w:spacing w:line="560" w:lineRule="exact"/>
        <w:ind w:firstLine="640" w:firstLineChars="200"/>
        <w:rPr>
          <w:rStyle w:val="18"/>
          <w:rFonts w:ascii="Times New Roman" w:hAnsi="Times New Roman" w:cs="Times New Roman"/>
          <w:color w:val="auto"/>
        </w:rPr>
      </w:pPr>
      <w:r>
        <w:rPr>
          <w:rFonts w:hint="eastAsia" w:eastAsia="黑体"/>
          <w:sz w:val="32"/>
          <w:szCs w:val="32"/>
          <w:lang w:eastAsia="zh-Hans"/>
        </w:rPr>
        <w:t>六</w:t>
      </w:r>
      <w:r>
        <w:rPr>
          <w:rFonts w:eastAsia="黑体"/>
          <w:sz w:val="32"/>
          <w:szCs w:val="32"/>
        </w:rPr>
        <w:t>、主要经验及做法、存在的问题及原因分析</w:t>
      </w:r>
    </w:p>
    <w:p w14:paraId="3FE5950A">
      <w:pPr>
        <w:spacing w:line="560" w:lineRule="exact"/>
        <w:ind w:firstLine="627" w:firstLineChars="200"/>
        <w:rPr>
          <w:rFonts w:eastAsia="楷体"/>
          <w:b/>
          <w:spacing w:val="-4"/>
          <w:sz w:val="32"/>
          <w:szCs w:val="32"/>
        </w:rPr>
      </w:pPr>
      <w:r>
        <w:rPr>
          <w:rFonts w:eastAsia="楷体"/>
          <w:b/>
          <w:spacing w:val="-4"/>
          <w:sz w:val="32"/>
          <w:szCs w:val="32"/>
        </w:rPr>
        <w:t>（一）主要经验及做法</w:t>
      </w:r>
    </w:p>
    <w:p w14:paraId="30CB24DD">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6A711DD6">
      <w:pPr>
        <w:pStyle w:val="10"/>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w:t>
      </w:r>
      <w:r>
        <w:rPr>
          <w:rFonts w:hint="eastAsia" w:ascii="Times New Roman" w:hAnsi="Times New Roman" w:eastAsia="仿宋_GB2312"/>
          <w:b w:val="0"/>
          <w:bCs w:val="0"/>
          <w:kern w:val="2"/>
          <w:lang w:eastAsia="zh-CN"/>
        </w:rPr>
        <w:t>确定的资金分配</w:t>
      </w:r>
      <w:r>
        <w:rPr>
          <w:rFonts w:ascii="Times New Roman" w:hAnsi="Times New Roman" w:eastAsia="仿宋_GB2312"/>
          <w:b w:val="0"/>
          <w:bCs w:val="0"/>
          <w:kern w:val="2"/>
        </w:rPr>
        <w:t>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8B5DE08">
      <w:pPr>
        <w:keepNext/>
        <w:keepLines/>
        <w:numPr>
          <w:ilvl w:val="0"/>
          <w:numId w:val="6"/>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23F3860A">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6F2D8A70">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14:paraId="6BE32700">
      <w:pPr>
        <w:spacing w:line="560" w:lineRule="exact"/>
        <w:ind w:firstLine="640" w:firstLineChars="200"/>
        <w:rPr>
          <w:rFonts w:eastAsia="黑体"/>
          <w:sz w:val="32"/>
          <w:szCs w:val="32"/>
        </w:rPr>
      </w:pPr>
      <w:r>
        <w:rPr>
          <w:rFonts w:hint="eastAsia" w:eastAsia="黑体"/>
          <w:sz w:val="32"/>
          <w:szCs w:val="32"/>
          <w:lang w:eastAsia="zh-Hans"/>
        </w:rPr>
        <w:t>七、</w:t>
      </w:r>
      <w:r>
        <w:rPr>
          <w:rFonts w:eastAsia="黑体"/>
          <w:sz w:val="32"/>
          <w:szCs w:val="32"/>
        </w:rPr>
        <w:t>有关建议</w:t>
      </w:r>
    </w:p>
    <w:p w14:paraId="00B81E8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14:paraId="35AF468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14:paraId="2BC19549">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748F4560">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14:paraId="27A4CD7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14:paraId="37F18BF7">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w:t>
      </w:r>
      <w:bookmarkStart w:id="6" w:name="page8"/>
      <w:bookmarkEnd w:id="6"/>
      <w:r>
        <w:rPr>
          <w:rFonts w:eastAsia="黑体"/>
          <w:sz w:val="32"/>
          <w:szCs w:val="32"/>
        </w:rPr>
        <w:t>明的问题</w:t>
      </w:r>
    </w:p>
    <w:p w14:paraId="570C9A1C">
      <w:pPr>
        <w:pStyle w:val="13"/>
        <w:spacing w:after="0" w:line="560" w:lineRule="exact"/>
        <w:ind w:left="0" w:leftChars="0" w:firstLine="640"/>
        <w:rPr>
          <w:rFonts w:hint="eastAsia" w:ascii="黑体" w:hAnsi="黑体" w:eastAsia="黑体" w:cs="黑体"/>
          <w:bCs/>
          <w:sz w:val="32"/>
          <w:szCs w:val="32"/>
        </w:rPr>
      </w:pPr>
      <w:r>
        <w:rPr>
          <w:rFonts w:hint="eastAsia" w:ascii="仿宋_GB2312" w:hAnsi="仿宋_GB2312" w:eastAsia="仿宋_GB2312" w:cs="仿宋_GB2312"/>
          <w:sz w:val="32"/>
          <w:szCs w:val="32"/>
          <w:lang w:eastAsia="zh-Hans"/>
        </w:rPr>
        <w:t>本项目无其他需说明的问题。</w:t>
      </w:r>
      <w:bookmarkStart w:id="9" w:name="_GoBack"/>
      <w:bookmarkEnd w:id="9"/>
    </w:p>
    <w:p w14:paraId="3D4AF6F3">
      <w:pPr>
        <w:spacing w:line="600" w:lineRule="exact"/>
        <w:rPr>
          <w:rFonts w:hint="eastAsia" w:ascii="黑体" w:hAnsi="黑体" w:eastAsia="黑体" w:cs="黑体"/>
          <w:bCs/>
          <w:sz w:val="32"/>
          <w:szCs w:val="32"/>
        </w:rPr>
      </w:pPr>
    </w:p>
    <w:p w14:paraId="716A3224">
      <w:pPr>
        <w:spacing w:line="600" w:lineRule="exact"/>
        <w:rPr>
          <w:rFonts w:hint="eastAsia" w:ascii="黑体" w:hAnsi="黑体" w:eastAsia="黑体" w:cs="黑体"/>
        </w:rPr>
      </w:pPr>
      <w:r>
        <w:rPr>
          <w:rFonts w:hint="eastAsia" w:ascii="黑体" w:hAnsi="黑体" w:eastAsia="黑体" w:cs="黑体"/>
          <w:bCs/>
          <w:sz w:val="32"/>
          <w:szCs w:val="32"/>
        </w:rPr>
        <w:t>附件1</w:t>
      </w:r>
    </w:p>
    <w:p w14:paraId="0A65DAA7">
      <w:pPr>
        <w:pStyle w:val="19"/>
        <w:ind w:firstLine="562"/>
        <w:jc w:val="center"/>
        <w:rPr>
          <w:sz w:val="28"/>
          <w:szCs w:val="40"/>
        </w:rPr>
      </w:pPr>
      <w:bookmarkStart w:id="7" w:name="_Toc30064_WPSOffice_Level1"/>
      <w:bookmarkStart w:id="8" w:name="_Toc26499_WPSOffice_Level2"/>
      <w:r>
        <w:rPr>
          <w:rFonts w:hint="eastAsia"/>
          <w:b/>
          <w:bCs/>
          <w:sz w:val="28"/>
          <w:szCs w:val="40"/>
          <w:highlight w:val="none"/>
        </w:rPr>
        <w:t>2023年自治区葡萄酒产业发展专项资金项目</w:t>
      </w:r>
      <w:r>
        <w:rPr>
          <w:rFonts w:hint="eastAsia"/>
          <w:b/>
          <w:bCs/>
          <w:sz w:val="28"/>
          <w:szCs w:val="40"/>
        </w:rPr>
        <w:t>绩效评价指标体系及综合评分表</w:t>
      </w:r>
      <w:bookmarkEnd w:id="7"/>
      <w:bookmarkEnd w:id="8"/>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514"/>
        <w:gridCol w:w="472"/>
        <w:gridCol w:w="540"/>
        <w:gridCol w:w="1455"/>
        <w:gridCol w:w="3214"/>
        <w:gridCol w:w="804"/>
        <w:gridCol w:w="843"/>
      </w:tblGrid>
      <w:tr w14:paraId="1B21F8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28" w:type="pct"/>
            <w:shd w:val="clear" w:color="auto" w:fill="FFFFFF"/>
            <w:vAlign w:val="center"/>
          </w:tcPr>
          <w:p w14:paraId="54184F37">
            <w:pPr>
              <w:widowControl/>
              <w:spacing w:line="0" w:lineRule="atLeast"/>
              <w:jc w:val="center"/>
              <w:rPr>
                <w:b/>
                <w:bCs/>
                <w:color w:val="000000"/>
                <w:kern w:val="0"/>
                <w:sz w:val="22"/>
                <w:szCs w:val="22"/>
              </w:rPr>
            </w:pPr>
            <w:r>
              <w:rPr>
                <w:b/>
                <w:bCs/>
                <w:color w:val="000000"/>
                <w:kern w:val="0"/>
                <w:sz w:val="22"/>
                <w:szCs w:val="22"/>
              </w:rPr>
              <w:t>一级指标</w:t>
            </w:r>
          </w:p>
        </w:tc>
        <w:tc>
          <w:tcPr>
            <w:tcW w:w="301" w:type="pct"/>
            <w:shd w:val="clear" w:color="auto" w:fill="FFFFFF"/>
            <w:vAlign w:val="center"/>
          </w:tcPr>
          <w:p w14:paraId="05997CCA">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14:paraId="14CC5C21">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14:paraId="28430138">
            <w:pPr>
              <w:widowControl/>
              <w:spacing w:line="0" w:lineRule="atLeast"/>
              <w:jc w:val="center"/>
              <w:rPr>
                <w:b/>
                <w:bCs/>
                <w:color w:val="000000"/>
                <w:kern w:val="0"/>
                <w:sz w:val="22"/>
                <w:szCs w:val="22"/>
              </w:rPr>
            </w:pPr>
            <w:r>
              <w:rPr>
                <w:b/>
                <w:bCs/>
                <w:color w:val="000000"/>
                <w:kern w:val="0"/>
                <w:sz w:val="22"/>
                <w:szCs w:val="22"/>
              </w:rPr>
              <w:t>指标解释</w:t>
            </w:r>
          </w:p>
        </w:tc>
        <w:tc>
          <w:tcPr>
            <w:tcW w:w="2048" w:type="pct"/>
            <w:shd w:val="clear" w:color="auto" w:fill="FFFFFF"/>
            <w:vAlign w:val="center"/>
          </w:tcPr>
          <w:p w14:paraId="570027D1">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14:paraId="27A7F7A4">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14:paraId="301A1962">
            <w:pPr>
              <w:widowControl/>
              <w:spacing w:line="0" w:lineRule="atLeast"/>
              <w:jc w:val="center"/>
              <w:rPr>
                <w:b/>
                <w:bCs/>
                <w:color w:val="000000"/>
                <w:kern w:val="0"/>
                <w:sz w:val="22"/>
                <w:szCs w:val="22"/>
              </w:rPr>
            </w:pPr>
            <w:r>
              <w:rPr>
                <w:b/>
                <w:bCs/>
                <w:color w:val="000000"/>
                <w:kern w:val="0"/>
                <w:sz w:val="22"/>
                <w:szCs w:val="22"/>
              </w:rPr>
              <w:t>得分</w:t>
            </w:r>
          </w:p>
        </w:tc>
      </w:tr>
      <w:tr w14:paraId="21C1E6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28" w:type="pct"/>
            <w:vMerge w:val="restart"/>
            <w:shd w:val="clear" w:color="auto" w:fill="FFFFFF"/>
            <w:vAlign w:val="center"/>
          </w:tcPr>
          <w:p w14:paraId="5CE71624">
            <w:pPr>
              <w:widowControl/>
              <w:spacing w:line="0" w:lineRule="atLeast"/>
              <w:jc w:val="center"/>
              <w:rPr>
                <w:color w:val="000000"/>
                <w:kern w:val="0"/>
                <w:sz w:val="22"/>
                <w:szCs w:val="22"/>
                <w:highlight w:val="none"/>
              </w:rPr>
            </w:pPr>
          </w:p>
          <w:p w14:paraId="74C0B2DE">
            <w:pPr>
              <w:widowControl/>
              <w:spacing w:line="0" w:lineRule="atLeast"/>
              <w:jc w:val="center"/>
              <w:rPr>
                <w:color w:val="000000"/>
                <w:kern w:val="0"/>
                <w:sz w:val="22"/>
                <w:szCs w:val="22"/>
                <w:highlight w:val="none"/>
              </w:rPr>
            </w:pPr>
          </w:p>
          <w:p w14:paraId="5FB95A92">
            <w:pPr>
              <w:widowControl/>
              <w:spacing w:line="0" w:lineRule="atLeast"/>
              <w:jc w:val="center"/>
              <w:rPr>
                <w:color w:val="000000"/>
                <w:kern w:val="0"/>
                <w:sz w:val="22"/>
                <w:szCs w:val="22"/>
                <w:highlight w:val="none"/>
              </w:rPr>
            </w:pPr>
          </w:p>
          <w:p w14:paraId="368ACFC9">
            <w:pPr>
              <w:widowControl/>
              <w:spacing w:line="0" w:lineRule="atLeast"/>
              <w:jc w:val="center"/>
              <w:rPr>
                <w:color w:val="000000"/>
                <w:kern w:val="0"/>
                <w:sz w:val="22"/>
                <w:szCs w:val="22"/>
                <w:highlight w:val="none"/>
              </w:rPr>
            </w:pPr>
          </w:p>
          <w:p w14:paraId="1EB88BBC">
            <w:pPr>
              <w:widowControl/>
              <w:spacing w:line="0" w:lineRule="atLeast"/>
              <w:jc w:val="center"/>
              <w:rPr>
                <w:color w:val="000000"/>
                <w:kern w:val="0"/>
                <w:sz w:val="22"/>
                <w:szCs w:val="22"/>
                <w:highlight w:val="none"/>
              </w:rPr>
            </w:pPr>
          </w:p>
          <w:p w14:paraId="2F36D4F1">
            <w:pPr>
              <w:widowControl/>
              <w:spacing w:line="0" w:lineRule="atLeast"/>
              <w:jc w:val="center"/>
              <w:rPr>
                <w:color w:val="000000"/>
                <w:kern w:val="0"/>
                <w:sz w:val="22"/>
                <w:szCs w:val="22"/>
                <w:highlight w:val="none"/>
              </w:rPr>
            </w:pPr>
          </w:p>
          <w:p w14:paraId="4530736E">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301" w:type="pct"/>
            <w:vMerge w:val="restart"/>
            <w:shd w:val="clear" w:color="auto" w:fill="FFFFFF"/>
            <w:vAlign w:val="center"/>
          </w:tcPr>
          <w:p w14:paraId="2C0C869E">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344" w:type="pct"/>
            <w:shd w:val="clear" w:color="auto" w:fill="FFFFFF"/>
            <w:vAlign w:val="center"/>
          </w:tcPr>
          <w:p w14:paraId="4D18CF1F">
            <w:pPr>
              <w:widowControl/>
              <w:spacing w:line="0" w:lineRule="atLeast"/>
              <w:jc w:val="center"/>
              <w:rPr>
                <w:color w:val="000000"/>
                <w:kern w:val="0"/>
                <w:sz w:val="22"/>
                <w:szCs w:val="22"/>
                <w:highlight w:val="none"/>
              </w:rPr>
            </w:pPr>
            <w:r>
              <w:rPr>
                <w:color w:val="000000"/>
                <w:kern w:val="0"/>
                <w:sz w:val="22"/>
                <w:szCs w:val="22"/>
                <w:highlight w:val="none"/>
              </w:rPr>
              <w:t>立项依据</w:t>
            </w:r>
          </w:p>
          <w:p w14:paraId="19836A21">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927" w:type="pct"/>
            <w:shd w:val="clear" w:color="auto" w:fill="FFFFFF"/>
            <w:vAlign w:val="center"/>
          </w:tcPr>
          <w:p w14:paraId="3AD806D5">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2048" w:type="pct"/>
            <w:shd w:val="clear" w:color="auto" w:fill="FFFFFF"/>
            <w:vAlign w:val="center"/>
          </w:tcPr>
          <w:p w14:paraId="1B72ABF3">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512" w:type="pct"/>
            <w:shd w:val="clear" w:color="auto" w:fill="FFFFFF"/>
            <w:vAlign w:val="center"/>
          </w:tcPr>
          <w:p w14:paraId="71E9987D">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537" w:type="pct"/>
            <w:shd w:val="clear" w:color="auto" w:fill="FFFFFF"/>
            <w:vAlign w:val="center"/>
          </w:tcPr>
          <w:p w14:paraId="60A6D579">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6EDB57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8" w:type="pct"/>
            <w:vMerge w:val="continue"/>
            <w:shd w:val="clear" w:color="auto" w:fill="FFFFFF"/>
            <w:vAlign w:val="center"/>
          </w:tcPr>
          <w:p w14:paraId="04CD3E65">
            <w:pPr>
              <w:spacing w:line="0" w:lineRule="atLeast"/>
              <w:jc w:val="center"/>
              <w:rPr>
                <w:color w:val="000000"/>
                <w:kern w:val="0"/>
                <w:sz w:val="22"/>
                <w:szCs w:val="22"/>
                <w:highlight w:val="none"/>
              </w:rPr>
            </w:pPr>
          </w:p>
        </w:tc>
        <w:tc>
          <w:tcPr>
            <w:tcW w:w="301" w:type="pct"/>
            <w:vMerge w:val="continue"/>
            <w:shd w:val="clear" w:color="auto" w:fill="FFFFFF"/>
            <w:vAlign w:val="center"/>
          </w:tcPr>
          <w:p w14:paraId="6B05D999">
            <w:pPr>
              <w:widowControl/>
              <w:spacing w:line="0" w:lineRule="atLeast"/>
              <w:jc w:val="center"/>
              <w:rPr>
                <w:color w:val="000000"/>
                <w:kern w:val="0"/>
                <w:sz w:val="22"/>
                <w:szCs w:val="22"/>
                <w:highlight w:val="none"/>
              </w:rPr>
            </w:pPr>
          </w:p>
        </w:tc>
        <w:tc>
          <w:tcPr>
            <w:tcW w:w="344" w:type="pct"/>
            <w:shd w:val="clear" w:color="auto" w:fill="FFFFFF"/>
            <w:vAlign w:val="center"/>
          </w:tcPr>
          <w:p w14:paraId="31F4E13A">
            <w:pPr>
              <w:widowControl/>
              <w:spacing w:line="0" w:lineRule="atLeast"/>
              <w:jc w:val="center"/>
              <w:rPr>
                <w:color w:val="000000"/>
                <w:kern w:val="0"/>
                <w:sz w:val="22"/>
                <w:szCs w:val="22"/>
                <w:highlight w:val="none"/>
              </w:rPr>
            </w:pPr>
            <w:r>
              <w:rPr>
                <w:color w:val="000000"/>
                <w:kern w:val="0"/>
                <w:sz w:val="22"/>
                <w:szCs w:val="22"/>
                <w:highlight w:val="none"/>
              </w:rPr>
              <w:t>立项程序</w:t>
            </w:r>
          </w:p>
          <w:p w14:paraId="4C6265AC">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927" w:type="pct"/>
            <w:shd w:val="clear" w:color="auto" w:fill="FFFFFF"/>
            <w:vAlign w:val="center"/>
          </w:tcPr>
          <w:p w14:paraId="1CE035B5">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2048" w:type="pct"/>
            <w:shd w:val="clear" w:color="auto" w:fill="FFFFFF"/>
            <w:vAlign w:val="center"/>
          </w:tcPr>
          <w:p w14:paraId="65474F75">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512" w:type="pct"/>
            <w:shd w:val="clear" w:color="auto" w:fill="FFFFFF"/>
            <w:vAlign w:val="center"/>
          </w:tcPr>
          <w:p w14:paraId="0643A0FB">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537" w:type="pct"/>
            <w:shd w:val="clear" w:color="auto" w:fill="FFFFFF"/>
            <w:vAlign w:val="center"/>
          </w:tcPr>
          <w:p w14:paraId="2D27C908">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022459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8" w:type="pct"/>
            <w:vMerge w:val="continue"/>
            <w:shd w:val="clear" w:color="auto" w:fill="FFFFFF"/>
            <w:vAlign w:val="center"/>
          </w:tcPr>
          <w:p w14:paraId="43C5AB3D">
            <w:pPr>
              <w:spacing w:line="0" w:lineRule="atLeast"/>
              <w:jc w:val="center"/>
              <w:rPr>
                <w:color w:val="000000"/>
                <w:kern w:val="0"/>
                <w:sz w:val="22"/>
                <w:szCs w:val="22"/>
                <w:highlight w:val="none"/>
              </w:rPr>
            </w:pPr>
          </w:p>
        </w:tc>
        <w:tc>
          <w:tcPr>
            <w:tcW w:w="301" w:type="pct"/>
            <w:vMerge w:val="restart"/>
            <w:shd w:val="clear" w:color="auto" w:fill="FFFFFF"/>
            <w:vAlign w:val="center"/>
          </w:tcPr>
          <w:p w14:paraId="6879D2A5">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344" w:type="pct"/>
            <w:shd w:val="clear" w:color="auto" w:fill="FFFFFF"/>
            <w:vAlign w:val="center"/>
          </w:tcPr>
          <w:p w14:paraId="299625CC">
            <w:pPr>
              <w:widowControl/>
              <w:spacing w:line="0" w:lineRule="atLeast"/>
              <w:jc w:val="center"/>
              <w:rPr>
                <w:color w:val="000000"/>
                <w:kern w:val="0"/>
                <w:sz w:val="22"/>
                <w:szCs w:val="22"/>
                <w:highlight w:val="none"/>
              </w:rPr>
            </w:pPr>
            <w:r>
              <w:rPr>
                <w:color w:val="000000"/>
                <w:kern w:val="0"/>
                <w:sz w:val="22"/>
                <w:szCs w:val="22"/>
                <w:highlight w:val="none"/>
              </w:rPr>
              <w:t>绩效目标</w:t>
            </w:r>
          </w:p>
          <w:p w14:paraId="057D6E04">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000000" w:fill="FFFFFF"/>
            <w:vAlign w:val="center"/>
          </w:tcPr>
          <w:p w14:paraId="0CA6DD9F">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2048" w:type="pct"/>
            <w:shd w:val="clear" w:color="000000" w:fill="FFFFFF"/>
            <w:vAlign w:val="center"/>
          </w:tcPr>
          <w:p w14:paraId="54A1034D">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14:paraId="0AE2368B">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512" w:type="pct"/>
            <w:shd w:val="clear" w:color="000000" w:fill="FFFFFF"/>
            <w:vAlign w:val="center"/>
          </w:tcPr>
          <w:p w14:paraId="45C5F634">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537" w:type="pct"/>
            <w:shd w:val="clear" w:color="000000" w:fill="FFFFFF"/>
            <w:vAlign w:val="center"/>
          </w:tcPr>
          <w:p w14:paraId="59EA76A7">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6264A5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28" w:type="pct"/>
            <w:vMerge w:val="continue"/>
            <w:shd w:val="clear" w:color="auto" w:fill="FFFFFF"/>
            <w:vAlign w:val="center"/>
          </w:tcPr>
          <w:p w14:paraId="0E3648C1">
            <w:pPr>
              <w:widowControl/>
              <w:spacing w:line="0" w:lineRule="atLeast"/>
              <w:jc w:val="center"/>
              <w:rPr>
                <w:color w:val="000000"/>
                <w:kern w:val="0"/>
                <w:sz w:val="22"/>
                <w:szCs w:val="22"/>
                <w:highlight w:val="none"/>
              </w:rPr>
            </w:pPr>
          </w:p>
        </w:tc>
        <w:tc>
          <w:tcPr>
            <w:tcW w:w="301" w:type="pct"/>
            <w:vMerge w:val="continue"/>
            <w:shd w:val="clear" w:color="auto" w:fill="FFFFFF"/>
            <w:vAlign w:val="center"/>
          </w:tcPr>
          <w:p w14:paraId="0A6D4C69">
            <w:pPr>
              <w:widowControl/>
              <w:spacing w:line="0" w:lineRule="atLeast"/>
              <w:jc w:val="center"/>
              <w:rPr>
                <w:color w:val="000000"/>
                <w:kern w:val="0"/>
                <w:sz w:val="22"/>
                <w:szCs w:val="22"/>
                <w:highlight w:val="none"/>
              </w:rPr>
            </w:pPr>
          </w:p>
        </w:tc>
        <w:tc>
          <w:tcPr>
            <w:tcW w:w="344" w:type="pct"/>
            <w:shd w:val="clear" w:color="auto" w:fill="FFFFFF"/>
            <w:vAlign w:val="center"/>
          </w:tcPr>
          <w:p w14:paraId="09EF6A18">
            <w:pPr>
              <w:widowControl/>
              <w:spacing w:line="0" w:lineRule="atLeast"/>
              <w:jc w:val="center"/>
              <w:rPr>
                <w:color w:val="000000"/>
                <w:kern w:val="0"/>
                <w:sz w:val="22"/>
                <w:szCs w:val="22"/>
                <w:highlight w:val="none"/>
              </w:rPr>
            </w:pPr>
            <w:r>
              <w:rPr>
                <w:color w:val="000000"/>
                <w:kern w:val="0"/>
                <w:sz w:val="22"/>
                <w:szCs w:val="22"/>
                <w:highlight w:val="none"/>
              </w:rPr>
              <w:t>绩效指标</w:t>
            </w:r>
          </w:p>
          <w:p w14:paraId="09420EF8">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927" w:type="pct"/>
            <w:shd w:val="clear" w:color="000000" w:fill="FFFFFF"/>
            <w:vAlign w:val="center"/>
          </w:tcPr>
          <w:p w14:paraId="4BED4FB1">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2048" w:type="pct"/>
            <w:shd w:val="clear" w:color="000000" w:fill="FFFFFF"/>
            <w:vAlign w:val="center"/>
          </w:tcPr>
          <w:p w14:paraId="09A4F286">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512" w:type="pct"/>
            <w:shd w:val="clear" w:color="000000" w:fill="FFFFFF"/>
            <w:vAlign w:val="center"/>
          </w:tcPr>
          <w:p w14:paraId="1ED98B24">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537" w:type="pct"/>
            <w:shd w:val="clear" w:color="000000" w:fill="FFFFFF"/>
            <w:vAlign w:val="center"/>
          </w:tcPr>
          <w:p w14:paraId="0A4C790B">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4D495F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28" w:type="pct"/>
            <w:vMerge w:val="continue"/>
            <w:shd w:val="clear" w:color="auto" w:fill="FFFFFF"/>
            <w:vAlign w:val="center"/>
          </w:tcPr>
          <w:p w14:paraId="0D627360">
            <w:pPr>
              <w:spacing w:line="0" w:lineRule="atLeast"/>
              <w:jc w:val="center"/>
              <w:rPr>
                <w:color w:val="000000"/>
                <w:kern w:val="0"/>
                <w:sz w:val="22"/>
                <w:szCs w:val="22"/>
                <w:highlight w:val="none"/>
              </w:rPr>
            </w:pPr>
          </w:p>
        </w:tc>
        <w:tc>
          <w:tcPr>
            <w:tcW w:w="301" w:type="pct"/>
            <w:vMerge w:val="restart"/>
            <w:shd w:val="clear" w:color="auto" w:fill="FFFFFF"/>
            <w:vAlign w:val="center"/>
          </w:tcPr>
          <w:p w14:paraId="35262DBB">
            <w:pPr>
              <w:widowControl/>
              <w:spacing w:line="0" w:lineRule="atLeast"/>
              <w:jc w:val="center"/>
              <w:rPr>
                <w:color w:val="000000"/>
                <w:kern w:val="0"/>
                <w:sz w:val="22"/>
                <w:szCs w:val="22"/>
                <w:highlight w:val="none"/>
              </w:rPr>
            </w:pPr>
            <w:r>
              <w:rPr>
                <w:color w:val="000000"/>
                <w:kern w:val="0"/>
                <w:sz w:val="22"/>
                <w:szCs w:val="22"/>
                <w:highlight w:val="none"/>
              </w:rPr>
              <w:t>资金投入</w:t>
            </w:r>
          </w:p>
          <w:p w14:paraId="6FB0763C">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14:paraId="105B34FF">
            <w:pPr>
              <w:widowControl/>
              <w:spacing w:line="0" w:lineRule="atLeast"/>
              <w:jc w:val="center"/>
              <w:rPr>
                <w:color w:val="000000"/>
                <w:kern w:val="0"/>
                <w:sz w:val="22"/>
                <w:szCs w:val="22"/>
                <w:highlight w:val="none"/>
              </w:rPr>
            </w:pPr>
            <w:r>
              <w:rPr>
                <w:color w:val="000000"/>
                <w:kern w:val="0"/>
                <w:sz w:val="22"/>
                <w:szCs w:val="22"/>
                <w:highlight w:val="none"/>
              </w:rPr>
              <w:t>预算编制</w:t>
            </w:r>
          </w:p>
          <w:p w14:paraId="22A29A70">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927" w:type="pct"/>
            <w:shd w:val="clear" w:color="auto" w:fill="FFFFFF"/>
            <w:vAlign w:val="center"/>
          </w:tcPr>
          <w:p w14:paraId="5603B396">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2048" w:type="pct"/>
            <w:shd w:val="clear" w:color="auto" w:fill="FFFFFF"/>
            <w:vAlign w:val="center"/>
          </w:tcPr>
          <w:p w14:paraId="3E020120">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512" w:type="pct"/>
            <w:shd w:val="clear" w:color="auto" w:fill="FFFFFF"/>
            <w:vAlign w:val="center"/>
          </w:tcPr>
          <w:p w14:paraId="2EAA872B">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auto" w:fill="FFFFFF"/>
            <w:vAlign w:val="center"/>
          </w:tcPr>
          <w:p w14:paraId="31E3D5DA">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6141E7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28" w:type="pct"/>
            <w:vMerge w:val="continue"/>
            <w:shd w:val="clear" w:color="auto" w:fill="FFFFFF"/>
            <w:vAlign w:val="center"/>
          </w:tcPr>
          <w:p w14:paraId="6553DD10">
            <w:pPr>
              <w:widowControl/>
              <w:spacing w:line="0" w:lineRule="atLeast"/>
              <w:jc w:val="center"/>
              <w:rPr>
                <w:color w:val="000000"/>
                <w:kern w:val="0"/>
                <w:sz w:val="22"/>
                <w:szCs w:val="22"/>
                <w:highlight w:val="none"/>
              </w:rPr>
            </w:pPr>
          </w:p>
        </w:tc>
        <w:tc>
          <w:tcPr>
            <w:tcW w:w="301" w:type="pct"/>
            <w:vMerge w:val="continue"/>
            <w:shd w:val="clear" w:color="auto" w:fill="FFFFFF"/>
            <w:vAlign w:val="center"/>
          </w:tcPr>
          <w:p w14:paraId="2AA4EF7A">
            <w:pPr>
              <w:widowControl/>
              <w:spacing w:line="0" w:lineRule="atLeast"/>
              <w:jc w:val="center"/>
              <w:rPr>
                <w:color w:val="000000"/>
                <w:kern w:val="0"/>
                <w:sz w:val="22"/>
                <w:szCs w:val="22"/>
                <w:highlight w:val="none"/>
              </w:rPr>
            </w:pPr>
          </w:p>
        </w:tc>
        <w:tc>
          <w:tcPr>
            <w:tcW w:w="344" w:type="pct"/>
            <w:shd w:val="clear" w:color="auto" w:fill="FFFFFF"/>
            <w:vAlign w:val="center"/>
          </w:tcPr>
          <w:p w14:paraId="54A20602">
            <w:pPr>
              <w:widowControl/>
              <w:spacing w:line="0" w:lineRule="atLeast"/>
              <w:jc w:val="center"/>
              <w:rPr>
                <w:color w:val="000000"/>
                <w:kern w:val="0"/>
                <w:sz w:val="22"/>
                <w:szCs w:val="22"/>
                <w:highlight w:val="none"/>
              </w:rPr>
            </w:pPr>
            <w:r>
              <w:rPr>
                <w:color w:val="000000"/>
                <w:kern w:val="0"/>
                <w:sz w:val="22"/>
                <w:szCs w:val="22"/>
                <w:highlight w:val="none"/>
              </w:rPr>
              <w:t>资金分配</w:t>
            </w:r>
          </w:p>
          <w:p w14:paraId="0DA913F9">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auto" w:fill="FFFFFF"/>
            <w:vAlign w:val="center"/>
          </w:tcPr>
          <w:p w14:paraId="44684F04">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2048" w:type="pct"/>
            <w:shd w:val="clear" w:color="auto" w:fill="FFFFFF"/>
            <w:vAlign w:val="center"/>
          </w:tcPr>
          <w:p w14:paraId="2C6C3B2D">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512" w:type="pct"/>
            <w:shd w:val="clear" w:color="auto" w:fill="FFFFFF"/>
            <w:vAlign w:val="center"/>
          </w:tcPr>
          <w:p w14:paraId="1EC86290">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auto" w:fill="FFFFFF"/>
            <w:vAlign w:val="center"/>
          </w:tcPr>
          <w:p w14:paraId="45E1B9A8">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16F35F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28" w:type="pct"/>
            <w:vMerge w:val="restart"/>
            <w:shd w:val="clear" w:color="auto" w:fill="FFFFFF"/>
            <w:vAlign w:val="center"/>
          </w:tcPr>
          <w:p w14:paraId="72E7859B">
            <w:pPr>
              <w:spacing w:line="0" w:lineRule="atLeast"/>
              <w:jc w:val="center"/>
              <w:rPr>
                <w:color w:val="000000"/>
                <w:kern w:val="0"/>
                <w:sz w:val="22"/>
                <w:szCs w:val="22"/>
                <w:highlight w:val="none"/>
              </w:rPr>
            </w:pPr>
          </w:p>
          <w:p w14:paraId="2106117A">
            <w:pPr>
              <w:spacing w:line="0" w:lineRule="atLeast"/>
              <w:jc w:val="center"/>
              <w:rPr>
                <w:color w:val="000000"/>
                <w:kern w:val="0"/>
                <w:sz w:val="22"/>
                <w:szCs w:val="22"/>
                <w:highlight w:val="none"/>
              </w:rPr>
            </w:pPr>
          </w:p>
          <w:p w14:paraId="5AD0D38B">
            <w:pPr>
              <w:spacing w:line="0" w:lineRule="atLeast"/>
              <w:jc w:val="center"/>
              <w:rPr>
                <w:color w:val="000000"/>
                <w:kern w:val="0"/>
                <w:sz w:val="22"/>
                <w:szCs w:val="22"/>
                <w:highlight w:val="none"/>
              </w:rPr>
            </w:pPr>
          </w:p>
          <w:p w14:paraId="29B86AE2">
            <w:pPr>
              <w:spacing w:line="0" w:lineRule="atLeast"/>
              <w:jc w:val="center"/>
              <w:rPr>
                <w:color w:val="000000"/>
                <w:kern w:val="0"/>
                <w:sz w:val="22"/>
                <w:szCs w:val="22"/>
                <w:highlight w:val="none"/>
              </w:rPr>
            </w:pPr>
          </w:p>
          <w:p w14:paraId="011B350C">
            <w:pPr>
              <w:spacing w:line="0" w:lineRule="atLeast"/>
              <w:jc w:val="center"/>
              <w:rPr>
                <w:color w:val="000000"/>
                <w:kern w:val="0"/>
                <w:sz w:val="22"/>
                <w:szCs w:val="22"/>
                <w:highlight w:val="none"/>
              </w:rPr>
            </w:pPr>
          </w:p>
          <w:p w14:paraId="5ECEB21A">
            <w:pPr>
              <w:spacing w:line="0" w:lineRule="atLeast"/>
              <w:jc w:val="center"/>
              <w:rPr>
                <w:color w:val="000000"/>
                <w:kern w:val="0"/>
                <w:sz w:val="22"/>
                <w:szCs w:val="22"/>
                <w:highlight w:val="none"/>
              </w:rPr>
            </w:pPr>
          </w:p>
          <w:p w14:paraId="6E4CDA62">
            <w:pPr>
              <w:spacing w:line="0" w:lineRule="atLeast"/>
              <w:jc w:val="center"/>
              <w:rPr>
                <w:color w:val="000000"/>
                <w:kern w:val="0"/>
                <w:sz w:val="22"/>
                <w:szCs w:val="22"/>
                <w:highlight w:val="none"/>
              </w:rPr>
            </w:pPr>
          </w:p>
          <w:p w14:paraId="66638FA7">
            <w:pPr>
              <w:spacing w:line="0" w:lineRule="atLeast"/>
              <w:jc w:val="center"/>
              <w:rPr>
                <w:color w:val="000000"/>
                <w:kern w:val="0"/>
                <w:sz w:val="22"/>
                <w:szCs w:val="22"/>
                <w:highlight w:val="none"/>
              </w:rPr>
            </w:pPr>
          </w:p>
          <w:p w14:paraId="58C7F4B7">
            <w:pPr>
              <w:spacing w:line="0" w:lineRule="atLeast"/>
              <w:jc w:val="center"/>
              <w:rPr>
                <w:color w:val="000000"/>
                <w:kern w:val="0"/>
                <w:sz w:val="22"/>
                <w:szCs w:val="22"/>
                <w:highlight w:val="none"/>
              </w:rPr>
            </w:pPr>
          </w:p>
          <w:p w14:paraId="56010D13">
            <w:pPr>
              <w:spacing w:line="0" w:lineRule="atLeast"/>
              <w:jc w:val="center"/>
              <w:rPr>
                <w:color w:val="000000"/>
                <w:kern w:val="0"/>
                <w:sz w:val="22"/>
                <w:szCs w:val="22"/>
                <w:highlight w:val="none"/>
              </w:rPr>
            </w:pPr>
          </w:p>
          <w:p w14:paraId="6129E3B2">
            <w:pPr>
              <w:spacing w:line="0" w:lineRule="atLeast"/>
              <w:jc w:val="center"/>
              <w:rPr>
                <w:color w:val="000000"/>
                <w:kern w:val="0"/>
                <w:sz w:val="22"/>
                <w:szCs w:val="22"/>
                <w:highlight w:val="none"/>
              </w:rPr>
            </w:pPr>
          </w:p>
          <w:p w14:paraId="7F3AEB81">
            <w:pPr>
              <w:spacing w:line="0" w:lineRule="atLeast"/>
              <w:jc w:val="center"/>
              <w:rPr>
                <w:color w:val="000000"/>
                <w:kern w:val="0"/>
                <w:sz w:val="22"/>
                <w:szCs w:val="22"/>
                <w:highlight w:val="none"/>
              </w:rPr>
            </w:pPr>
          </w:p>
          <w:p w14:paraId="77E05781">
            <w:pPr>
              <w:spacing w:line="0" w:lineRule="atLeast"/>
              <w:jc w:val="center"/>
              <w:rPr>
                <w:color w:val="000000"/>
                <w:kern w:val="0"/>
                <w:sz w:val="22"/>
                <w:szCs w:val="22"/>
                <w:highlight w:val="none"/>
              </w:rPr>
            </w:pPr>
          </w:p>
          <w:p w14:paraId="1F2B4E42">
            <w:pPr>
              <w:spacing w:line="0" w:lineRule="atLeast"/>
              <w:jc w:val="center"/>
              <w:rPr>
                <w:color w:val="000000"/>
                <w:kern w:val="0"/>
                <w:sz w:val="22"/>
                <w:szCs w:val="22"/>
                <w:highlight w:val="none"/>
              </w:rPr>
            </w:pPr>
          </w:p>
          <w:p w14:paraId="60CA396F">
            <w:pPr>
              <w:spacing w:line="0" w:lineRule="atLeast"/>
              <w:jc w:val="center"/>
              <w:rPr>
                <w:color w:val="000000"/>
                <w:kern w:val="0"/>
                <w:sz w:val="22"/>
                <w:szCs w:val="22"/>
                <w:highlight w:val="none"/>
              </w:rPr>
            </w:pPr>
          </w:p>
          <w:p w14:paraId="74AC1474">
            <w:pPr>
              <w:spacing w:line="0" w:lineRule="atLeast"/>
              <w:jc w:val="center"/>
              <w:rPr>
                <w:color w:val="000000"/>
                <w:kern w:val="0"/>
                <w:sz w:val="22"/>
                <w:szCs w:val="22"/>
                <w:highlight w:val="none"/>
              </w:rPr>
            </w:pPr>
            <w:r>
              <w:rPr>
                <w:color w:val="000000"/>
                <w:kern w:val="0"/>
                <w:sz w:val="22"/>
                <w:szCs w:val="22"/>
                <w:highlight w:val="none"/>
              </w:rPr>
              <w:t>过程</w:t>
            </w:r>
          </w:p>
          <w:p w14:paraId="048F9F29">
            <w:pPr>
              <w:widowControl/>
              <w:spacing w:line="0" w:lineRule="atLeast"/>
              <w:jc w:val="center"/>
              <w:rPr>
                <w:color w:val="000000"/>
                <w:kern w:val="0"/>
                <w:sz w:val="22"/>
                <w:szCs w:val="22"/>
                <w:highlight w:val="none"/>
              </w:rPr>
            </w:pPr>
            <w:r>
              <w:rPr>
                <w:color w:val="000000"/>
                <w:kern w:val="0"/>
                <w:sz w:val="22"/>
                <w:szCs w:val="22"/>
                <w:highlight w:val="none"/>
              </w:rPr>
              <w:t>　　</w:t>
            </w:r>
          </w:p>
        </w:tc>
        <w:tc>
          <w:tcPr>
            <w:tcW w:w="301" w:type="pct"/>
            <w:vMerge w:val="restart"/>
            <w:shd w:val="clear" w:color="auto" w:fill="FFFFFF"/>
            <w:vAlign w:val="center"/>
          </w:tcPr>
          <w:p w14:paraId="71E871FF">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14:paraId="47A1A357">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927" w:type="pct"/>
            <w:shd w:val="clear" w:color="000000" w:fill="FFFFFF"/>
            <w:vAlign w:val="center"/>
          </w:tcPr>
          <w:p w14:paraId="549F126E">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2048" w:type="pct"/>
            <w:shd w:val="clear" w:color="000000" w:fill="FFFFFF"/>
            <w:vAlign w:val="center"/>
          </w:tcPr>
          <w:p w14:paraId="449EA056">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14:paraId="4F03D2A6">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14:paraId="4E0FBB64">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512" w:type="pct"/>
            <w:shd w:val="clear" w:color="000000" w:fill="FFFFFF"/>
            <w:vAlign w:val="center"/>
          </w:tcPr>
          <w:p w14:paraId="3E7A662C">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000000" w:fill="FFFFFF"/>
            <w:vAlign w:val="center"/>
          </w:tcPr>
          <w:p w14:paraId="3A85EF77">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29269A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28" w:type="pct"/>
            <w:vMerge w:val="continue"/>
            <w:shd w:val="clear" w:color="auto" w:fill="FFFFFF"/>
            <w:vAlign w:val="center"/>
          </w:tcPr>
          <w:p w14:paraId="4B195374">
            <w:pPr>
              <w:spacing w:line="0" w:lineRule="atLeast"/>
              <w:jc w:val="center"/>
              <w:rPr>
                <w:color w:val="000000"/>
                <w:kern w:val="0"/>
                <w:sz w:val="22"/>
                <w:szCs w:val="22"/>
                <w:highlight w:val="none"/>
              </w:rPr>
            </w:pPr>
          </w:p>
        </w:tc>
        <w:tc>
          <w:tcPr>
            <w:tcW w:w="301" w:type="pct"/>
            <w:vMerge w:val="continue"/>
            <w:shd w:val="clear" w:color="auto" w:fill="FFFFFF"/>
            <w:vAlign w:val="center"/>
          </w:tcPr>
          <w:p w14:paraId="63B7B21A">
            <w:pPr>
              <w:spacing w:line="0" w:lineRule="atLeast"/>
              <w:jc w:val="center"/>
              <w:rPr>
                <w:color w:val="000000"/>
                <w:kern w:val="0"/>
                <w:sz w:val="22"/>
                <w:szCs w:val="22"/>
                <w:highlight w:val="none"/>
              </w:rPr>
            </w:pPr>
          </w:p>
        </w:tc>
        <w:tc>
          <w:tcPr>
            <w:tcW w:w="344" w:type="pct"/>
            <w:shd w:val="clear" w:color="auto" w:fill="FFFFFF"/>
            <w:vAlign w:val="center"/>
          </w:tcPr>
          <w:p w14:paraId="064C8BBC">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927" w:type="pct"/>
            <w:shd w:val="clear" w:color="auto" w:fill="FFFFFF"/>
            <w:vAlign w:val="center"/>
          </w:tcPr>
          <w:p w14:paraId="0728B28C">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2048" w:type="pct"/>
            <w:shd w:val="clear" w:color="auto" w:fill="FFFFFF"/>
            <w:vAlign w:val="center"/>
          </w:tcPr>
          <w:p w14:paraId="7713D8DC">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512" w:type="pct"/>
            <w:shd w:val="clear" w:color="auto" w:fill="FFFFFF"/>
            <w:vAlign w:val="center"/>
          </w:tcPr>
          <w:p w14:paraId="45AE6975">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auto" w:fill="FFFFFF"/>
            <w:vAlign w:val="center"/>
          </w:tcPr>
          <w:p w14:paraId="2FCA1D67">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3B9E05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8" w:type="pct"/>
            <w:vMerge w:val="continue"/>
            <w:shd w:val="clear" w:color="auto" w:fill="FFFFFF"/>
            <w:vAlign w:val="center"/>
          </w:tcPr>
          <w:p w14:paraId="34CFDE2F">
            <w:pPr>
              <w:spacing w:line="0" w:lineRule="atLeast"/>
              <w:jc w:val="center"/>
              <w:rPr>
                <w:color w:val="000000"/>
                <w:kern w:val="0"/>
                <w:sz w:val="22"/>
                <w:szCs w:val="22"/>
                <w:highlight w:val="none"/>
              </w:rPr>
            </w:pPr>
          </w:p>
        </w:tc>
        <w:tc>
          <w:tcPr>
            <w:tcW w:w="301" w:type="pct"/>
            <w:shd w:val="clear" w:color="auto" w:fill="FFFFFF"/>
            <w:vAlign w:val="center"/>
          </w:tcPr>
          <w:p w14:paraId="6F47DFFE">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14:paraId="7DBBF8F6">
            <w:pPr>
              <w:widowControl/>
              <w:spacing w:line="0" w:lineRule="atLeast"/>
              <w:jc w:val="center"/>
              <w:rPr>
                <w:color w:val="000000"/>
                <w:kern w:val="0"/>
                <w:sz w:val="22"/>
                <w:szCs w:val="22"/>
                <w:highlight w:val="none"/>
              </w:rPr>
            </w:pPr>
            <w:r>
              <w:rPr>
                <w:color w:val="000000"/>
                <w:kern w:val="0"/>
                <w:sz w:val="22"/>
                <w:szCs w:val="22"/>
                <w:highlight w:val="none"/>
              </w:rPr>
              <w:t>资金使用</w:t>
            </w:r>
          </w:p>
          <w:p w14:paraId="370C9898">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927" w:type="pct"/>
            <w:shd w:val="clear" w:color="000000" w:fill="FFFFFF"/>
            <w:vAlign w:val="center"/>
          </w:tcPr>
          <w:p w14:paraId="6C7E952F">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2048" w:type="pct"/>
            <w:shd w:val="clear" w:color="000000" w:fill="FFFFFF"/>
            <w:vAlign w:val="center"/>
          </w:tcPr>
          <w:p w14:paraId="5D8B8295">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512" w:type="pct"/>
            <w:shd w:val="clear" w:color="000000" w:fill="FFFFFF"/>
            <w:vAlign w:val="center"/>
          </w:tcPr>
          <w:p w14:paraId="5AACF703">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000000" w:fill="FFFFFF"/>
            <w:vAlign w:val="center"/>
          </w:tcPr>
          <w:p w14:paraId="05E95707">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6C0910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28" w:type="pct"/>
            <w:vMerge w:val="continue"/>
            <w:shd w:val="clear" w:color="auto" w:fill="FFFFFF"/>
            <w:vAlign w:val="center"/>
          </w:tcPr>
          <w:p w14:paraId="357BBE35">
            <w:pPr>
              <w:spacing w:line="0" w:lineRule="atLeast"/>
              <w:jc w:val="center"/>
              <w:rPr>
                <w:color w:val="000000"/>
                <w:kern w:val="0"/>
                <w:sz w:val="22"/>
                <w:szCs w:val="22"/>
                <w:highlight w:val="none"/>
              </w:rPr>
            </w:pPr>
          </w:p>
        </w:tc>
        <w:tc>
          <w:tcPr>
            <w:tcW w:w="301" w:type="pct"/>
            <w:vMerge w:val="restart"/>
            <w:shd w:val="clear" w:color="auto" w:fill="FFFFFF"/>
            <w:vAlign w:val="center"/>
          </w:tcPr>
          <w:p w14:paraId="1B0F8F26">
            <w:pPr>
              <w:widowControl/>
              <w:spacing w:line="0" w:lineRule="atLeast"/>
              <w:jc w:val="center"/>
              <w:rPr>
                <w:color w:val="000000"/>
                <w:kern w:val="0"/>
                <w:sz w:val="22"/>
                <w:szCs w:val="22"/>
                <w:highlight w:val="none"/>
              </w:rPr>
            </w:pPr>
            <w:r>
              <w:rPr>
                <w:color w:val="000000"/>
                <w:kern w:val="0"/>
                <w:sz w:val="22"/>
                <w:szCs w:val="22"/>
                <w:highlight w:val="none"/>
              </w:rPr>
              <w:t>组织实施</w:t>
            </w:r>
          </w:p>
          <w:p w14:paraId="19A44AAC">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14:paraId="38530F57">
            <w:pPr>
              <w:widowControl/>
              <w:spacing w:line="0" w:lineRule="atLeast"/>
              <w:jc w:val="center"/>
              <w:rPr>
                <w:color w:val="000000"/>
                <w:kern w:val="0"/>
                <w:sz w:val="22"/>
                <w:szCs w:val="22"/>
                <w:highlight w:val="none"/>
              </w:rPr>
            </w:pPr>
            <w:r>
              <w:rPr>
                <w:color w:val="000000"/>
                <w:kern w:val="0"/>
                <w:sz w:val="22"/>
                <w:szCs w:val="22"/>
                <w:highlight w:val="none"/>
              </w:rPr>
              <w:t>管理制度</w:t>
            </w:r>
          </w:p>
          <w:p w14:paraId="2D7414B2">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927" w:type="pct"/>
            <w:shd w:val="clear" w:color="000000" w:fill="FFFFFF"/>
            <w:vAlign w:val="center"/>
          </w:tcPr>
          <w:p w14:paraId="7F796386">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2048" w:type="pct"/>
            <w:shd w:val="clear" w:color="000000" w:fill="FFFFFF"/>
            <w:vAlign w:val="center"/>
          </w:tcPr>
          <w:p w14:paraId="50F15AEF">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512" w:type="pct"/>
            <w:shd w:val="clear" w:color="000000" w:fill="FFFFFF"/>
            <w:vAlign w:val="center"/>
          </w:tcPr>
          <w:p w14:paraId="4499882F">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000000" w:fill="FFFFFF"/>
            <w:vAlign w:val="center"/>
          </w:tcPr>
          <w:p w14:paraId="1A073371">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23C869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28" w:type="pct"/>
            <w:vMerge w:val="continue"/>
            <w:shd w:val="clear" w:color="auto" w:fill="FFFFFF"/>
            <w:vAlign w:val="center"/>
          </w:tcPr>
          <w:p w14:paraId="122E2B4F">
            <w:pPr>
              <w:widowControl/>
              <w:spacing w:line="0" w:lineRule="atLeast"/>
              <w:jc w:val="center"/>
              <w:rPr>
                <w:color w:val="000000"/>
                <w:kern w:val="0"/>
                <w:sz w:val="22"/>
                <w:szCs w:val="22"/>
                <w:highlight w:val="none"/>
              </w:rPr>
            </w:pPr>
          </w:p>
        </w:tc>
        <w:tc>
          <w:tcPr>
            <w:tcW w:w="301" w:type="pct"/>
            <w:vMerge w:val="continue"/>
            <w:shd w:val="clear" w:color="auto" w:fill="FFFFFF"/>
            <w:vAlign w:val="center"/>
          </w:tcPr>
          <w:p w14:paraId="6454DA43">
            <w:pPr>
              <w:widowControl/>
              <w:spacing w:line="0" w:lineRule="atLeast"/>
              <w:jc w:val="center"/>
              <w:rPr>
                <w:color w:val="000000"/>
                <w:kern w:val="0"/>
                <w:sz w:val="22"/>
                <w:szCs w:val="22"/>
                <w:highlight w:val="none"/>
              </w:rPr>
            </w:pPr>
          </w:p>
        </w:tc>
        <w:tc>
          <w:tcPr>
            <w:tcW w:w="344" w:type="pct"/>
            <w:shd w:val="clear" w:color="auto" w:fill="FFFFFF"/>
            <w:vAlign w:val="center"/>
          </w:tcPr>
          <w:p w14:paraId="558C0EB4">
            <w:pPr>
              <w:widowControl/>
              <w:spacing w:line="0" w:lineRule="atLeast"/>
              <w:jc w:val="center"/>
              <w:rPr>
                <w:color w:val="000000"/>
                <w:kern w:val="0"/>
                <w:sz w:val="22"/>
                <w:szCs w:val="22"/>
                <w:highlight w:val="none"/>
              </w:rPr>
            </w:pPr>
            <w:r>
              <w:rPr>
                <w:color w:val="000000"/>
                <w:kern w:val="0"/>
                <w:sz w:val="22"/>
                <w:szCs w:val="22"/>
                <w:highlight w:val="none"/>
              </w:rPr>
              <w:t>制度执行</w:t>
            </w:r>
          </w:p>
          <w:p w14:paraId="013E0D92">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927" w:type="pct"/>
            <w:shd w:val="clear" w:color="000000" w:fill="FFFFFF"/>
            <w:vAlign w:val="center"/>
          </w:tcPr>
          <w:p w14:paraId="32AB6F04">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2048" w:type="pct"/>
            <w:shd w:val="clear" w:color="000000" w:fill="FFFFFF"/>
            <w:vAlign w:val="center"/>
          </w:tcPr>
          <w:p w14:paraId="6EA701CC">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512" w:type="pct"/>
            <w:shd w:val="clear" w:color="000000" w:fill="FFFFFF"/>
            <w:vAlign w:val="center"/>
          </w:tcPr>
          <w:p w14:paraId="22A425AE">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000000" w:fill="FFFFFF"/>
            <w:vAlign w:val="center"/>
          </w:tcPr>
          <w:p w14:paraId="28487F60">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233A63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28" w:type="pct"/>
            <w:vMerge w:val="restart"/>
            <w:shd w:val="clear" w:color="auto" w:fill="FFFFFF"/>
            <w:vAlign w:val="center"/>
          </w:tcPr>
          <w:p w14:paraId="32FE5756">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01" w:type="pct"/>
            <w:shd w:val="clear" w:color="auto" w:fill="FFFFFF"/>
            <w:vAlign w:val="center"/>
          </w:tcPr>
          <w:p w14:paraId="21BD75CB">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344" w:type="pct"/>
            <w:shd w:val="clear" w:color="auto" w:fill="FFFFFF"/>
            <w:vAlign w:val="center"/>
          </w:tcPr>
          <w:p w14:paraId="7DE31B50">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927" w:type="pct"/>
            <w:shd w:val="clear" w:color="000000" w:fill="FFFFFF"/>
            <w:vAlign w:val="center"/>
          </w:tcPr>
          <w:p w14:paraId="7BC7DB20">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2048" w:type="pct"/>
            <w:shd w:val="clear" w:color="000000" w:fill="FFFFFF"/>
            <w:vAlign w:val="center"/>
          </w:tcPr>
          <w:p w14:paraId="297AB2C7">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512" w:type="pct"/>
            <w:shd w:val="clear" w:color="000000" w:fill="FFFFFF"/>
            <w:vAlign w:val="center"/>
          </w:tcPr>
          <w:p w14:paraId="4BFD2DAF">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14:paraId="4FD964F8">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05A3F8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28" w:type="pct"/>
            <w:vMerge w:val="continue"/>
            <w:shd w:val="clear" w:color="auto" w:fill="FFFFFF"/>
            <w:vAlign w:val="center"/>
          </w:tcPr>
          <w:p w14:paraId="43260724">
            <w:pPr>
              <w:widowControl/>
              <w:spacing w:line="0" w:lineRule="atLeast"/>
              <w:jc w:val="center"/>
              <w:rPr>
                <w:color w:val="000000"/>
                <w:kern w:val="0"/>
                <w:sz w:val="22"/>
                <w:szCs w:val="22"/>
                <w:highlight w:val="none"/>
              </w:rPr>
            </w:pPr>
          </w:p>
        </w:tc>
        <w:tc>
          <w:tcPr>
            <w:tcW w:w="301" w:type="pct"/>
            <w:shd w:val="clear" w:color="auto" w:fill="FFFFFF"/>
            <w:vAlign w:val="center"/>
          </w:tcPr>
          <w:p w14:paraId="0AD4C5CE">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344" w:type="pct"/>
            <w:shd w:val="clear" w:color="auto" w:fill="FFFFFF"/>
            <w:vAlign w:val="center"/>
          </w:tcPr>
          <w:p w14:paraId="41B58A7C">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927" w:type="pct"/>
            <w:shd w:val="clear" w:color="000000" w:fill="FFFFFF"/>
            <w:vAlign w:val="center"/>
          </w:tcPr>
          <w:p w14:paraId="0E3C5151">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2048" w:type="pct"/>
            <w:shd w:val="clear" w:color="000000" w:fill="FFFFFF"/>
            <w:vAlign w:val="center"/>
          </w:tcPr>
          <w:p w14:paraId="712DBCE0">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14:paraId="47D2167B">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21FCD33A">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14:paraId="120CCF85">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569589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28" w:type="pct"/>
            <w:vMerge w:val="continue"/>
            <w:shd w:val="clear" w:color="auto" w:fill="FFFFFF"/>
            <w:vAlign w:val="center"/>
          </w:tcPr>
          <w:p w14:paraId="35195AE6">
            <w:pPr>
              <w:spacing w:line="0" w:lineRule="atLeast"/>
              <w:jc w:val="center"/>
              <w:rPr>
                <w:color w:val="000000"/>
                <w:kern w:val="0"/>
                <w:sz w:val="22"/>
                <w:szCs w:val="22"/>
                <w:highlight w:val="none"/>
              </w:rPr>
            </w:pPr>
          </w:p>
        </w:tc>
        <w:tc>
          <w:tcPr>
            <w:tcW w:w="301" w:type="pct"/>
            <w:shd w:val="clear" w:color="auto" w:fill="FFFFFF"/>
            <w:vAlign w:val="center"/>
          </w:tcPr>
          <w:p w14:paraId="51CA7413">
            <w:pPr>
              <w:spacing w:line="0" w:lineRule="atLeast"/>
              <w:jc w:val="center"/>
              <w:rPr>
                <w:color w:val="000000"/>
                <w:kern w:val="0"/>
                <w:sz w:val="22"/>
                <w:szCs w:val="22"/>
                <w:highlight w:val="none"/>
              </w:rPr>
            </w:pPr>
            <w:r>
              <w:rPr>
                <w:color w:val="000000"/>
                <w:kern w:val="0"/>
                <w:sz w:val="22"/>
                <w:szCs w:val="22"/>
                <w:highlight w:val="none"/>
              </w:rPr>
              <w:t>产出时效</w:t>
            </w:r>
          </w:p>
        </w:tc>
        <w:tc>
          <w:tcPr>
            <w:tcW w:w="344" w:type="pct"/>
            <w:shd w:val="clear" w:color="auto" w:fill="FFFFFF"/>
            <w:vAlign w:val="center"/>
          </w:tcPr>
          <w:p w14:paraId="20C01E8B">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927" w:type="pct"/>
            <w:shd w:val="clear" w:color="000000" w:fill="FFFFFF"/>
            <w:vAlign w:val="center"/>
          </w:tcPr>
          <w:p w14:paraId="39E64661">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2048" w:type="pct"/>
            <w:shd w:val="clear" w:color="000000" w:fill="FFFFFF"/>
            <w:vAlign w:val="center"/>
          </w:tcPr>
          <w:p w14:paraId="4EB89FE3">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512" w:type="pct"/>
            <w:shd w:val="clear" w:color="000000" w:fill="FFFFFF"/>
            <w:vAlign w:val="center"/>
          </w:tcPr>
          <w:p w14:paraId="00489BD9">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14:paraId="27A0E689">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0036E6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8" w:type="pct"/>
            <w:vMerge w:val="continue"/>
            <w:shd w:val="clear" w:color="auto" w:fill="FFFFFF"/>
            <w:vAlign w:val="center"/>
          </w:tcPr>
          <w:p w14:paraId="1CE8BFCF">
            <w:pPr>
              <w:widowControl/>
              <w:spacing w:line="0" w:lineRule="atLeast"/>
              <w:jc w:val="center"/>
              <w:rPr>
                <w:color w:val="000000"/>
                <w:kern w:val="0"/>
                <w:sz w:val="22"/>
                <w:szCs w:val="22"/>
                <w:highlight w:val="none"/>
              </w:rPr>
            </w:pPr>
          </w:p>
        </w:tc>
        <w:tc>
          <w:tcPr>
            <w:tcW w:w="301" w:type="pct"/>
            <w:shd w:val="clear" w:color="auto" w:fill="FFFFFF"/>
            <w:vAlign w:val="center"/>
          </w:tcPr>
          <w:p w14:paraId="192B5E0C">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344" w:type="pct"/>
            <w:shd w:val="clear" w:color="auto" w:fill="FFFFFF"/>
            <w:vAlign w:val="center"/>
          </w:tcPr>
          <w:p w14:paraId="08FBA779">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927" w:type="pct"/>
            <w:shd w:val="clear" w:color="000000" w:fill="FFFFFF"/>
            <w:vAlign w:val="center"/>
          </w:tcPr>
          <w:p w14:paraId="41882B76">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2048" w:type="pct"/>
            <w:shd w:val="clear" w:color="000000" w:fill="FFFFFF"/>
            <w:vAlign w:val="center"/>
          </w:tcPr>
          <w:p w14:paraId="67C7D242">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512" w:type="pct"/>
            <w:shd w:val="clear" w:color="000000" w:fill="FFFFFF"/>
            <w:vAlign w:val="center"/>
          </w:tcPr>
          <w:p w14:paraId="754FC4D2">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14:paraId="255D512B">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2D7B29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28" w:type="pct"/>
            <w:vMerge w:val="restart"/>
            <w:shd w:val="clear" w:color="auto" w:fill="FFFFFF"/>
            <w:vAlign w:val="center"/>
          </w:tcPr>
          <w:p w14:paraId="40BC9683">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301" w:type="pct"/>
            <w:vMerge w:val="restart"/>
            <w:shd w:val="clear" w:color="auto" w:fill="FFFFFF"/>
            <w:vAlign w:val="center"/>
          </w:tcPr>
          <w:p w14:paraId="29F81514">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344" w:type="pct"/>
            <w:shd w:val="clear" w:color="auto" w:fill="FFFFFF"/>
            <w:vAlign w:val="center"/>
          </w:tcPr>
          <w:p w14:paraId="32C96A54">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927" w:type="pct"/>
            <w:shd w:val="clear" w:color="auto" w:fill="FFFFFF"/>
            <w:vAlign w:val="center"/>
          </w:tcPr>
          <w:p w14:paraId="50FF6354">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2048" w:type="pct"/>
            <w:shd w:val="clear" w:color="auto" w:fill="FFFFFF"/>
            <w:vAlign w:val="center"/>
          </w:tcPr>
          <w:p w14:paraId="168251A4">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512" w:type="pct"/>
            <w:shd w:val="clear" w:color="auto" w:fill="FFFFFF"/>
            <w:vAlign w:val="center"/>
          </w:tcPr>
          <w:p w14:paraId="1E0C715B">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auto" w:fill="FFFFFF"/>
            <w:vAlign w:val="center"/>
          </w:tcPr>
          <w:p w14:paraId="0E97E87E">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457B7A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28" w:type="pct"/>
            <w:vMerge w:val="continue"/>
            <w:shd w:val="clear" w:color="auto" w:fill="FFFFFF"/>
            <w:vAlign w:val="center"/>
          </w:tcPr>
          <w:p w14:paraId="029A1801">
            <w:pPr>
              <w:widowControl/>
              <w:spacing w:line="0" w:lineRule="atLeast"/>
              <w:jc w:val="center"/>
              <w:rPr>
                <w:color w:val="000000"/>
                <w:kern w:val="0"/>
                <w:sz w:val="22"/>
                <w:szCs w:val="22"/>
                <w:highlight w:val="none"/>
              </w:rPr>
            </w:pPr>
          </w:p>
        </w:tc>
        <w:tc>
          <w:tcPr>
            <w:tcW w:w="301" w:type="pct"/>
            <w:vMerge w:val="continue"/>
            <w:shd w:val="clear" w:color="auto" w:fill="FFFFFF"/>
            <w:vAlign w:val="center"/>
          </w:tcPr>
          <w:p w14:paraId="74D557CE">
            <w:pPr>
              <w:widowControl/>
              <w:spacing w:line="0" w:lineRule="atLeast"/>
              <w:jc w:val="center"/>
              <w:rPr>
                <w:color w:val="000000"/>
                <w:kern w:val="0"/>
                <w:sz w:val="22"/>
                <w:szCs w:val="22"/>
                <w:highlight w:val="none"/>
              </w:rPr>
            </w:pPr>
          </w:p>
        </w:tc>
        <w:tc>
          <w:tcPr>
            <w:tcW w:w="344" w:type="pct"/>
            <w:shd w:val="clear" w:color="auto" w:fill="FFFFFF"/>
            <w:vAlign w:val="center"/>
          </w:tcPr>
          <w:p w14:paraId="625127BE">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927" w:type="pct"/>
            <w:shd w:val="clear" w:color="000000" w:fill="FFFFFF"/>
            <w:vAlign w:val="center"/>
          </w:tcPr>
          <w:p w14:paraId="18B345E3">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2048" w:type="pct"/>
            <w:shd w:val="clear" w:color="000000" w:fill="FFFFFF"/>
            <w:vAlign w:val="center"/>
          </w:tcPr>
          <w:p w14:paraId="22B66000">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512" w:type="pct"/>
            <w:shd w:val="clear" w:color="000000" w:fill="FFFFFF"/>
            <w:vAlign w:val="center"/>
          </w:tcPr>
          <w:p w14:paraId="12316326">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14:paraId="05FEEFE6">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14:paraId="4B1EEE3E">
      <w:pPr>
        <w:rPr>
          <w:highlight w:val="none"/>
        </w:rPr>
      </w:pPr>
    </w:p>
    <w:sectPr>
      <w:footerReference r:id="rId3" w:type="default"/>
      <w:pgSz w:w="11906" w:h="16838"/>
      <w:pgMar w:top="1440" w:right="1558"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书宋_GBK">
    <w:altName w:val="Arial Unicode MS"/>
    <w:panose1 w:val="02000000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8D963">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ADCD8D">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3ADCD8D">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5A01D52C"/>
    <w:multiLevelType w:val="multilevel"/>
    <w:tmpl w:val="5A01D52C"/>
    <w:lvl w:ilvl="0" w:tentative="0">
      <w:start w:val="7"/>
      <w:numFmt w:val="chineseCounting"/>
      <w:suff w:val="nothing"/>
      <w:lvlText w:val="%1、"/>
      <w:lvlJc w:val="left"/>
      <w:pPr>
        <w:widowControl/>
        <w:textAlignment w:val="baseline"/>
      </w:pPr>
    </w:lvl>
    <w:lvl w:ilvl="1" w:tentative="0">
      <w:start w:val="1"/>
      <w:numFmt w:val="decimal"/>
      <w:pStyle w:val="2"/>
      <w:suff w:val="nothing"/>
      <w:lvlText w:val="%2．"/>
      <w:lvlJc w:val="left"/>
      <w:pPr>
        <w:widowControl/>
        <w:textAlignment w:val="baseline"/>
      </w:pPr>
    </w:lvl>
    <w:lvl w:ilvl="2" w:tentative="0">
      <w:start w:val="1"/>
      <w:numFmt w:val="decimal"/>
      <w:suff w:val="nothing"/>
      <w:lvlText w:val="（%3）"/>
      <w:lvlJc w:val="left"/>
      <w:pPr>
        <w:widowControl/>
        <w:textAlignment w:val="baseline"/>
      </w:pPr>
    </w:lvl>
    <w:lvl w:ilvl="3" w:tentative="0">
      <w:start w:val="1"/>
      <w:numFmt w:val="decimalEnclosedCircleChinese"/>
      <w:suff w:val="nothing"/>
      <w:lvlText w:val="%4"/>
      <w:lvlJc w:val="left"/>
      <w:pPr>
        <w:widowControl/>
        <w:textAlignment w:val="baseline"/>
      </w:pPr>
    </w:lvl>
    <w:lvl w:ilvl="4" w:tentative="0">
      <w:start w:val="1"/>
      <w:numFmt w:val="decimal"/>
      <w:suff w:val="nothing"/>
      <w:lvlText w:val="%5）"/>
      <w:lvlJc w:val="left"/>
      <w:pPr>
        <w:widowControl/>
        <w:textAlignment w:val="baseline"/>
      </w:pPr>
    </w:lvl>
    <w:lvl w:ilvl="5" w:tentative="0">
      <w:start w:val="1"/>
      <w:numFmt w:val="lowerLetter"/>
      <w:suff w:val="nothing"/>
      <w:lvlText w:val="%6．"/>
      <w:lvlJc w:val="left"/>
      <w:pPr>
        <w:widowControl/>
        <w:textAlignment w:val="baseline"/>
      </w:pPr>
    </w:lvl>
    <w:lvl w:ilvl="6" w:tentative="0">
      <w:start w:val="1"/>
      <w:numFmt w:val="lowerLetter"/>
      <w:suff w:val="nothing"/>
      <w:lvlText w:val="%7）"/>
      <w:lvlJc w:val="left"/>
      <w:pPr>
        <w:widowControl/>
        <w:textAlignment w:val="baseline"/>
      </w:pPr>
    </w:lvl>
    <w:lvl w:ilvl="7" w:tentative="0">
      <w:start w:val="1"/>
      <w:numFmt w:val="lowerRoman"/>
      <w:suff w:val="nothing"/>
      <w:lvlText w:val="%8．"/>
      <w:lvlJc w:val="left"/>
      <w:pPr>
        <w:widowControl/>
        <w:textAlignment w:val="baseline"/>
      </w:pPr>
    </w:lvl>
    <w:lvl w:ilvl="8" w:tentative="0">
      <w:start w:val="1"/>
      <w:numFmt w:val="lowerRoman"/>
      <w:suff w:val="nothing"/>
      <w:lvlText w:val="%9）"/>
      <w:lvlJc w:val="left"/>
      <w:pPr>
        <w:widowControl/>
        <w:textAlignment w:val="baseline"/>
      </w:p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4"/>
  </w:num>
  <w:num w:numId="2">
    <w:abstractNumId w:val="0"/>
  </w:num>
  <w:num w:numId="3">
    <w:abstractNumId w:val="3"/>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FF6C4049"/>
    <w:rsid w:val="006F7242"/>
    <w:rsid w:val="007B168A"/>
    <w:rsid w:val="008B2CFE"/>
    <w:rsid w:val="00F26FF6"/>
    <w:rsid w:val="07397B77"/>
    <w:rsid w:val="13471461"/>
    <w:rsid w:val="13B90F01"/>
    <w:rsid w:val="181066D2"/>
    <w:rsid w:val="1A5B79AD"/>
    <w:rsid w:val="1C671E73"/>
    <w:rsid w:val="1ECE9DD1"/>
    <w:rsid w:val="220B3EC6"/>
    <w:rsid w:val="25EE1AD3"/>
    <w:rsid w:val="29DEB4BB"/>
    <w:rsid w:val="2BEE6068"/>
    <w:rsid w:val="2EFEAFE8"/>
    <w:rsid w:val="33F918D8"/>
    <w:rsid w:val="38CA40DD"/>
    <w:rsid w:val="395F2B56"/>
    <w:rsid w:val="3BECE841"/>
    <w:rsid w:val="3BEF88BB"/>
    <w:rsid w:val="3F7FFACE"/>
    <w:rsid w:val="3FF7797D"/>
    <w:rsid w:val="468E3747"/>
    <w:rsid w:val="47FB4224"/>
    <w:rsid w:val="55AD5890"/>
    <w:rsid w:val="5BFF6039"/>
    <w:rsid w:val="5D76A616"/>
    <w:rsid w:val="5D7F20B9"/>
    <w:rsid w:val="5DAC7D0E"/>
    <w:rsid w:val="5ED3975C"/>
    <w:rsid w:val="5F98B5AF"/>
    <w:rsid w:val="5FFE8511"/>
    <w:rsid w:val="5FFEACE2"/>
    <w:rsid w:val="643EE26D"/>
    <w:rsid w:val="69AF0748"/>
    <w:rsid w:val="6BF678AA"/>
    <w:rsid w:val="6E1D0376"/>
    <w:rsid w:val="6F5C41AC"/>
    <w:rsid w:val="6FAF6C78"/>
    <w:rsid w:val="70E17495"/>
    <w:rsid w:val="7317C656"/>
    <w:rsid w:val="734ED73F"/>
    <w:rsid w:val="74F372B0"/>
    <w:rsid w:val="771720A2"/>
    <w:rsid w:val="77F6E711"/>
    <w:rsid w:val="77FD8BE9"/>
    <w:rsid w:val="79A9BD3F"/>
    <w:rsid w:val="7BFFFDD0"/>
    <w:rsid w:val="7C336E5F"/>
    <w:rsid w:val="7D374B87"/>
    <w:rsid w:val="7D7A5F86"/>
    <w:rsid w:val="7D9FF404"/>
    <w:rsid w:val="7EEB3B79"/>
    <w:rsid w:val="7F37BB4E"/>
    <w:rsid w:val="7F9906CB"/>
    <w:rsid w:val="7FEF918E"/>
    <w:rsid w:val="7FF4FB6F"/>
    <w:rsid w:val="7FF776AA"/>
    <w:rsid w:val="7FF7FF27"/>
    <w:rsid w:val="7FFD3009"/>
    <w:rsid w:val="7FFD53D2"/>
    <w:rsid w:val="7FFDF714"/>
    <w:rsid w:val="AF3FCD8C"/>
    <w:rsid w:val="AF5F409A"/>
    <w:rsid w:val="B9FA2A43"/>
    <w:rsid w:val="BDF6E2DE"/>
    <w:rsid w:val="BF7BA1E4"/>
    <w:rsid w:val="BFDF04FA"/>
    <w:rsid w:val="BFE227EF"/>
    <w:rsid w:val="BFFB85EA"/>
    <w:rsid w:val="CD3B2007"/>
    <w:rsid w:val="CF2A1ABD"/>
    <w:rsid w:val="DA7D3CD9"/>
    <w:rsid w:val="DBDC0ADA"/>
    <w:rsid w:val="DEDE2B06"/>
    <w:rsid w:val="E3E452CE"/>
    <w:rsid w:val="EAD7F91D"/>
    <w:rsid w:val="EBFA31C2"/>
    <w:rsid w:val="EDFF2414"/>
    <w:rsid w:val="F3CCBA6B"/>
    <w:rsid w:val="F3F4A11B"/>
    <w:rsid w:val="F6FD0555"/>
    <w:rsid w:val="F9FD7907"/>
    <w:rsid w:val="FAEF933D"/>
    <w:rsid w:val="FAFDBE45"/>
    <w:rsid w:val="FB3A4A6A"/>
    <w:rsid w:val="FBBD53AE"/>
    <w:rsid w:val="FBBDD68F"/>
    <w:rsid w:val="FDB78B42"/>
    <w:rsid w:val="FDF34ECF"/>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Heading2"/>
    <w:basedOn w:val="1"/>
    <w:next w:val="1"/>
    <w:qFormat/>
    <w:uiPriority w:val="0"/>
    <w:pPr>
      <w:numPr>
        <w:ilvl w:val="1"/>
        <w:numId w:val="1"/>
      </w:numPr>
      <w:spacing w:before="156" w:after="120" w:line="360" w:lineRule="auto"/>
      <w:ind w:firstLine="200" w:firstLineChars="200"/>
    </w:pPr>
    <w:rPr>
      <w:rFonts w:ascii="Calibri" w:hAnsi="Calibri" w:eastAsia="楷体" w:cs="Times New Roman"/>
      <w:b/>
      <w:bCs/>
      <w:kern w:val="0"/>
      <w:sz w:val="28"/>
      <w:szCs w:val="28"/>
      <w:lang w:eastAsia="en-US"/>
    </w:rPr>
  </w:style>
  <w:style w:type="paragraph" w:styleId="4">
    <w:name w:val="annotation text"/>
    <w:basedOn w:val="1"/>
    <w:link w:val="2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 w:type="character" w:customStyle="1" w:styleId="24">
    <w:name w:val="font01"/>
    <w:basedOn w:val="15"/>
    <w:qFormat/>
    <w:uiPriority w:val="0"/>
    <w:rPr>
      <w:rFonts w:ascii="方正书宋_GBK" w:hAnsi="方正书宋_GBK" w:eastAsia="方正书宋_GBK" w:cs="方正书宋_GBK"/>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11047</Words>
  <Characters>11576</Characters>
  <Lines>58</Lines>
  <Paragraphs>16</Paragraphs>
  <TotalTime>3</TotalTime>
  <ScaleCrop>false</ScaleCrop>
  <LinksUpToDate>false</LinksUpToDate>
  <CharactersWithSpaces>11593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2023-03-11T05:13:00Z</dcterms:created>
  <dc:creator>审核人</dc:creator>
  <cp:lastModifiedBy>岁月无痕</cp:lastModifiedBy>
  <dcterms:modified xsi:type="dcterms:W3CDTF">2024-08-16T04:36:10Z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DEB37354E36D40D48F20A3DAB18895C3</vt:lpwstr>
  </property>
</Properties>
</file>