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531A1">
      <w:pPr>
        <w:pageBreakBefore w:val="0"/>
        <w:kinsoku/>
        <w:wordWrap/>
        <w:overflowPunct/>
        <w:topLinePunct w:val="0"/>
        <w:autoSpaceDE/>
        <w:autoSpaceDN/>
        <w:bidi w:val="0"/>
        <w:adjustRightInd/>
        <w:snapToGrid/>
        <w:spacing w:line="560" w:lineRule="exact"/>
        <w:rPr>
          <w:rFonts w:eastAsia="华文中宋"/>
          <w:b/>
          <w:kern w:val="0"/>
          <w:sz w:val="72"/>
          <w:szCs w:val="72"/>
        </w:rPr>
      </w:pPr>
    </w:p>
    <w:p w14:paraId="3700A4C4">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45D17DE7">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4E74118F">
      <w:pPr>
        <w:pageBreakBefore w:val="0"/>
        <w:kinsoku/>
        <w:wordWrap/>
        <w:overflowPunct/>
        <w:topLinePunct w:val="0"/>
        <w:autoSpaceDE/>
        <w:autoSpaceDN/>
        <w:bidi w:val="0"/>
        <w:adjustRightInd/>
        <w:snapToGrid/>
        <w:spacing w:line="560" w:lineRule="exact"/>
        <w:jc w:val="center"/>
        <w:rPr>
          <w:rFonts w:hint="eastAsia" w:eastAsia="方正小标宋_GBK"/>
          <w:kern w:val="0"/>
          <w:sz w:val="48"/>
          <w:szCs w:val="48"/>
        </w:rPr>
      </w:pPr>
      <w:r>
        <w:rPr>
          <w:rFonts w:hint="eastAsia" w:eastAsia="方正小标宋_GBK"/>
          <w:kern w:val="0"/>
          <w:sz w:val="48"/>
          <w:szCs w:val="48"/>
        </w:rPr>
        <w:t>六十年代精简退职老职工生活补助费</w:t>
      </w:r>
    </w:p>
    <w:p w14:paraId="47D9BD43">
      <w:pPr>
        <w:pageBreakBefore w:val="0"/>
        <w:kinsoku/>
        <w:wordWrap/>
        <w:overflowPunct/>
        <w:topLinePunct w:val="0"/>
        <w:autoSpaceDE/>
        <w:autoSpaceDN/>
        <w:bidi w:val="0"/>
        <w:adjustRightInd/>
        <w:snapToGrid/>
        <w:spacing w:line="560" w:lineRule="exact"/>
        <w:jc w:val="center"/>
        <w:rPr>
          <w:rFonts w:eastAsia="方正小标宋_GBK"/>
          <w:kern w:val="0"/>
          <w:sz w:val="48"/>
          <w:szCs w:val="48"/>
        </w:rPr>
      </w:pPr>
      <w:r>
        <w:rPr>
          <w:rFonts w:eastAsia="方正小标宋_GBK"/>
          <w:kern w:val="0"/>
          <w:sz w:val="48"/>
          <w:szCs w:val="48"/>
        </w:rPr>
        <w:t>资金项目支出绩效评价报告</w:t>
      </w:r>
    </w:p>
    <w:p w14:paraId="01869D45">
      <w:pPr>
        <w:pageBreakBefore w:val="0"/>
        <w:kinsoku/>
        <w:wordWrap/>
        <w:overflowPunct/>
        <w:topLinePunct w:val="0"/>
        <w:autoSpaceDE/>
        <w:autoSpaceDN/>
        <w:bidi w:val="0"/>
        <w:adjustRightInd/>
        <w:snapToGrid/>
        <w:spacing w:line="560" w:lineRule="exact"/>
        <w:jc w:val="center"/>
        <w:rPr>
          <w:rFonts w:eastAsia="华文中宋"/>
          <w:b/>
          <w:kern w:val="0"/>
          <w:sz w:val="52"/>
          <w:szCs w:val="52"/>
        </w:rPr>
      </w:pPr>
    </w:p>
    <w:p w14:paraId="7A79E663">
      <w:pPr>
        <w:pageBreakBefore w:val="0"/>
        <w:kinsoku/>
        <w:wordWrap/>
        <w:overflowPunct/>
        <w:topLinePunct w:val="0"/>
        <w:autoSpaceDE/>
        <w:autoSpaceDN/>
        <w:bidi w:val="0"/>
        <w:adjustRightInd/>
        <w:snapToGrid/>
        <w:spacing w:line="56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14:paraId="05A00472">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77CE2D36">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702A6C10">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704A0E78">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5E9532AD">
      <w:pPr>
        <w:pageBreakBefore w:val="0"/>
        <w:kinsoku/>
        <w:wordWrap/>
        <w:overflowPunct/>
        <w:topLinePunct w:val="0"/>
        <w:autoSpaceDE/>
        <w:autoSpaceDN/>
        <w:bidi w:val="0"/>
        <w:adjustRightInd/>
        <w:snapToGrid/>
        <w:spacing w:line="560" w:lineRule="exact"/>
        <w:rPr>
          <w:rFonts w:eastAsia="仿宋_GB2312"/>
          <w:kern w:val="0"/>
          <w:sz w:val="30"/>
          <w:szCs w:val="30"/>
        </w:rPr>
      </w:pPr>
    </w:p>
    <w:p w14:paraId="60FDD96C">
      <w:pPr>
        <w:pageBreakBefore w:val="0"/>
        <w:kinsoku/>
        <w:wordWrap/>
        <w:overflowPunct/>
        <w:topLinePunct w:val="0"/>
        <w:autoSpaceDE/>
        <w:autoSpaceDN/>
        <w:bidi w:val="0"/>
        <w:adjustRightInd/>
        <w:snapToGrid/>
        <w:spacing w:line="560" w:lineRule="exact"/>
        <w:jc w:val="left"/>
        <w:rPr>
          <w:rFonts w:eastAsia="仿宋_GB2312"/>
          <w:kern w:val="0"/>
          <w:sz w:val="36"/>
          <w:szCs w:val="36"/>
        </w:rPr>
      </w:pPr>
      <w:r>
        <w:rPr>
          <w:rFonts w:eastAsia="仿宋_GB2312"/>
          <w:kern w:val="0"/>
          <w:sz w:val="36"/>
          <w:szCs w:val="36"/>
        </w:rPr>
        <w:t>项目名称：</w:t>
      </w:r>
      <w:r>
        <w:rPr>
          <w:rFonts w:hint="eastAsia" w:ascii="Times New Roman" w:hAnsi="Times New Roman" w:eastAsia="仿宋_GB2312" w:cs="Times New Roman"/>
          <w:kern w:val="0"/>
          <w:sz w:val="36"/>
          <w:szCs w:val="36"/>
          <w:lang w:val="en-US" w:eastAsia="zh-CN" w:bidi="ar-SA"/>
        </w:rPr>
        <w:t>六十年代精简退职老职工生活补助费</w:t>
      </w:r>
    </w:p>
    <w:p w14:paraId="6BA12CAC">
      <w:pPr>
        <w:pageBreakBefore w:val="0"/>
        <w:kinsoku/>
        <w:wordWrap/>
        <w:overflowPunct/>
        <w:topLinePunct w:val="0"/>
        <w:autoSpaceDE/>
        <w:autoSpaceDN/>
        <w:bidi w:val="0"/>
        <w:adjustRightInd/>
        <w:snapToGrid/>
        <w:spacing w:line="560" w:lineRule="exact"/>
        <w:ind w:left="3240" w:hanging="3240" w:hangingChars="900"/>
        <w:jc w:val="left"/>
        <w:rPr>
          <w:rFonts w:hint="eastAsia" w:ascii="Times New Roman" w:hAnsi="Times New Roman" w:eastAsia="仿宋_GB2312" w:cs="Times New Roman"/>
          <w:kern w:val="0"/>
          <w:sz w:val="36"/>
          <w:szCs w:val="36"/>
          <w:lang w:val="en-US" w:eastAsia="zh-CN" w:bidi="ar-SA"/>
        </w:rPr>
      </w:pPr>
      <w:r>
        <w:rPr>
          <w:rFonts w:eastAsia="仿宋_GB2312"/>
          <w:kern w:val="0"/>
          <w:sz w:val="36"/>
          <w:szCs w:val="36"/>
        </w:rPr>
        <w:t>实施单位（公章）：</w:t>
      </w:r>
      <w:r>
        <w:rPr>
          <w:rFonts w:hint="eastAsia" w:ascii="Times New Roman" w:hAnsi="Times New Roman" w:eastAsia="仿宋_GB2312" w:cs="Times New Roman"/>
          <w:kern w:val="0"/>
          <w:sz w:val="36"/>
          <w:szCs w:val="36"/>
          <w:lang w:val="en-US" w:eastAsia="zh-CN" w:bidi="ar-SA"/>
        </w:rPr>
        <w:t>新疆维吾尔自治区工业和信息化厅离退休干部工作处</w:t>
      </w:r>
    </w:p>
    <w:p w14:paraId="05B17521">
      <w:pPr>
        <w:pageBreakBefore w:val="0"/>
        <w:kinsoku/>
        <w:wordWrap/>
        <w:overflowPunct/>
        <w:topLinePunct w:val="0"/>
        <w:autoSpaceDE/>
        <w:autoSpaceDN/>
        <w:bidi w:val="0"/>
        <w:adjustRightInd/>
        <w:snapToGrid/>
        <w:spacing w:line="560" w:lineRule="exact"/>
        <w:jc w:val="left"/>
        <w:rPr>
          <w:rFonts w:hint="eastAsia" w:eastAsia="仿宋_GB2312" w:cs="Times New Roman"/>
          <w:kern w:val="0"/>
          <w:sz w:val="36"/>
          <w:szCs w:val="36"/>
          <w:lang w:val="en-US" w:eastAsia="zh-CN" w:bidi="ar-SA"/>
        </w:rPr>
      </w:pPr>
      <w:r>
        <w:rPr>
          <w:rFonts w:eastAsia="仿宋_GB2312"/>
          <w:kern w:val="0"/>
          <w:sz w:val="36"/>
          <w:szCs w:val="36"/>
        </w:rPr>
        <w:t>主管部门（公章）：</w:t>
      </w:r>
      <w:r>
        <w:rPr>
          <w:rFonts w:hint="eastAsia" w:ascii="Times New Roman" w:hAnsi="Times New Roman" w:eastAsia="仿宋_GB2312" w:cs="Times New Roman"/>
          <w:kern w:val="0"/>
          <w:sz w:val="36"/>
          <w:szCs w:val="36"/>
          <w:lang w:val="en-US" w:eastAsia="zh-CN" w:bidi="ar-SA"/>
        </w:rPr>
        <w:t>新疆维吾尔自治区工业和信息化厅</w:t>
      </w:r>
      <w:r>
        <w:rPr>
          <w:rFonts w:eastAsia="仿宋_GB2312"/>
          <w:kern w:val="0"/>
          <w:sz w:val="36"/>
          <w:szCs w:val="36"/>
        </w:rPr>
        <w:t>项目负责人（签章）：</w:t>
      </w:r>
      <w:r>
        <w:rPr>
          <w:rFonts w:hint="eastAsia" w:eastAsia="仿宋_GB2312" w:cs="Times New Roman"/>
          <w:kern w:val="0"/>
          <w:sz w:val="36"/>
          <w:szCs w:val="36"/>
          <w:lang w:val="en-US" w:eastAsia="zh-CN" w:bidi="ar-SA"/>
        </w:rPr>
        <w:t>李长青</w:t>
      </w:r>
    </w:p>
    <w:p w14:paraId="44C02678">
      <w:pPr>
        <w:pageBreakBefore w:val="0"/>
        <w:kinsoku/>
        <w:wordWrap/>
        <w:overflowPunct/>
        <w:topLinePunct w:val="0"/>
        <w:autoSpaceDE/>
        <w:autoSpaceDN/>
        <w:bidi w:val="0"/>
        <w:adjustRightInd/>
        <w:snapToGrid/>
        <w:spacing w:line="560" w:lineRule="exact"/>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default" w:eastAsia="仿宋_GB2312"/>
          <w:kern w:val="0"/>
          <w:sz w:val="36"/>
          <w:szCs w:val="36"/>
          <w:lang w:val="en"/>
        </w:rPr>
        <w:t>3</w:t>
      </w:r>
      <w:r>
        <w:rPr>
          <w:rFonts w:eastAsia="仿宋_GB2312"/>
          <w:kern w:val="0"/>
          <w:sz w:val="36"/>
          <w:szCs w:val="36"/>
        </w:rPr>
        <w:t>月</w:t>
      </w:r>
      <w:r>
        <w:rPr>
          <w:rFonts w:hint="default" w:eastAsia="仿宋_GB2312"/>
          <w:kern w:val="0"/>
          <w:sz w:val="36"/>
          <w:szCs w:val="36"/>
          <w:lang w:val="en"/>
        </w:rPr>
        <w:t>11</w:t>
      </w:r>
      <w:r>
        <w:rPr>
          <w:rFonts w:eastAsia="仿宋_GB2312"/>
          <w:kern w:val="0"/>
          <w:sz w:val="36"/>
          <w:szCs w:val="36"/>
        </w:rPr>
        <w:t>日</w:t>
      </w:r>
    </w:p>
    <w:p w14:paraId="0DC59416">
      <w:pPr>
        <w:pageBreakBefore w:val="0"/>
        <w:kinsoku/>
        <w:wordWrap/>
        <w:overflowPunct/>
        <w:topLinePunct w:val="0"/>
        <w:autoSpaceDE/>
        <w:autoSpaceDN/>
        <w:bidi w:val="0"/>
        <w:adjustRightInd/>
        <w:snapToGrid/>
        <w:spacing w:line="560" w:lineRule="exact"/>
        <w:jc w:val="center"/>
        <w:rPr>
          <w:rFonts w:eastAsia="仿宋_GB2312"/>
          <w:kern w:val="0"/>
          <w:sz w:val="30"/>
          <w:szCs w:val="30"/>
        </w:rPr>
      </w:pPr>
    </w:p>
    <w:p w14:paraId="04ED922E">
      <w:pPr>
        <w:pageBreakBefore w:val="0"/>
        <w:kinsoku/>
        <w:wordWrap/>
        <w:overflowPunct/>
        <w:topLinePunct w:val="0"/>
        <w:autoSpaceDE/>
        <w:autoSpaceDN/>
        <w:bidi w:val="0"/>
        <w:adjustRightInd/>
        <w:snapToGrid/>
        <w:spacing w:line="560" w:lineRule="exact"/>
        <w:rPr>
          <w:rStyle w:val="24"/>
          <w:rFonts w:eastAsia="黑体"/>
          <w:b w:val="0"/>
          <w:spacing w:val="-4"/>
          <w:sz w:val="32"/>
          <w:szCs w:val="32"/>
        </w:rPr>
      </w:pPr>
    </w:p>
    <w:p w14:paraId="0B1937C6">
      <w:pPr>
        <w:pageBreakBefore w:val="0"/>
        <w:kinsoku/>
        <w:wordWrap/>
        <w:overflowPunct/>
        <w:topLinePunct w:val="0"/>
        <w:autoSpaceDE/>
        <w:autoSpaceDN/>
        <w:bidi w:val="0"/>
        <w:adjustRightInd/>
        <w:snapToGrid/>
        <w:spacing w:line="560" w:lineRule="exact"/>
        <w:ind w:firstLine="640"/>
        <w:rPr>
          <w:rStyle w:val="24"/>
          <w:rFonts w:eastAsia="黑体"/>
          <w:b w:val="0"/>
          <w:spacing w:val="-4"/>
          <w:sz w:val="32"/>
          <w:szCs w:val="32"/>
        </w:rPr>
      </w:pPr>
    </w:p>
    <w:p w14:paraId="1183D943">
      <w:pPr>
        <w:pageBreakBefore w:val="0"/>
        <w:kinsoku/>
        <w:wordWrap/>
        <w:overflowPunct/>
        <w:topLinePunct w:val="0"/>
        <w:autoSpaceDE/>
        <w:autoSpaceDN/>
        <w:bidi w:val="0"/>
        <w:adjustRightInd/>
        <w:snapToGrid/>
        <w:spacing w:line="560" w:lineRule="exact"/>
        <w:rPr>
          <w:rStyle w:val="24"/>
          <w:rFonts w:eastAsia="黑体"/>
          <w:b w:val="0"/>
          <w:spacing w:val="-4"/>
          <w:sz w:val="32"/>
          <w:szCs w:val="32"/>
        </w:rPr>
      </w:pPr>
    </w:p>
    <w:p w14:paraId="70A5525A">
      <w:pPr>
        <w:pageBreakBefore w:val="0"/>
        <w:kinsoku/>
        <w:wordWrap/>
        <w:overflowPunct/>
        <w:topLinePunct w:val="0"/>
        <w:autoSpaceDE/>
        <w:autoSpaceDN/>
        <w:bidi w:val="0"/>
        <w:adjustRightInd/>
        <w:snapToGrid/>
        <w:spacing w:line="560" w:lineRule="exact"/>
        <w:jc w:val="center"/>
        <w:rPr>
          <w:rFonts w:eastAsia="黑体"/>
          <w:bCs/>
          <w:sz w:val="32"/>
          <w:szCs w:val="32"/>
        </w:rPr>
      </w:pPr>
    </w:p>
    <w:p w14:paraId="59E060D9">
      <w:pPr>
        <w:pageBreakBefore w:val="0"/>
        <w:kinsoku/>
        <w:wordWrap/>
        <w:overflowPunct/>
        <w:topLinePunct w:val="0"/>
        <w:autoSpaceDE/>
        <w:autoSpaceDN/>
        <w:bidi w:val="0"/>
        <w:adjustRightInd/>
        <w:snapToGrid/>
        <w:spacing w:line="560" w:lineRule="exact"/>
        <w:rPr>
          <w:rFonts w:eastAsia="黑体"/>
          <w:bCs/>
          <w:sz w:val="32"/>
          <w:szCs w:val="32"/>
        </w:rPr>
      </w:pPr>
    </w:p>
    <w:p w14:paraId="5D1A3470">
      <w:pPr>
        <w:pageBreakBefore w:val="0"/>
        <w:kinsoku/>
        <w:wordWrap/>
        <w:overflowPunct/>
        <w:topLinePunct w:val="0"/>
        <w:autoSpaceDE/>
        <w:autoSpaceDN/>
        <w:bidi w:val="0"/>
        <w:adjustRightInd/>
        <w:snapToGrid/>
        <w:spacing w:line="560" w:lineRule="exact"/>
        <w:rPr>
          <w:rFonts w:eastAsia="黑体"/>
          <w:bCs/>
          <w:sz w:val="32"/>
          <w:szCs w:val="32"/>
        </w:rPr>
      </w:pPr>
      <w:r>
        <w:rPr>
          <w:rFonts w:eastAsia="黑体"/>
          <w:bCs/>
          <w:sz w:val="32"/>
          <w:szCs w:val="32"/>
        </w:rPr>
        <w:t>一、基本情况</w:t>
      </w:r>
    </w:p>
    <w:p w14:paraId="2CC0A456">
      <w:pPr>
        <w:pageBreakBefore w:val="0"/>
        <w:kinsoku/>
        <w:wordWrap/>
        <w:overflowPunct/>
        <w:topLinePunct w:val="0"/>
        <w:autoSpaceDE/>
        <w:autoSpaceDN/>
        <w:bidi w:val="0"/>
        <w:adjustRightInd/>
        <w:snapToGrid/>
        <w:spacing w:line="560" w:lineRule="exact"/>
        <w:ind w:firstLine="641"/>
        <w:rPr>
          <w:rFonts w:eastAsia="楷体_GB2312"/>
          <w:b/>
          <w:bCs/>
          <w:sz w:val="32"/>
          <w:szCs w:val="32"/>
        </w:rPr>
      </w:pPr>
      <w:r>
        <w:rPr>
          <w:rFonts w:eastAsia="楷体_GB2312"/>
          <w:b/>
          <w:bCs/>
          <w:sz w:val="32"/>
          <w:szCs w:val="32"/>
        </w:rPr>
        <w:t>（一）项目概况</w:t>
      </w:r>
    </w:p>
    <w:p w14:paraId="7B8C3A54">
      <w:pPr>
        <w:pageBreakBefore w:val="0"/>
        <w:kinsoku/>
        <w:wordWrap/>
        <w:overflowPunct/>
        <w:topLinePunct w:val="0"/>
        <w:autoSpaceDE/>
        <w:autoSpaceDN/>
        <w:bidi w:val="0"/>
        <w:adjustRightInd/>
        <w:snapToGrid/>
        <w:spacing w:line="560" w:lineRule="exact"/>
        <w:ind w:firstLine="641"/>
        <w:rPr>
          <w:rFonts w:eastAsia="仿宋_GB2312"/>
          <w:b/>
          <w:bCs/>
          <w:sz w:val="32"/>
          <w:szCs w:val="32"/>
        </w:rPr>
      </w:pPr>
      <w:r>
        <w:rPr>
          <w:rFonts w:eastAsia="仿宋_GB2312"/>
          <w:b/>
          <w:bCs/>
          <w:sz w:val="32"/>
          <w:szCs w:val="32"/>
        </w:rPr>
        <w:t>1、项目背景</w:t>
      </w:r>
    </w:p>
    <w:p w14:paraId="05257267">
      <w:pPr>
        <w:keepNext w:val="0"/>
        <w:keepLines w:val="0"/>
        <w:pageBreakBefore w:val="0"/>
        <w:kinsoku/>
        <w:wordWrap/>
        <w:overflowPunct/>
        <w:topLinePunct w:val="0"/>
        <w:autoSpaceDE/>
        <w:autoSpaceDN/>
        <w:bidi w:val="0"/>
        <w:adjustRightInd/>
        <w:snapToGrid/>
        <w:spacing w:after="0" w:line="560" w:lineRule="exact"/>
        <w:ind w:left="0" w:leftChars="0" w:right="0" w:rightChars="0" w:firstLine="624" w:firstLineChars="200"/>
        <w:textAlignment w:val="auto"/>
        <w:outlineLvl w:val="9"/>
        <w:rPr>
          <w:rStyle w:val="24"/>
          <w:rFonts w:hint="eastAsia" w:ascii="仿宋_GB2312" w:hAnsi="仿宋_GB2312" w:eastAsia="仿宋_GB2312" w:cs="仿宋_GB2312"/>
          <w:b w:val="0"/>
          <w:bCs w:val="0"/>
          <w:spacing w:val="-4"/>
          <w:sz w:val="32"/>
          <w:szCs w:val="32"/>
          <w:lang w:eastAsia="zh-CN"/>
        </w:rPr>
      </w:pPr>
      <w:r>
        <w:rPr>
          <w:rStyle w:val="24"/>
          <w:rFonts w:hint="eastAsia" w:ascii="仿宋_GB2312" w:hAnsi="仿宋_GB2312" w:eastAsia="仿宋_GB2312" w:cs="仿宋_GB2312"/>
          <w:b w:val="0"/>
          <w:bCs w:val="0"/>
          <w:spacing w:val="-4"/>
          <w:sz w:val="32"/>
          <w:szCs w:val="32"/>
          <w:lang w:eastAsia="zh-CN"/>
        </w:rPr>
        <w:t>进一步完善我厅2</w:t>
      </w:r>
      <w:r>
        <w:rPr>
          <w:rStyle w:val="24"/>
          <w:rFonts w:hint="eastAsia" w:ascii="仿宋_GB2312" w:hAnsi="仿宋_GB2312" w:eastAsia="仿宋_GB2312" w:cs="仿宋_GB2312"/>
          <w:b w:val="0"/>
          <w:bCs w:val="0"/>
          <w:spacing w:val="-4"/>
          <w:sz w:val="32"/>
          <w:szCs w:val="32"/>
          <w:lang w:val="en-US" w:eastAsia="zh-CN"/>
        </w:rPr>
        <w:t>4</w:t>
      </w:r>
      <w:r>
        <w:rPr>
          <w:rStyle w:val="24"/>
          <w:rFonts w:hint="eastAsia" w:ascii="仿宋_GB2312" w:hAnsi="仿宋_GB2312" w:eastAsia="仿宋_GB2312" w:cs="仿宋_GB2312"/>
          <w:b w:val="0"/>
          <w:bCs w:val="0"/>
          <w:spacing w:val="-4"/>
          <w:sz w:val="32"/>
          <w:szCs w:val="32"/>
          <w:lang w:eastAsia="zh-CN"/>
        </w:rPr>
        <w:t>名六十年代精简退出老职工基本生活保障机制，认真贯彻落实党和政府对老职工生活待遇给予的相关政策。</w:t>
      </w:r>
    </w:p>
    <w:p w14:paraId="4312F0DE">
      <w:pPr>
        <w:keepNext w:val="0"/>
        <w:keepLines w:val="0"/>
        <w:pageBreakBefore w:val="0"/>
        <w:kinsoku/>
        <w:wordWrap/>
        <w:overflowPunct/>
        <w:topLinePunct w:val="0"/>
        <w:autoSpaceDE/>
        <w:autoSpaceDN/>
        <w:bidi w:val="0"/>
        <w:adjustRightInd/>
        <w:snapToGrid/>
        <w:spacing w:after="0" w:line="560" w:lineRule="exact"/>
        <w:ind w:left="0" w:leftChars="0" w:right="0" w:rightChars="0" w:firstLine="624" w:firstLineChars="200"/>
        <w:textAlignment w:val="auto"/>
        <w:outlineLvl w:val="9"/>
        <w:rPr>
          <w:rStyle w:val="24"/>
          <w:rFonts w:hint="eastAsia" w:ascii="仿宋_GB2312" w:hAnsi="仿宋_GB2312" w:eastAsia="仿宋_GB2312" w:cs="仿宋_GB2312"/>
          <w:b w:val="0"/>
          <w:bCs w:val="0"/>
          <w:spacing w:val="-4"/>
          <w:sz w:val="32"/>
          <w:szCs w:val="32"/>
          <w:lang w:eastAsia="zh-CN"/>
        </w:rPr>
      </w:pPr>
      <w:r>
        <w:rPr>
          <w:rStyle w:val="24"/>
          <w:rFonts w:hint="eastAsia" w:ascii="仿宋_GB2312" w:hAnsi="仿宋_GB2312" w:eastAsia="仿宋_GB2312" w:cs="仿宋_GB2312"/>
          <w:b w:val="0"/>
          <w:bCs w:val="0"/>
          <w:spacing w:val="-4"/>
          <w:sz w:val="32"/>
          <w:szCs w:val="32"/>
          <w:lang w:eastAsia="zh-CN"/>
        </w:rPr>
        <w:t>根据自治区财政厅《关于印发自治区本级财政专项支出绩效评价管理办法的通知》（新财预[2010]10号）要求，开展项目支出绩效评价工作。</w:t>
      </w:r>
    </w:p>
    <w:p w14:paraId="1E4958A8">
      <w:pPr>
        <w:pStyle w:val="2"/>
        <w:pageBreakBefore w:val="0"/>
        <w:numPr>
          <w:ilvl w:val="0"/>
          <w:numId w:val="1"/>
        </w:numPr>
        <w:kinsoku/>
        <w:wordWrap/>
        <w:overflowPunct/>
        <w:topLinePunct w:val="0"/>
        <w:autoSpaceDE/>
        <w:autoSpaceDN/>
        <w:bidi w:val="0"/>
        <w:adjustRightInd/>
        <w:snapToGrid/>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1CD33801">
      <w:pPr>
        <w:pStyle w:val="21"/>
        <w:keepNext w:val="0"/>
        <w:keepLines w:val="0"/>
        <w:pageBreakBefore w:val="0"/>
        <w:kinsoku/>
        <w:wordWrap/>
        <w:overflowPunct/>
        <w:topLinePunct w:val="0"/>
        <w:autoSpaceDE/>
        <w:autoSpaceDN/>
        <w:bidi w:val="0"/>
        <w:adjustRightInd/>
        <w:snapToGrid/>
        <w:spacing w:line="560" w:lineRule="exact"/>
        <w:ind w:left="0" w:leftChars="0" w:firstLine="624" w:firstLineChars="200"/>
        <w:textAlignment w:val="auto"/>
        <w:rPr>
          <w:rStyle w:val="24"/>
          <w:rFonts w:hint="eastAsia" w:ascii="仿宋_GB2312" w:hAnsi="仿宋_GB2312" w:eastAsia="仿宋_GB2312" w:cs="仿宋_GB2312"/>
          <w:b w:val="0"/>
          <w:bCs w:val="0"/>
          <w:color w:val="auto"/>
          <w:spacing w:val="-4"/>
          <w:kern w:val="2"/>
          <w:sz w:val="32"/>
          <w:szCs w:val="32"/>
          <w:lang w:val="en-US" w:eastAsia="zh-CN" w:bidi="ar-SA"/>
        </w:rPr>
      </w:pPr>
      <w:r>
        <w:rPr>
          <w:rStyle w:val="24"/>
          <w:rFonts w:hint="eastAsia" w:ascii="仿宋_GB2312" w:hAnsi="仿宋_GB2312" w:eastAsia="仿宋_GB2312" w:cs="仿宋_GB2312"/>
          <w:b w:val="0"/>
          <w:bCs w:val="0"/>
          <w:color w:val="auto"/>
          <w:spacing w:val="-4"/>
          <w:kern w:val="2"/>
          <w:sz w:val="32"/>
          <w:szCs w:val="32"/>
          <w:lang w:val="en-US" w:eastAsia="zh-CN" w:bidi="ar-SA"/>
        </w:rPr>
        <w:t>项目主要内容：申请发放24名“六十年代精简下放人员生活补助费”,2023年年度部门预算安排19.01万元。</w:t>
      </w:r>
      <w:r>
        <w:rPr>
          <w:rStyle w:val="24"/>
          <w:rFonts w:hint="eastAsia" w:ascii="仿宋_GB2312" w:hAnsi="仿宋_GB2312" w:eastAsia="仿宋_GB2312" w:cs="仿宋_GB2312"/>
          <w:b w:val="0"/>
          <w:bCs w:val="0"/>
          <w:spacing w:val="-4"/>
          <w:kern w:val="2"/>
          <w:sz w:val="32"/>
          <w:szCs w:val="32"/>
          <w:lang w:val="en-US" w:eastAsia="zh-CN" w:bidi="ar-SA"/>
        </w:rPr>
        <w:t>此项目申请依据是：</w:t>
      </w:r>
      <w:r>
        <w:rPr>
          <w:rStyle w:val="24"/>
          <w:rFonts w:hint="eastAsia" w:ascii="仿宋_GB2312" w:hAnsi="仿宋_GB2312" w:eastAsia="仿宋_GB2312" w:cs="仿宋_GB2312"/>
          <w:b w:val="0"/>
          <w:bCs w:val="0"/>
          <w:color w:val="auto"/>
          <w:spacing w:val="-4"/>
          <w:kern w:val="2"/>
          <w:sz w:val="32"/>
          <w:szCs w:val="32"/>
          <w:lang w:val="en-US" w:eastAsia="zh-CN" w:bidi="ar-SA"/>
        </w:rPr>
        <w:t>根据《自治区人力资源和社会保障厅 新疆维吾尔自治区财政厅印发&lt;关于调整六十年代初期精简退职老职工生活补助费标准的通知&gt;》（新人社发[2019]32号）文件精神：“为深入贯彻习近平新时代中国特色社会主义思想和党的十九大、十九届二中、三中全会精神，庆祝新中国成立70周年，更好地保障六十年代精简退职老职工基本生活，将六十年代精简退职老职工生活补助费调整为每人每月660元，标准从2019年10月1日起执行”。</w:t>
      </w:r>
    </w:p>
    <w:p w14:paraId="00596609">
      <w:pPr>
        <w:pStyle w:val="21"/>
        <w:keepNext w:val="0"/>
        <w:keepLines w:val="0"/>
        <w:pageBreakBefore w:val="0"/>
        <w:kinsoku/>
        <w:wordWrap/>
        <w:overflowPunct/>
        <w:topLinePunct w:val="0"/>
        <w:autoSpaceDE/>
        <w:autoSpaceDN/>
        <w:bidi w:val="0"/>
        <w:adjustRightInd/>
        <w:snapToGrid/>
        <w:spacing w:line="560" w:lineRule="exact"/>
        <w:ind w:left="0" w:leftChars="0" w:firstLine="624" w:firstLineChars="200"/>
        <w:textAlignment w:val="auto"/>
      </w:pPr>
      <w:r>
        <w:rPr>
          <w:rStyle w:val="24"/>
          <w:rFonts w:hint="eastAsia" w:ascii="仿宋_GB2312" w:hAnsi="仿宋_GB2312" w:eastAsia="仿宋_GB2312" w:cs="仿宋_GB2312"/>
          <w:b w:val="0"/>
          <w:bCs w:val="0"/>
          <w:color w:val="auto"/>
          <w:spacing w:val="-4"/>
          <w:kern w:val="2"/>
          <w:sz w:val="32"/>
          <w:szCs w:val="32"/>
          <w:lang w:val="en-US" w:eastAsia="zh-CN" w:bidi="ar-SA"/>
        </w:rPr>
        <w:t>项目实施情况：因长期失联，目前有3名存在不确定性。根据《自治区人力资源和社会保障厅 新疆维吾尔自治区财政厅印发&lt;关于调整六十年代初期精简退职老职工生活补助费标准的通知&gt;》（新人社发[2019]32号）文件精神：“为深入贯彻习近平新时代中国特色社会主义思想和党的十九大、十九届二中、三中全会精神，庆祝新中国成立70周年，更好地保障六十年代精简退职老职工基本生活，将六十年代精简退职老职工生活补助费调整为每人每月660元，标准从2019年10月1日起执行”。发放了六十年代精简退职老职工20</w:t>
      </w:r>
      <w:r>
        <w:rPr>
          <w:rStyle w:val="24"/>
          <w:rFonts w:hint="default" w:ascii="仿宋_GB2312" w:hAnsi="仿宋_GB2312" w:eastAsia="仿宋_GB2312" w:cs="仿宋_GB2312"/>
          <w:b w:val="0"/>
          <w:bCs w:val="0"/>
          <w:color w:val="auto"/>
          <w:spacing w:val="-4"/>
          <w:kern w:val="2"/>
          <w:sz w:val="32"/>
          <w:szCs w:val="32"/>
          <w:lang w:val="en" w:eastAsia="zh-CN" w:bidi="ar-SA"/>
        </w:rPr>
        <w:t>2</w:t>
      </w:r>
      <w:r>
        <w:rPr>
          <w:rStyle w:val="24"/>
          <w:rFonts w:hint="eastAsia" w:ascii="仿宋_GB2312" w:hAnsi="仿宋_GB2312" w:eastAsia="仿宋_GB2312" w:cs="仿宋_GB2312"/>
          <w:b w:val="0"/>
          <w:bCs w:val="0"/>
          <w:color w:val="auto"/>
          <w:spacing w:val="-4"/>
          <w:kern w:val="2"/>
          <w:sz w:val="32"/>
          <w:szCs w:val="32"/>
          <w:lang w:val="en-US" w:eastAsia="zh-CN" w:bidi="ar-SA"/>
        </w:rPr>
        <w:t>3年1月-2023年</w:t>
      </w:r>
      <w:r>
        <w:rPr>
          <w:rStyle w:val="24"/>
          <w:rFonts w:hint="default" w:ascii="仿宋_GB2312" w:hAnsi="仿宋_GB2312" w:eastAsia="仿宋_GB2312" w:cs="仿宋_GB2312"/>
          <w:b w:val="0"/>
          <w:bCs w:val="0"/>
          <w:color w:val="auto"/>
          <w:spacing w:val="-4"/>
          <w:kern w:val="2"/>
          <w:sz w:val="32"/>
          <w:szCs w:val="32"/>
          <w:lang w:val="en" w:eastAsia="zh-CN" w:bidi="ar-SA"/>
        </w:rPr>
        <w:t>12</w:t>
      </w:r>
      <w:r>
        <w:rPr>
          <w:rStyle w:val="24"/>
          <w:rFonts w:hint="eastAsia" w:ascii="仿宋_GB2312" w:hAnsi="仿宋_GB2312" w:eastAsia="仿宋_GB2312" w:cs="仿宋_GB2312"/>
          <w:b w:val="0"/>
          <w:bCs w:val="0"/>
          <w:color w:val="auto"/>
          <w:spacing w:val="-4"/>
          <w:kern w:val="2"/>
          <w:sz w:val="32"/>
          <w:szCs w:val="32"/>
          <w:lang w:val="en-US" w:eastAsia="zh-CN" w:bidi="ar-SA"/>
        </w:rPr>
        <w:t>月生活费，该项目2023年</w:t>
      </w:r>
      <w:r>
        <w:rPr>
          <w:rStyle w:val="24"/>
          <w:rFonts w:hint="eastAsia" w:ascii="仿宋_GB2312" w:hAnsi="仿宋_GB2312" w:eastAsia="仿宋_GB2312" w:cs="仿宋_GB2312"/>
          <w:b w:val="0"/>
          <w:bCs w:val="0"/>
          <w:spacing w:val="-4"/>
          <w:sz w:val="32"/>
          <w:szCs w:val="32"/>
          <w:lang w:eastAsia="zh-CN"/>
        </w:rPr>
        <w:t>由工信厅离退休干部工作处具体核实发放。</w:t>
      </w:r>
    </w:p>
    <w:p w14:paraId="56B5B17B">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lang w:val="en-US" w:eastAsia="zh-CN"/>
        </w:rPr>
        <w:t>19.01</w:t>
      </w:r>
      <w:r>
        <w:rPr>
          <w:rFonts w:eastAsia="仿宋_GB2312"/>
          <w:sz w:val="32"/>
          <w:szCs w:val="32"/>
        </w:rPr>
        <w:t>万元，其中：财政本级资金</w:t>
      </w:r>
      <w:r>
        <w:rPr>
          <w:rFonts w:hint="eastAsia" w:eastAsia="仿宋_GB2312"/>
          <w:sz w:val="32"/>
          <w:szCs w:val="32"/>
          <w:lang w:val="en-US" w:eastAsia="zh-CN"/>
        </w:rPr>
        <w:t>19.01</w:t>
      </w:r>
      <w:r>
        <w:rPr>
          <w:rFonts w:eastAsia="仿宋_GB2312"/>
          <w:sz w:val="32"/>
          <w:szCs w:val="32"/>
        </w:rPr>
        <w:t>万元。项目实际支出</w:t>
      </w:r>
      <w:r>
        <w:rPr>
          <w:rFonts w:hint="eastAsia" w:eastAsia="仿宋_GB2312"/>
          <w:sz w:val="32"/>
          <w:szCs w:val="32"/>
          <w:lang w:val="en-US" w:eastAsia="zh-CN"/>
        </w:rPr>
        <w:t>19.01</w:t>
      </w:r>
      <w:r>
        <w:rPr>
          <w:rFonts w:eastAsia="仿宋_GB2312"/>
          <w:sz w:val="32"/>
          <w:szCs w:val="32"/>
        </w:rPr>
        <w:t>万元，支出率为100%。</w:t>
      </w:r>
    </w:p>
    <w:p w14:paraId="6B5ED085">
      <w:pPr>
        <w:pageBreakBefore w:val="0"/>
        <w:kinsoku/>
        <w:wordWrap/>
        <w:overflowPunct/>
        <w:topLinePunct w:val="0"/>
        <w:autoSpaceDE/>
        <w:autoSpaceDN/>
        <w:bidi w:val="0"/>
        <w:adjustRightInd/>
        <w:snapToGrid/>
        <w:spacing w:line="560" w:lineRule="exact"/>
        <w:ind w:firstLine="643" w:firstLineChars="200"/>
        <w:rPr>
          <w:rFonts w:eastAsia="仿宋_GB2312"/>
          <w:b/>
          <w:bCs/>
          <w:sz w:val="32"/>
          <w:szCs w:val="32"/>
        </w:rPr>
      </w:pPr>
      <w:r>
        <w:rPr>
          <w:rFonts w:eastAsia="仿宋_GB2312"/>
          <w:b/>
          <w:bCs/>
          <w:sz w:val="32"/>
          <w:szCs w:val="32"/>
        </w:rPr>
        <w:t>3、资金投入和使用情况</w:t>
      </w:r>
    </w:p>
    <w:p w14:paraId="7B2F7423">
      <w:pPr>
        <w:pageBreakBefore w:val="0"/>
        <w:kinsoku/>
        <w:wordWrap/>
        <w:overflowPunct/>
        <w:topLinePunct w:val="0"/>
        <w:autoSpaceDE/>
        <w:autoSpaceDN/>
        <w:bidi w:val="0"/>
        <w:adjustRightInd/>
        <w:snapToGrid/>
        <w:spacing w:line="560" w:lineRule="exact"/>
        <w:ind w:firstLine="640" w:firstLineChars="200"/>
        <w:rPr>
          <w:rFonts w:eastAsia="仿宋_GB2312"/>
          <w:sz w:val="20"/>
          <w:szCs w:val="20"/>
        </w:rPr>
      </w:pPr>
      <w:r>
        <w:rPr>
          <w:rFonts w:eastAsia="仿宋_GB2312"/>
          <w:sz w:val="32"/>
          <w:szCs w:val="32"/>
        </w:rPr>
        <w:t>（1）资金</w:t>
      </w:r>
      <w:r>
        <w:rPr>
          <w:rFonts w:hint="eastAsia" w:eastAsia="仿宋_GB2312"/>
          <w:sz w:val="32"/>
          <w:szCs w:val="32"/>
          <w:lang w:eastAsia="zh-CN"/>
        </w:rPr>
        <w:t>投入</w:t>
      </w:r>
      <w:r>
        <w:rPr>
          <w:rFonts w:eastAsia="仿宋_GB2312"/>
          <w:sz w:val="32"/>
          <w:szCs w:val="32"/>
        </w:rPr>
        <w:t>安排</w:t>
      </w:r>
    </w:p>
    <w:p w14:paraId="5BF314A3">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该项目年初预算数19.01万元，全年预算数19.01万元，实际总投入19.01万元，该项目资金已全部落实到位，资金来源为财政拨款。</w:t>
      </w:r>
    </w:p>
    <w:p w14:paraId="415FECCD">
      <w:pPr>
        <w:pageBreakBefore w:val="0"/>
        <w:shd w:val="clear"/>
        <w:kinsoku/>
        <w:wordWrap/>
        <w:overflowPunct/>
        <w:topLinePunct w:val="0"/>
        <w:autoSpaceDE/>
        <w:autoSpaceDN/>
        <w:bidi w:val="0"/>
        <w:adjustRightInd/>
        <w:snapToGrid/>
        <w:spacing w:line="56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资金使用情况</w:t>
      </w:r>
    </w:p>
    <w:p w14:paraId="627E1A7B">
      <w:pPr>
        <w:pStyle w:val="2"/>
        <w:pageBreakBefore w:val="0"/>
        <w:kinsoku/>
        <w:wordWrap/>
        <w:overflowPunct/>
        <w:topLinePunct w:val="0"/>
        <w:autoSpaceDE/>
        <w:autoSpaceDN/>
        <w:bidi w:val="0"/>
        <w:adjustRightInd/>
        <w:snapToGrid/>
        <w:spacing w:before="0" w:after="0" w:line="560" w:lineRule="exact"/>
        <w:ind w:firstLine="640" w:firstLineChars="200"/>
        <w:jc w:val="both"/>
        <w:rPr>
          <w:rFonts w:ascii="Times New Roman" w:hAnsi="Times New Roman" w:eastAsia="仿宋_GB2312"/>
          <w:b w:val="0"/>
          <w:bCs w:val="0"/>
          <w:kern w:val="2"/>
        </w:rPr>
      </w:pPr>
      <w:r>
        <w:rPr>
          <w:rFonts w:hint="eastAsia" w:ascii="仿宋_GB2312" w:hAnsi="仿宋_GB2312" w:eastAsia="仿宋_GB2312" w:cs="仿宋_GB2312"/>
          <w:b w:val="0"/>
          <w:bCs w:val="0"/>
          <w:kern w:val="2"/>
          <w:sz w:val="32"/>
          <w:szCs w:val="32"/>
          <w:highlight w:val="none"/>
          <w:lang w:val="en-US" w:eastAsia="zh-CN" w:bidi="ar-SA"/>
        </w:rPr>
        <w:t>该项目年初预算数19.01万元，全年预算数19.01万元,全年执行数19.01万元，预算执行率为100%，主要用于：</w:t>
      </w:r>
      <w:r>
        <w:rPr>
          <w:rFonts w:ascii="Times New Roman" w:hAnsi="Times New Roman" w:eastAsia="仿宋_GB2312"/>
          <w:b w:val="0"/>
          <w:bCs w:val="0"/>
          <w:kern w:val="2"/>
        </w:rPr>
        <w:t>支付项目实施进程中的各项费用。</w:t>
      </w:r>
    </w:p>
    <w:p w14:paraId="65A8F13D">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（二）项目绩效目标</w:t>
      </w:r>
    </w:p>
    <w:p w14:paraId="3FAF5A5F">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1、总体目标</w:t>
      </w:r>
    </w:p>
    <w:p w14:paraId="0FC9647F">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rPr>
      </w:pPr>
      <w:r>
        <w:rPr>
          <w:rFonts w:hint="eastAsia" w:eastAsia="仿宋_GB2312"/>
          <w:sz w:val="32"/>
          <w:szCs w:val="32"/>
        </w:rPr>
        <w:t>（1）完善六十年代精简退职老职工基本生活保障机制，认真贯彻落实党和政府对老职工生活待遇给予的相关政策。</w:t>
      </w:r>
    </w:p>
    <w:p w14:paraId="6F3C579A">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rPr>
      </w:pPr>
      <w:r>
        <w:rPr>
          <w:rFonts w:hint="eastAsia" w:eastAsia="仿宋_GB2312"/>
          <w:sz w:val="32"/>
          <w:szCs w:val="32"/>
        </w:rPr>
        <w:t>（2）建立健全对老职工管理、监督机制，提高规范化管理水平和服务质量。</w:t>
      </w:r>
    </w:p>
    <w:p w14:paraId="7CFA8847">
      <w:pPr>
        <w:pageBreakBefore w:val="0"/>
        <w:kinsoku/>
        <w:wordWrap/>
        <w:overflowPunct/>
        <w:topLinePunct w:val="0"/>
        <w:autoSpaceDE/>
        <w:autoSpaceDN/>
        <w:bidi w:val="0"/>
        <w:adjustRightInd/>
        <w:snapToGrid/>
        <w:spacing w:line="560" w:lineRule="exact"/>
        <w:ind w:firstLine="640" w:firstLineChars="200"/>
      </w:pPr>
      <w:r>
        <w:rPr>
          <w:rFonts w:eastAsia="仿宋_GB2312"/>
          <w:sz w:val="32"/>
          <w:szCs w:val="32"/>
        </w:rPr>
        <w:t>2、阶段性目标</w:t>
      </w:r>
    </w:p>
    <w:p w14:paraId="4995C070">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53C793B7">
      <w:pPr>
        <w:pageBreakBefore w:val="0"/>
        <w:kinsoku/>
        <w:wordWrap/>
        <w:overflowPunct/>
        <w:topLinePunct w:val="0"/>
        <w:autoSpaceDE/>
        <w:autoSpaceDN/>
        <w:bidi w:val="0"/>
        <w:adjustRightInd/>
        <w:snapToGrid/>
        <w:spacing w:line="56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14:paraId="4803973E">
      <w:pPr>
        <w:pageBreakBefore w:val="0"/>
        <w:kinsoku/>
        <w:wordWrap/>
        <w:overflowPunct/>
        <w:topLinePunct w:val="0"/>
        <w:autoSpaceDE/>
        <w:autoSpaceDN/>
        <w:bidi w:val="0"/>
        <w:adjustRightInd/>
        <w:snapToGrid/>
        <w:spacing w:line="560" w:lineRule="exact"/>
        <w:ind w:firstLine="640" w:firstLineChars="200"/>
        <w:rPr>
          <w:rFonts w:eastAsia="黑体"/>
          <w:sz w:val="32"/>
          <w:szCs w:val="32"/>
        </w:rPr>
      </w:pPr>
      <w:r>
        <w:rPr>
          <w:rFonts w:eastAsia="黑体"/>
          <w:sz w:val="32"/>
          <w:szCs w:val="32"/>
        </w:rPr>
        <w:t>二、绩效评价工作开展情况</w:t>
      </w:r>
    </w:p>
    <w:p w14:paraId="263751C5">
      <w:pPr>
        <w:pageBreakBefore w:val="0"/>
        <w:kinsoku/>
        <w:wordWrap/>
        <w:overflowPunct/>
        <w:topLinePunct w:val="0"/>
        <w:autoSpaceDE/>
        <w:autoSpaceDN/>
        <w:bidi w:val="0"/>
        <w:adjustRightInd/>
        <w:snapToGrid/>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3EC1993D">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1、绩效评价的目的</w:t>
      </w:r>
    </w:p>
    <w:p w14:paraId="4B64C02A">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4C15FA5">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（1）项目在实施前向项目负责人提供财政支出绩效方面的资金管理信息，促进项目支出严格按照资金管理规定进行。</w:t>
      </w:r>
    </w:p>
    <w:p w14:paraId="7CFF9414">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（2）项目绩效管理财政支出运行提供及时、有效的信息。</w:t>
      </w:r>
    </w:p>
    <w:p w14:paraId="6FA5B3EF">
      <w:pPr>
        <w:pageBreakBefore w:val="0"/>
        <w:kinsoku/>
        <w:wordWrap/>
        <w:overflowPunct/>
        <w:topLinePunct w:val="0"/>
        <w:autoSpaceDE/>
        <w:autoSpaceDN/>
        <w:bidi w:val="0"/>
        <w:adjustRightInd/>
        <w:snapToGrid/>
        <w:spacing w:line="560" w:lineRule="exact"/>
        <w:ind w:firstLine="640" w:firstLineChars="20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E4167D5">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09000861">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rPr>
      </w:pPr>
      <w:r>
        <w:rPr>
          <w:rFonts w:hint="eastAsia" w:eastAsia="仿宋_GB2312"/>
          <w:sz w:val="32"/>
          <w:szCs w:val="32"/>
          <w:lang w:eastAsia="zh-CN"/>
        </w:rPr>
        <w:t>六十年代精简退职老职工生活补助费</w:t>
      </w:r>
      <w:r>
        <w:rPr>
          <w:rFonts w:hint="eastAsia" w:eastAsia="仿宋_GB2312"/>
          <w:sz w:val="32"/>
          <w:szCs w:val="32"/>
        </w:rPr>
        <w:t>项目所包含的全部项目内容。</w:t>
      </w:r>
    </w:p>
    <w:p w14:paraId="63A10EEF">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297E6C98">
      <w:pPr>
        <w:pageBreakBefore w:val="0"/>
        <w:kinsoku/>
        <w:wordWrap/>
        <w:overflowPunct/>
        <w:topLinePunct w:val="0"/>
        <w:autoSpaceDE/>
        <w:autoSpaceDN/>
        <w:bidi w:val="0"/>
        <w:adjustRightInd/>
        <w:snapToGrid/>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本次评价从项目决策（包括绩效目标、决策过程）、项目过程（包括项目资金、项目实施）、项目产出（包括项目产出数量、产出质量、产出时效和产出成本）项目效益四个维度进行“六十年代精简下放人员生活费”评价，评价核心为专项资金的支出完成情况和效果。</w:t>
      </w:r>
    </w:p>
    <w:p w14:paraId="3B2F2B30">
      <w:pPr>
        <w:pageBreakBefore w:val="0"/>
        <w:kinsoku/>
        <w:wordWrap/>
        <w:overflowPunct/>
        <w:topLinePunct w:val="0"/>
        <w:autoSpaceDE/>
        <w:autoSpaceDN/>
        <w:bidi w:val="0"/>
        <w:adjustRightInd/>
        <w:snapToGrid/>
        <w:spacing w:line="560" w:lineRule="exact"/>
        <w:ind w:firstLine="643" w:firstLineChars="200"/>
      </w:pPr>
      <w:r>
        <w:rPr>
          <w:rFonts w:eastAsia="楷体_GB2312"/>
          <w:b/>
          <w:bCs/>
          <w:sz w:val="32"/>
          <w:szCs w:val="32"/>
        </w:rPr>
        <w:t>（二）绩效评价原则、评价指标体系（详情见表1）、评价方法、评价标准。</w:t>
      </w:r>
    </w:p>
    <w:p w14:paraId="615961F4">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4CA7D1E5">
      <w:pPr>
        <w:pageBreakBefore w:val="0"/>
        <w:kinsoku/>
        <w:wordWrap/>
        <w:overflowPunct/>
        <w:topLinePunct w:val="0"/>
        <w:autoSpaceDE/>
        <w:autoSpaceDN/>
        <w:bidi w:val="0"/>
        <w:adjustRightInd/>
        <w:snapToGrid/>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3B374570">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3D51A852">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19ED05EA">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479E10C5">
      <w:pPr>
        <w:pStyle w:val="2"/>
        <w:pageBreakBefore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5C29A8F3">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4EEE5AE5">
      <w:pPr>
        <w:pageBreakBefore w:val="0"/>
        <w:kinsoku/>
        <w:wordWrap/>
        <w:overflowPunct/>
        <w:topLinePunct w:val="0"/>
        <w:autoSpaceDE/>
        <w:autoSpaceDN/>
        <w:bidi w:val="0"/>
        <w:adjustRightInd/>
        <w:snapToGrid/>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5CEBD42">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6ADA2229">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EA6BF42">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681B5AA1">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w:t>
      </w:r>
      <w:r>
        <w:rPr>
          <w:rFonts w:eastAsia="仿宋_GB2312"/>
          <w:color w:val="000000"/>
          <w:spacing w:val="17"/>
          <w:sz w:val="32"/>
          <w:szCs w:val="32"/>
        </w:rPr>
        <w:t>0分，项目效益权重为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14:paraId="591CE426">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24155E4">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EE27CC5">
      <w:pPr>
        <w:pStyle w:val="2"/>
        <w:pageBreakBefore w:val="0"/>
        <w:kinsoku/>
        <w:wordWrap/>
        <w:overflowPunct/>
        <w:topLinePunct w:val="0"/>
        <w:autoSpaceDE/>
        <w:autoSpaceDN/>
        <w:bidi w:val="0"/>
        <w:adjustRightInd/>
        <w:snapToGrid/>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4A7ECEC9">
      <w:pPr>
        <w:pStyle w:val="2"/>
        <w:pageBreakBefore w:val="0"/>
        <w:widowControl w:val="0"/>
        <w:kinsoku/>
        <w:wordWrap/>
        <w:overflowPunct/>
        <w:topLinePunct w:val="0"/>
        <w:autoSpaceDE/>
        <w:autoSpaceDN/>
        <w:bidi w:val="0"/>
        <w:adjustRightInd/>
        <w:snapToGrid/>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067F1BB4">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2B334FEB">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5D27271">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643325C">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077AE0B1">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3B464C6">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3849EBC3">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B935CDA">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3EDD7ED7">
      <w:pPr>
        <w:pageBreakBefore w:val="0"/>
        <w:kinsoku/>
        <w:wordWrap/>
        <w:overflowPunct/>
        <w:topLinePunct w:val="0"/>
        <w:autoSpaceDE/>
        <w:autoSpaceDN/>
        <w:bidi w:val="0"/>
        <w:adjustRightInd/>
        <w:snapToGrid/>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p>
    <w:p w14:paraId="249B8A0B">
      <w:pPr>
        <w:pStyle w:val="2"/>
        <w:pageBreakBefore w:val="0"/>
        <w:numPr>
          <w:ilvl w:val="0"/>
          <w:numId w:val="2"/>
        </w:numPr>
        <w:kinsoku/>
        <w:wordWrap/>
        <w:overflowPunct/>
        <w:topLinePunct w:val="0"/>
        <w:autoSpaceDE/>
        <w:autoSpaceDN/>
        <w:bidi w:val="0"/>
        <w:adjustRightInd/>
        <w:snapToGrid/>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040D18C4">
      <w:pPr>
        <w:pageBreakBefore w:val="0"/>
        <w:numPr>
          <w:ilvl w:val="0"/>
          <w:numId w:val="3"/>
        </w:numPr>
        <w:kinsoku/>
        <w:wordWrap/>
        <w:overflowPunct/>
        <w:topLinePunct w:val="0"/>
        <w:autoSpaceDE/>
        <w:autoSpaceDN/>
        <w:bidi w:val="0"/>
        <w:adjustRightInd/>
        <w:snapToGrid/>
        <w:spacing w:line="56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144F1FAF">
      <w:pPr>
        <w:pageBreakBefore w:val="0"/>
        <w:numPr>
          <w:ilvl w:val="0"/>
          <w:numId w:val="3"/>
        </w:numPr>
        <w:kinsoku/>
        <w:wordWrap/>
        <w:overflowPunct/>
        <w:topLinePunct w:val="0"/>
        <w:autoSpaceDE/>
        <w:autoSpaceDN/>
        <w:bidi w:val="0"/>
        <w:adjustRightInd/>
        <w:snapToGrid/>
        <w:spacing w:line="56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78EDE5B">
      <w:pPr>
        <w:pageBreakBefore w:val="0"/>
        <w:numPr>
          <w:ilvl w:val="0"/>
          <w:numId w:val="3"/>
        </w:numPr>
        <w:kinsoku/>
        <w:wordWrap/>
        <w:overflowPunct/>
        <w:topLinePunct w:val="0"/>
        <w:autoSpaceDE/>
        <w:autoSpaceDN/>
        <w:bidi w:val="0"/>
        <w:adjustRightInd/>
        <w:snapToGrid/>
        <w:spacing w:line="56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0D983ECA">
      <w:pPr>
        <w:pageBreakBefore w:val="0"/>
        <w:numPr>
          <w:ilvl w:val="0"/>
          <w:numId w:val="4"/>
        </w:numPr>
        <w:kinsoku/>
        <w:wordWrap/>
        <w:overflowPunct/>
        <w:topLinePunct w:val="0"/>
        <w:autoSpaceDE/>
        <w:autoSpaceDN/>
        <w:bidi w:val="0"/>
        <w:adjustRightInd/>
        <w:snapToGrid/>
        <w:spacing w:line="560" w:lineRule="exact"/>
        <w:ind w:firstLine="640" w:firstLineChars="200"/>
        <w:rPr>
          <w:rFonts w:eastAsia="黑体"/>
          <w:sz w:val="32"/>
          <w:szCs w:val="32"/>
        </w:rPr>
      </w:pPr>
      <w:r>
        <w:rPr>
          <w:rFonts w:eastAsia="黑体"/>
          <w:sz w:val="32"/>
          <w:szCs w:val="32"/>
        </w:rPr>
        <w:t>综合评价情况及评价结论（附相关评分表）</w:t>
      </w:r>
    </w:p>
    <w:p w14:paraId="0F018551">
      <w:pPr>
        <w:pStyle w:val="2"/>
        <w:jc w:val="both"/>
        <w:rPr>
          <w:rFonts w:hint="default" w:eastAsiaTheme="majorEastAsia"/>
          <w:lang w:val="en-US" w:eastAsia="zh-CN"/>
        </w:rPr>
      </w:pPr>
      <w:r>
        <w:rPr>
          <w:rFonts w:hint="eastAsia"/>
          <w:lang w:val="en-US" w:eastAsia="zh-CN"/>
        </w:rPr>
        <w:t xml:space="preserve">   </w:t>
      </w: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7671EA55">
      <w:pPr>
        <w:pStyle w:val="2"/>
        <w:pageBreakBefore w:val="0"/>
        <w:widowControl w:val="0"/>
        <w:kinsoku/>
        <w:wordWrap/>
        <w:overflowPunct/>
        <w:topLinePunct w:val="0"/>
        <w:autoSpaceDE/>
        <w:autoSpaceDN/>
        <w:bidi w:val="0"/>
        <w:adjustRightInd/>
        <w:snapToGrid/>
        <w:spacing w:before="0" w:after="0" w:line="560" w:lineRule="exact"/>
        <w:ind w:firstLine="640" w:firstLineChars="200"/>
        <w:jc w:val="both"/>
        <w:outlineLvl w:val="9"/>
        <w:rPr>
          <w:rFonts w:hint="eastAsia" w:ascii="Times New Roman" w:hAnsi="Times New Roman" w:eastAsia="仿宋_GB2312"/>
          <w:b w:val="0"/>
          <w:bCs w:val="0"/>
        </w:rPr>
      </w:pPr>
      <w:r>
        <w:rPr>
          <w:rFonts w:hint="eastAsia" w:ascii="Times New Roman" w:hAnsi="Times New Roman" w:eastAsia="仿宋_GB2312"/>
          <w:b w:val="0"/>
          <w:bCs w:val="0"/>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3ADC3EC3">
      <w:pPr>
        <w:ind w:firstLine="643" w:firstLineChars="200"/>
        <w:rPr>
          <w:rFonts w:hint="eastAsia" w:ascii="Times New Roman" w:hAnsi="Times New Roman" w:eastAsia="楷体_GB2312" w:cs="Times New Roman"/>
          <w:b/>
          <w:bCs/>
          <w:kern w:val="28"/>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（二）评价结论</w:t>
      </w:r>
    </w:p>
    <w:p w14:paraId="0176FB2A">
      <w:pPr>
        <w:ind w:firstLine="640" w:firstLineChars="200"/>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运用绩效评价组制定的评价指标体系以及财政部《项目支出绩效评价管理办法》（财预〔2020〕10号）文件的评分标准，通过数据采集、问卷调查及访谈等方式，对本项目进行客观评价，最终评分结果：总得分为 98分，属于“优”。其中，项目决策类指标权重为20分，得分为 20分，得分率为 100%。项目过程类指标权重为20分，得分为20分，得分率为 100%。项目产出类指标权重为40分，得分为38分，得分率为 95%。项目效益类指标权重为20分，得分为20分，得分率为100%。具体打分情况详见：附件1综合评分表。</w:t>
      </w:r>
    </w:p>
    <w:p w14:paraId="0050199B">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2"/>
        <w:tblW w:w="7583" w:type="dxa"/>
        <w:jc w:val="center"/>
        <w:tblLayout w:type="fixed"/>
        <w:tblCellMar>
          <w:top w:w="0" w:type="dxa"/>
          <w:left w:w="108" w:type="dxa"/>
          <w:bottom w:w="0" w:type="dxa"/>
          <w:right w:w="108" w:type="dxa"/>
        </w:tblCellMar>
      </w:tblPr>
      <w:tblGrid>
        <w:gridCol w:w="3137"/>
        <w:gridCol w:w="2168"/>
        <w:gridCol w:w="2278"/>
      </w:tblGrid>
      <w:tr w14:paraId="240AD0F1">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504D8CE5">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9204B6C">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021CB2A">
            <w:pPr>
              <w:jc w:val="center"/>
              <w:rPr>
                <w:b/>
                <w:bCs/>
                <w:color w:val="000000"/>
                <w:sz w:val="22"/>
              </w:rPr>
            </w:pPr>
            <w:r>
              <w:rPr>
                <w:rFonts w:hint="eastAsia"/>
                <w:b/>
                <w:bCs/>
                <w:color w:val="000000"/>
                <w:sz w:val="22"/>
              </w:rPr>
              <w:t>得分</w:t>
            </w:r>
          </w:p>
        </w:tc>
      </w:tr>
      <w:tr w14:paraId="71B7C49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E65BC60">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74212D18">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F34BAF6">
            <w:pPr>
              <w:jc w:val="center"/>
              <w:rPr>
                <w:rFonts w:hint="default" w:eastAsia="宋体"/>
                <w:color w:val="000000"/>
                <w:sz w:val="22"/>
                <w:lang w:val="en-US" w:eastAsia="zh-CN"/>
              </w:rPr>
            </w:pPr>
            <w:r>
              <w:rPr>
                <w:rFonts w:hint="eastAsia"/>
                <w:color w:val="000000"/>
                <w:sz w:val="22"/>
                <w:lang w:val="en-US" w:eastAsia="zh-CN"/>
              </w:rPr>
              <w:t>20</w:t>
            </w:r>
          </w:p>
        </w:tc>
      </w:tr>
      <w:tr w14:paraId="3815EBD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2678D6A">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7E9B79F7">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1EFE42C">
            <w:pPr>
              <w:jc w:val="center"/>
              <w:rPr>
                <w:rFonts w:hint="default" w:eastAsia="宋体"/>
                <w:color w:val="000000"/>
                <w:sz w:val="22"/>
                <w:lang w:val="en-US" w:eastAsia="zh-CN"/>
              </w:rPr>
            </w:pPr>
            <w:r>
              <w:rPr>
                <w:rFonts w:hint="eastAsia"/>
                <w:color w:val="000000"/>
                <w:sz w:val="22"/>
                <w:lang w:val="en-US" w:eastAsia="zh-CN"/>
              </w:rPr>
              <w:t>20</w:t>
            </w:r>
          </w:p>
        </w:tc>
      </w:tr>
      <w:tr w14:paraId="6F6D852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98FE039">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7D6BBA6C">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152D060F">
            <w:pPr>
              <w:jc w:val="center"/>
              <w:rPr>
                <w:rFonts w:hint="default" w:eastAsia="宋体"/>
                <w:color w:val="000000"/>
                <w:sz w:val="22"/>
                <w:lang w:val="en-US" w:eastAsia="zh-CN"/>
              </w:rPr>
            </w:pPr>
            <w:r>
              <w:rPr>
                <w:rFonts w:hint="eastAsia"/>
                <w:color w:val="000000"/>
                <w:sz w:val="22"/>
                <w:lang w:val="en-US" w:eastAsia="zh-CN"/>
              </w:rPr>
              <w:t>38</w:t>
            </w:r>
          </w:p>
        </w:tc>
      </w:tr>
      <w:tr w14:paraId="0A95545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EA29336">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11116EAD">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70DD986">
            <w:pPr>
              <w:jc w:val="center"/>
              <w:rPr>
                <w:rFonts w:hint="default" w:eastAsia="宋体"/>
                <w:color w:val="000000"/>
                <w:sz w:val="22"/>
                <w:lang w:val="en-US" w:eastAsia="zh-CN"/>
              </w:rPr>
            </w:pPr>
            <w:r>
              <w:rPr>
                <w:rFonts w:hint="eastAsia"/>
                <w:color w:val="000000"/>
                <w:sz w:val="22"/>
                <w:lang w:val="en-US" w:eastAsia="zh-CN"/>
              </w:rPr>
              <w:t>20</w:t>
            </w:r>
          </w:p>
        </w:tc>
      </w:tr>
      <w:tr w14:paraId="46E966D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02777B7">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4476EE59">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989EECC">
            <w:pPr>
              <w:jc w:val="center"/>
              <w:rPr>
                <w:rFonts w:hint="default" w:eastAsia="宋体"/>
                <w:b/>
                <w:bCs/>
                <w:color w:val="000000"/>
                <w:sz w:val="22"/>
                <w:lang w:val="en-US" w:eastAsia="zh-CN"/>
              </w:rPr>
            </w:pPr>
            <w:r>
              <w:rPr>
                <w:rFonts w:hint="eastAsia"/>
                <w:b/>
                <w:bCs/>
                <w:color w:val="000000"/>
                <w:sz w:val="22"/>
                <w:lang w:val="en-US" w:eastAsia="zh-CN"/>
              </w:rPr>
              <w:t>98</w:t>
            </w:r>
          </w:p>
        </w:tc>
      </w:tr>
    </w:tbl>
    <w:p w14:paraId="3BA77DB2">
      <w:pPr>
        <w:spacing w:line="560" w:lineRule="exact"/>
        <w:ind w:firstLine="640" w:firstLineChars="200"/>
        <w:rPr>
          <w:rFonts w:eastAsia="黑体"/>
          <w:sz w:val="32"/>
          <w:szCs w:val="32"/>
        </w:rPr>
      </w:pPr>
      <w:r>
        <w:rPr>
          <w:rFonts w:eastAsia="黑体"/>
          <w:sz w:val="32"/>
          <w:szCs w:val="32"/>
        </w:rPr>
        <w:t>四、绩效评价指标分析</w:t>
      </w:r>
    </w:p>
    <w:p w14:paraId="7D9906AF">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0E4A757E">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0974BD74">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3842907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6FB9E67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78A4EC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79550D4B">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集体决策，保障了程序的规范性。</w:t>
      </w:r>
    </w:p>
    <w:p w14:paraId="7853726F">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1718CB7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2B53DD9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384423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472FEE9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4419AD1A">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4A5155B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29EE64D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2EE19BA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3A1525D4">
      <w:pPr>
        <w:pageBreakBefore w:val="0"/>
        <w:kinsoku/>
        <w:wordWrap/>
        <w:overflowPunct/>
        <w:topLinePunct w:val="0"/>
        <w:autoSpaceDE/>
        <w:autoSpaceDN/>
        <w:bidi w:val="0"/>
        <w:adjustRightInd/>
        <w:snapToGrid/>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72F1C550">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5697A63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三级指标构成，权重分值为20分，实际得分20分，得分率为100%。</w:t>
      </w:r>
    </w:p>
    <w:p w14:paraId="13190B6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22A61AA8">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49B11D3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128C9D2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本项目总投资19.01万元，财政资金及时足额到位，到位率100%，预算资金按计划进度执行。</w:t>
      </w:r>
    </w:p>
    <w:p w14:paraId="34C1E5A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63AC3D4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预算编制较为详细，项目资金支出总体能够按照预算执行，预算资金支出19.01万元，预算执行率为100%。</w:t>
      </w:r>
    </w:p>
    <w:p w14:paraId="009B903E">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28E3C00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CD6EC45">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08EF86C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6115A33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7253E69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59069184">
      <w:pPr>
        <w:pStyle w:val="2"/>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对资金使用的合法合规性进行监督，年末对资金使用效果进行评价。项目管理、实施人员落实到位，有效按照计划执行。项目执行情况等资料齐全，项目相关手续完备，及时进行归档。</w:t>
      </w:r>
    </w:p>
    <w:p w14:paraId="026E72C7">
      <w:pPr>
        <w:pStyle w:val="20"/>
        <w:numPr>
          <w:ilvl w:val="0"/>
          <w:numId w:val="5"/>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项目产出情况</w:t>
      </w:r>
    </w:p>
    <w:p w14:paraId="06D36AD5">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项目产出类指标包括产出数量、产出质量、产出时效、产出成本四方面的内容，由5个三级指标构成，权重分为40分，实际得分38分，得分率为95%。具体产出指标完成情况如下：</w:t>
      </w:r>
    </w:p>
    <w:p w14:paraId="2AAA56B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50DA30E0">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指标1：发放六十年代精简退职老职工生活补助费人数，指标值：≤24人，实际完成值：</w:t>
      </w:r>
      <w:r>
        <w:rPr>
          <w:rFonts w:hint="eastAsia" w:ascii="仿宋_GB2312" w:hAnsi="仿宋_GB2312" w:eastAsia="仿宋_GB2312" w:cs="仿宋_GB2312"/>
          <w:sz w:val="32"/>
          <w:szCs w:val="32"/>
          <w:highlight w:val="none"/>
          <w:lang w:val="en-US" w:eastAsia="zh-CN"/>
        </w:rPr>
        <w:t>21</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87.5</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，偏差原因：有3人失联，还未联系到，后期继续通过电话、走访等方式联系。</w:t>
      </w:r>
    </w:p>
    <w:p w14:paraId="300F30C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指标2：</w:t>
      </w:r>
      <w:r>
        <w:rPr>
          <w:rFonts w:hint="default" w:ascii="仿宋_GB2312" w:hAnsi="仿宋_GB2312" w:eastAsia="仿宋_GB2312" w:cs="仿宋_GB2312"/>
          <w:b w:val="0"/>
          <w:bCs w:val="0"/>
          <w:kern w:val="2"/>
          <w:sz w:val="32"/>
          <w:szCs w:val="32"/>
          <w:highlight w:val="none"/>
          <w:lang w:val="en" w:eastAsia="zh-CN" w:bidi="ar-SA"/>
        </w:rPr>
        <w:t>发放六十年代精简退职老职工生活补助费次数</w:t>
      </w:r>
      <w:r>
        <w:rPr>
          <w:rFonts w:hint="eastAsia" w:ascii="仿宋_GB2312" w:hAnsi="仿宋_GB2312" w:eastAsia="仿宋_GB2312" w:cs="仿宋_GB2312"/>
          <w:b w:val="0"/>
          <w:bCs w:val="0"/>
          <w:kern w:val="2"/>
          <w:sz w:val="32"/>
          <w:szCs w:val="32"/>
          <w:highlight w:val="none"/>
          <w:lang w:val="en" w:eastAsia="zh-CN" w:bidi="ar-SA"/>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=2次</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4BD414FE">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2131962D">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Style w:val="24"/>
          <w:rFonts w:hint="eastAsia" w:ascii="仿宋_GB2312" w:hAnsi="仿宋_GB2312" w:eastAsia="仿宋_GB2312" w:cs="仿宋_GB2312"/>
          <w:b w:val="0"/>
          <w:color w:val="000000"/>
          <w:spacing w:val="-4"/>
          <w:sz w:val="32"/>
          <w:szCs w:val="32"/>
          <w:highlight w:val="none"/>
          <w:lang w:val="en-US" w:eastAsia="zh-CN"/>
        </w:rPr>
        <w:t>发放六十年代精简退职老职工生活补助覆盖率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p>
    <w:p w14:paraId="05053210">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2DDAFBFB">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指标1：</w:t>
      </w:r>
      <w:r>
        <w:rPr>
          <w:rStyle w:val="53"/>
          <w:rFonts w:hint="eastAsia" w:ascii="Times New Roman" w:hAnsi="Times New Roman" w:cs="Times New Roman"/>
          <w:color w:val="auto"/>
        </w:rPr>
        <w:t>补助发放及时率</w:t>
      </w:r>
      <w:r>
        <w:rPr>
          <w:rFonts w:hint="eastAsia" w:ascii="仿宋_GB2312" w:hAnsi="仿宋_GB2312" w:eastAsia="仿宋_GB2312" w:cs="仿宋_GB2312"/>
          <w:sz w:val="32"/>
          <w:szCs w:val="32"/>
          <w:highlight w:val="none"/>
        </w:rPr>
        <w:t>，指标值：</w:t>
      </w:r>
      <w:r>
        <w:rPr>
          <w:rStyle w:val="53"/>
          <w:rFonts w:hint="eastAsia" w:eastAsia="仿宋_GB2312" w:cs="Times New Roman"/>
          <w:color w:val="auto"/>
          <w:lang w:eastAsia="zh-CN"/>
        </w:rPr>
        <w:t>≥95%</w:t>
      </w:r>
      <w:r>
        <w:rPr>
          <w:rFonts w:hint="eastAsia" w:ascii="仿宋_GB2312" w:hAnsi="仿宋_GB2312" w:eastAsia="仿宋_GB2312" w:cs="仿宋_GB2312"/>
          <w:sz w:val="32"/>
          <w:szCs w:val="32"/>
          <w:highlight w:val="none"/>
        </w:rPr>
        <w:t>，实际完成值：</w:t>
      </w:r>
      <w:r>
        <w:rPr>
          <w:rStyle w:val="53"/>
          <w:rFonts w:hint="eastAsia" w:eastAsia="仿宋_GB2312" w:cs="Times New Roman"/>
          <w:color w:val="auto"/>
          <w:lang w:eastAsia="zh-CN"/>
        </w:rPr>
        <w:t>95%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7F0B115">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0A11D858">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指标1：</w:t>
      </w:r>
      <w:r>
        <w:rPr>
          <w:rStyle w:val="53"/>
          <w:rFonts w:hint="eastAsia" w:ascii="Times New Roman" w:hAnsi="Times New Roman" w:cs="Times New Roman"/>
          <w:color w:val="auto"/>
        </w:rPr>
        <w:t>每人每次补助标准</w:t>
      </w:r>
      <w:r>
        <w:rPr>
          <w:rFonts w:hint="eastAsia" w:ascii="仿宋_GB2312" w:hAnsi="仿宋_GB2312" w:eastAsia="仿宋_GB2312" w:cs="仿宋_GB2312"/>
          <w:sz w:val="32"/>
          <w:szCs w:val="32"/>
          <w:highlight w:val="none"/>
        </w:rPr>
        <w:t>，指标值：</w:t>
      </w:r>
      <w:r>
        <w:rPr>
          <w:rStyle w:val="53"/>
          <w:rFonts w:hint="eastAsia" w:eastAsia="仿宋_GB2312" w:cs="Times New Roman"/>
          <w:color w:val="auto"/>
          <w:lang w:eastAsia="zh-CN"/>
        </w:rPr>
        <w:t>≤0.396万元</w:t>
      </w:r>
      <w:r>
        <w:rPr>
          <w:rFonts w:hint="eastAsia" w:ascii="仿宋_GB2312" w:hAnsi="仿宋_GB2312" w:eastAsia="仿宋_GB2312" w:cs="仿宋_GB2312"/>
          <w:sz w:val="32"/>
          <w:szCs w:val="32"/>
          <w:highlight w:val="none"/>
        </w:rPr>
        <w:t>，实际完成值：</w:t>
      </w:r>
      <w:r>
        <w:rPr>
          <w:rStyle w:val="53"/>
          <w:rFonts w:hint="eastAsia" w:eastAsia="仿宋_GB2312" w:cs="Times New Roman"/>
          <w:color w:val="auto"/>
          <w:lang w:eastAsia="zh-CN"/>
        </w:rPr>
        <w:t>0.396万元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9E0B79D">
      <w:pPr>
        <w:pStyle w:val="2"/>
        <w:pageBreakBefore w:val="0"/>
        <w:kinsoku/>
        <w:wordWrap/>
        <w:overflowPunct/>
        <w:topLinePunct w:val="0"/>
        <w:autoSpaceDE/>
        <w:autoSpaceDN/>
        <w:bidi w:val="0"/>
        <w:adjustRightInd/>
        <w:snapToGrid/>
        <w:spacing w:line="560" w:lineRule="exact"/>
        <w:ind w:firstLine="321" w:firstLineChars="100"/>
        <w:jc w:val="both"/>
        <w:rPr>
          <w:rFonts w:ascii="Times New Roman" w:hAnsi="Times New Roman"/>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14:paraId="076AC6A7">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项目效益类指标包括项目实施效益和满意度两方面的内容，由3个三级指标构成，权重分为20分，实际得分20分，得分率为100%。具体效益指标及满意度指标完成情况如下：</w:t>
      </w:r>
    </w:p>
    <w:p w14:paraId="6CCE7C5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060DD4A0">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社会效益指标：</w:t>
      </w:r>
    </w:p>
    <w:p w14:paraId="626EED6A">
      <w:pPr>
        <w:shd w:val="clear"/>
        <w:spacing w:line="600" w:lineRule="exact"/>
        <w:ind w:firstLine="640" w:firstLineChars="200"/>
        <w:outlineLvl w:val="0"/>
        <w:rPr>
          <w:rFonts w:hint="eastAsia"/>
        </w:rPr>
      </w:pPr>
      <w:r>
        <w:rPr>
          <w:rFonts w:hint="eastAsia" w:ascii="仿宋_GB2312" w:hAnsi="仿宋_GB2312" w:eastAsia="仿宋_GB2312" w:cs="仿宋_GB2312"/>
          <w:sz w:val="32"/>
          <w:szCs w:val="32"/>
          <w:highlight w:val="none"/>
        </w:rPr>
        <w:t>指标1：保障六十年代精简退职老职工生活待遇，指标值：</w:t>
      </w:r>
      <w:r>
        <w:rPr>
          <w:rFonts w:hint="eastAsia" w:ascii="仿宋_GB2312" w:hAnsi="仿宋_GB2312" w:eastAsia="仿宋_GB2312" w:cs="仿宋_GB2312"/>
          <w:sz w:val="32"/>
          <w:szCs w:val="32"/>
          <w:highlight w:val="none"/>
          <w:lang w:eastAsia="zh-CN"/>
        </w:rPr>
        <w:t>效果显著</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eastAsia="zh-CN"/>
        </w:rPr>
        <w:t>效果显著</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3A4CE1B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t>可持续影响指标：</w:t>
      </w:r>
    </w:p>
    <w:p w14:paraId="69CF652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指标1：群体上访事件发生率，指标值：=0%，实际完成值：0%，指标完成率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E9E22F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139B888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14:paraId="3AA00CC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w:t>
      </w:r>
      <w:r>
        <w:rPr>
          <w:rFonts w:hint="default" w:ascii="仿宋_GB2312" w:hAnsi="仿宋_GB2312" w:eastAsia="仿宋_GB2312" w:cs="仿宋_GB2312"/>
          <w:b w:val="0"/>
          <w:bCs w:val="0"/>
          <w:kern w:val="2"/>
          <w:sz w:val="32"/>
          <w:szCs w:val="32"/>
          <w:highlight w:val="none"/>
          <w:lang w:val="en-US" w:eastAsia="zh-CN" w:bidi="ar-SA"/>
        </w:rPr>
        <w:t>六十年代精简退职老职工满意度</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CD8DE04">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38C72117">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六十年代精简退职老职工生活补助费项目年初预算</w:t>
      </w:r>
      <w:r>
        <w:rPr>
          <w:rFonts w:hint="eastAsia" w:ascii="仿宋_GB2312" w:hAnsi="仿宋_GB2312" w:eastAsia="仿宋_GB2312" w:cs="仿宋_GB2312"/>
          <w:sz w:val="32"/>
          <w:szCs w:val="32"/>
          <w:highlight w:val="none"/>
          <w:lang w:val="en-US" w:eastAsia="zh-CN"/>
        </w:rPr>
        <w:t>19.01</w:t>
      </w:r>
      <w:r>
        <w:rPr>
          <w:rFonts w:hint="eastAsia" w:ascii="仿宋_GB2312" w:hAnsi="仿宋_GB2312" w:eastAsia="仿宋_GB2312" w:cs="仿宋_GB2312"/>
          <w:sz w:val="32"/>
          <w:szCs w:val="32"/>
          <w:highlight w:val="none"/>
        </w:rPr>
        <w:t>万元，全年预算</w:t>
      </w:r>
      <w:r>
        <w:rPr>
          <w:rFonts w:hint="eastAsia" w:ascii="仿宋_GB2312" w:hAnsi="仿宋_GB2312" w:eastAsia="仿宋_GB2312" w:cs="仿宋_GB2312"/>
          <w:sz w:val="32"/>
          <w:szCs w:val="32"/>
          <w:highlight w:val="none"/>
          <w:lang w:val="en-US" w:eastAsia="zh-CN"/>
        </w:rPr>
        <w:t>19.01</w:t>
      </w:r>
      <w:r>
        <w:rPr>
          <w:rFonts w:hint="eastAsia" w:ascii="仿宋_GB2312" w:hAnsi="仿宋_GB2312" w:eastAsia="仿宋_GB2312" w:cs="仿宋_GB2312"/>
          <w:sz w:val="32"/>
          <w:szCs w:val="32"/>
          <w:highlight w:val="none"/>
        </w:rPr>
        <w:t>万元，实际支出</w:t>
      </w:r>
      <w:r>
        <w:rPr>
          <w:rFonts w:hint="eastAsia" w:ascii="仿宋_GB2312" w:hAnsi="仿宋_GB2312" w:eastAsia="仿宋_GB2312" w:cs="仿宋_GB2312"/>
          <w:sz w:val="32"/>
          <w:szCs w:val="32"/>
          <w:highlight w:val="none"/>
          <w:lang w:val="en-US" w:eastAsia="zh-CN"/>
        </w:rPr>
        <w:t>19.01</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%，项目绩效指标总体完成率为</w:t>
      </w:r>
      <w:r>
        <w:rPr>
          <w:rFonts w:hint="eastAsia" w:ascii="仿宋_GB2312" w:hAnsi="仿宋_GB2312" w:eastAsia="仿宋_GB2312" w:cs="仿宋_GB2312"/>
          <w:sz w:val="32"/>
          <w:szCs w:val="32"/>
          <w:highlight w:val="none"/>
          <w:lang w:val="en-US" w:eastAsia="zh-CN"/>
        </w:rPr>
        <w:t>98.44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总体</w:t>
      </w:r>
      <w:r>
        <w:rPr>
          <w:rFonts w:hint="eastAsia" w:ascii="仿宋_GB2312" w:hAnsi="仿宋_GB2312" w:eastAsia="仿宋_GB2312" w:cs="仿宋_GB2312"/>
          <w:sz w:val="32"/>
          <w:szCs w:val="32"/>
          <w:highlight w:val="none"/>
        </w:rPr>
        <w:t>偏差率为</w:t>
      </w:r>
      <w:r>
        <w:rPr>
          <w:rFonts w:hint="eastAsia" w:ascii="仿宋_GB2312" w:hAnsi="仿宋_GB2312" w:eastAsia="仿宋_GB2312" w:cs="仿宋_GB2312"/>
          <w:sz w:val="32"/>
          <w:szCs w:val="32"/>
          <w:highlight w:val="none"/>
          <w:lang w:val="en-US" w:eastAsia="zh-CN"/>
        </w:rPr>
        <w:t>1.56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Hans"/>
        </w:rPr>
        <w:t>偏差</w:t>
      </w:r>
      <w:r>
        <w:rPr>
          <w:rFonts w:hint="eastAsia" w:ascii="仿宋_GB2312" w:hAnsi="仿宋_GB2312" w:eastAsia="仿宋_GB2312" w:cs="仿宋_GB2312"/>
          <w:sz w:val="32"/>
          <w:szCs w:val="32"/>
          <w:highlight w:val="none"/>
        </w:rPr>
        <w:t>原因有3人失联，</w:t>
      </w:r>
      <w:r>
        <w:rPr>
          <w:rFonts w:hint="eastAsia" w:ascii="仿宋_GB2312" w:hAnsi="仿宋_GB2312" w:eastAsia="仿宋_GB2312" w:cs="仿宋_GB2312"/>
          <w:sz w:val="32"/>
          <w:szCs w:val="32"/>
          <w:highlight w:val="none"/>
          <w:lang w:eastAsia="zh-Hans"/>
        </w:rPr>
        <w:t>改进</w:t>
      </w:r>
      <w:r>
        <w:rPr>
          <w:rFonts w:hint="eastAsia" w:ascii="仿宋_GB2312" w:hAnsi="仿宋_GB2312" w:eastAsia="仿宋_GB2312" w:cs="仿宋_GB2312"/>
          <w:sz w:val="32"/>
          <w:szCs w:val="32"/>
          <w:highlight w:val="none"/>
        </w:rPr>
        <w:t>措施</w:t>
      </w:r>
      <w:r>
        <w:rPr>
          <w:rFonts w:hint="eastAsia" w:ascii="仿宋_GB2312" w:hAnsi="仿宋_GB2312" w:eastAsia="仿宋_GB2312" w:cs="仿宋_GB2312"/>
          <w:sz w:val="32"/>
          <w:szCs w:val="32"/>
          <w:highlight w:val="none"/>
          <w:lang w:eastAsia="zh-CN"/>
        </w:rPr>
        <w:t>为</w:t>
      </w:r>
      <w:r>
        <w:rPr>
          <w:rFonts w:hint="eastAsia" w:ascii="仿宋_GB2312" w:hAnsi="仿宋_GB2312" w:eastAsia="仿宋_GB2312" w:cs="仿宋_GB2312"/>
          <w:sz w:val="32"/>
          <w:szCs w:val="32"/>
          <w:highlight w:val="none"/>
        </w:rPr>
        <w:t>后期继续通过电话、走访等方式联系</w:t>
      </w:r>
      <w:r>
        <w:rPr>
          <w:rFonts w:hint="eastAsia" w:ascii="仿宋_GB2312" w:hAnsi="仿宋_GB2312" w:eastAsia="仿宋_GB2312" w:cs="仿宋_GB2312"/>
          <w:sz w:val="32"/>
          <w:szCs w:val="32"/>
          <w:highlight w:val="none"/>
          <w:lang w:eastAsia="zh-CN"/>
        </w:rPr>
        <w:t>寻找</w:t>
      </w:r>
      <w:r>
        <w:rPr>
          <w:rFonts w:hint="eastAsia" w:ascii="仿宋_GB2312" w:hAnsi="仿宋_GB2312" w:eastAsia="仿宋_GB2312" w:cs="仿宋_GB2312"/>
          <w:sz w:val="32"/>
          <w:szCs w:val="32"/>
          <w:highlight w:val="none"/>
        </w:rPr>
        <w:t>。</w:t>
      </w:r>
    </w:p>
    <w:p w14:paraId="0EDB83C8">
      <w:pPr>
        <w:spacing w:line="560" w:lineRule="exact"/>
        <w:ind w:firstLine="640" w:firstLineChars="200"/>
        <w:rPr>
          <w:rStyle w:val="53"/>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1B0E2536">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1DCDCE39">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0C4D843">
      <w:pPr>
        <w:pStyle w:val="2"/>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688B3FF3">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1255C7A1">
      <w:pPr>
        <w:numPr>
          <w:ilvl w:val="0"/>
          <w:numId w:val="7"/>
        </w:num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相关绩效管理方面专业知识的系统性学习有待加强。各项指标的设置要进一步优化、完善，主要在细化、量化上改进。</w:t>
      </w:r>
    </w:p>
    <w:p w14:paraId="72D680E3">
      <w:pPr>
        <w:numPr>
          <w:ilvl w:val="0"/>
          <w:numId w:val="7"/>
        </w:num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在绩效自评过程中，由于部分人员缺乏相关绩效管理专业知识，自评价工作还存在自我审定的局限性，影响评价质量。</w:t>
      </w:r>
    </w:p>
    <w:p w14:paraId="3B1879E5">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2647517E">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13BF83CD">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2.进一步完善项目评价过程中有关数据和资料的收集、整理、审核及分析。项目启动时同步做好档案的归纳与整理，及时整理、收集、汇总，健全档案资料。项目后续管理有待进一步加强和跟踪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73FE635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3.进一步加强对绩效管理工作的组织领导，提高对预算绩效管理工作重要性的认识，总结经验查找问题，抓紧研究制定更全面更完善的绩效评价管理办法。</w:t>
      </w:r>
    </w:p>
    <w:p w14:paraId="062BCABF">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其他需要说明的问题</w:t>
      </w:r>
    </w:p>
    <w:p w14:paraId="5AA323B3">
      <w:pPr>
        <w:pStyle w:val="21"/>
        <w:spacing w:after="0" w:line="560" w:lineRule="exact"/>
        <w:ind w:left="0" w:leftChars="0" w:firstLine="64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sz w:val="32"/>
          <w:szCs w:val="32"/>
          <w:lang w:eastAsia="zh-Hans"/>
        </w:rPr>
        <w:t>本项目无其他需说明的问题。</w:t>
      </w:r>
      <w:bookmarkStart w:id="2" w:name="_GoBack"/>
      <w:bookmarkEnd w:id="2"/>
    </w:p>
    <w:p w14:paraId="2C2F9C1B">
      <w:pPr>
        <w:rPr>
          <w:rFonts w:hint="eastAsia" w:ascii="仿宋_GB2312" w:hAnsi="仿宋_GB2312" w:eastAsia="仿宋_GB2312" w:cs="仿宋_GB2312"/>
          <w:b w:val="0"/>
          <w:bCs w:val="0"/>
          <w:kern w:val="2"/>
          <w:sz w:val="32"/>
          <w:szCs w:val="32"/>
          <w:lang w:val="en-US" w:eastAsia="zh-CN" w:bidi="ar-SA"/>
        </w:rPr>
      </w:pPr>
    </w:p>
    <w:p w14:paraId="70CCA492">
      <w:pPr>
        <w:spacing w:line="600" w:lineRule="exact"/>
        <w:rPr>
          <w:rFonts w:hint="eastAsia" w:ascii="黑体" w:hAnsi="黑体" w:eastAsia="黑体" w:cs="黑体"/>
        </w:rPr>
      </w:pPr>
      <w:r>
        <w:rPr>
          <w:rFonts w:hint="eastAsia" w:ascii="黑体" w:hAnsi="黑体" w:eastAsia="黑体" w:cs="黑体"/>
          <w:bCs/>
          <w:sz w:val="32"/>
          <w:szCs w:val="32"/>
        </w:rPr>
        <w:t>附件1</w:t>
      </w:r>
    </w:p>
    <w:p w14:paraId="3BEAB09E">
      <w:pPr>
        <w:pStyle w:val="54"/>
        <w:ind w:firstLine="562"/>
        <w:jc w:val="center"/>
        <w:rPr>
          <w:sz w:val="28"/>
          <w:szCs w:val="40"/>
        </w:rPr>
      </w:pPr>
      <w:bookmarkStart w:id="0" w:name="_Toc26499_WPSOffice_Level2"/>
      <w:bookmarkStart w:id="1" w:name="_Toc30064_WPSOffice_Level1"/>
      <w:r>
        <w:rPr>
          <w:rFonts w:hint="eastAsia" w:ascii="Times New Roman" w:hAnsi="Times New Roman" w:eastAsia="宋体" w:cs="Times New Roman"/>
          <w:b/>
          <w:bCs/>
          <w:sz w:val="28"/>
          <w:szCs w:val="40"/>
        </w:rPr>
        <w:t>六十年代精简退职老职工生活补助费项目绩效</w:t>
      </w:r>
      <w:r>
        <w:rPr>
          <w:rFonts w:hint="eastAsia"/>
          <w:b/>
          <w:bCs/>
          <w:sz w:val="28"/>
          <w:szCs w:val="40"/>
        </w:rPr>
        <w:t>评价指标体系及综合评分表</w:t>
      </w:r>
      <w:bookmarkEnd w:id="0"/>
      <w:bookmarkEnd w:id="1"/>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14"/>
        <w:gridCol w:w="472"/>
        <w:gridCol w:w="540"/>
        <w:gridCol w:w="1455"/>
        <w:gridCol w:w="3214"/>
        <w:gridCol w:w="804"/>
        <w:gridCol w:w="843"/>
      </w:tblGrid>
      <w:tr w14:paraId="3EB21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8" w:type="pct"/>
            <w:shd w:val="clear" w:color="auto" w:fill="FFFFFF"/>
            <w:vAlign w:val="center"/>
          </w:tcPr>
          <w:p w14:paraId="007A21A9">
            <w:pPr>
              <w:widowControl/>
              <w:spacing w:line="0" w:lineRule="atLeast"/>
              <w:jc w:val="center"/>
              <w:rPr>
                <w:b/>
                <w:bCs/>
                <w:color w:val="000000"/>
                <w:kern w:val="0"/>
                <w:sz w:val="22"/>
                <w:szCs w:val="22"/>
              </w:rPr>
            </w:pPr>
            <w:r>
              <w:rPr>
                <w:b/>
                <w:bCs/>
                <w:color w:val="000000"/>
                <w:kern w:val="0"/>
                <w:sz w:val="22"/>
                <w:szCs w:val="22"/>
              </w:rPr>
              <w:t>一级指标</w:t>
            </w:r>
          </w:p>
        </w:tc>
        <w:tc>
          <w:tcPr>
            <w:tcW w:w="301" w:type="pct"/>
            <w:shd w:val="clear" w:color="auto" w:fill="FFFFFF"/>
            <w:vAlign w:val="center"/>
          </w:tcPr>
          <w:p w14:paraId="683EE7AB">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2509314C">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48474823">
            <w:pPr>
              <w:widowControl/>
              <w:spacing w:line="0" w:lineRule="atLeast"/>
              <w:jc w:val="center"/>
              <w:rPr>
                <w:b/>
                <w:bCs/>
                <w:color w:val="000000"/>
                <w:kern w:val="0"/>
                <w:sz w:val="22"/>
                <w:szCs w:val="22"/>
              </w:rPr>
            </w:pPr>
            <w:r>
              <w:rPr>
                <w:b/>
                <w:bCs/>
                <w:color w:val="000000"/>
                <w:kern w:val="0"/>
                <w:sz w:val="22"/>
                <w:szCs w:val="22"/>
              </w:rPr>
              <w:t>指标解释</w:t>
            </w:r>
          </w:p>
        </w:tc>
        <w:tc>
          <w:tcPr>
            <w:tcW w:w="2048" w:type="pct"/>
            <w:shd w:val="clear" w:color="auto" w:fill="FFFFFF"/>
            <w:vAlign w:val="center"/>
          </w:tcPr>
          <w:p w14:paraId="2A684157">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0D4828B2">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2A26603B">
            <w:pPr>
              <w:widowControl/>
              <w:spacing w:line="0" w:lineRule="atLeast"/>
              <w:jc w:val="center"/>
              <w:rPr>
                <w:b/>
                <w:bCs/>
                <w:color w:val="000000"/>
                <w:kern w:val="0"/>
                <w:sz w:val="22"/>
                <w:szCs w:val="22"/>
              </w:rPr>
            </w:pPr>
            <w:r>
              <w:rPr>
                <w:b/>
                <w:bCs/>
                <w:color w:val="000000"/>
                <w:kern w:val="0"/>
                <w:sz w:val="22"/>
                <w:szCs w:val="22"/>
              </w:rPr>
              <w:t>得分</w:t>
            </w:r>
          </w:p>
        </w:tc>
      </w:tr>
      <w:tr w14:paraId="6B7EF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8" w:type="pct"/>
            <w:vMerge w:val="restart"/>
            <w:shd w:val="clear" w:color="auto" w:fill="FFFFFF"/>
            <w:vAlign w:val="center"/>
          </w:tcPr>
          <w:p w14:paraId="6D90FBA0">
            <w:pPr>
              <w:widowControl/>
              <w:spacing w:line="0" w:lineRule="atLeast"/>
              <w:jc w:val="center"/>
              <w:rPr>
                <w:color w:val="000000"/>
                <w:kern w:val="0"/>
                <w:sz w:val="22"/>
                <w:szCs w:val="22"/>
              </w:rPr>
            </w:pPr>
          </w:p>
          <w:p w14:paraId="09B2B93F">
            <w:pPr>
              <w:widowControl/>
              <w:spacing w:line="0" w:lineRule="atLeast"/>
              <w:jc w:val="center"/>
              <w:rPr>
                <w:color w:val="000000"/>
                <w:kern w:val="0"/>
                <w:sz w:val="22"/>
                <w:szCs w:val="22"/>
              </w:rPr>
            </w:pPr>
          </w:p>
          <w:p w14:paraId="62F89BFA">
            <w:pPr>
              <w:widowControl/>
              <w:spacing w:line="0" w:lineRule="atLeast"/>
              <w:jc w:val="center"/>
              <w:rPr>
                <w:color w:val="000000"/>
                <w:kern w:val="0"/>
                <w:sz w:val="22"/>
                <w:szCs w:val="22"/>
              </w:rPr>
            </w:pPr>
          </w:p>
          <w:p w14:paraId="09A0C108">
            <w:pPr>
              <w:widowControl/>
              <w:spacing w:line="0" w:lineRule="atLeast"/>
              <w:jc w:val="center"/>
              <w:rPr>
                <w:color w:val="000000"/>
                <w:kern w:val="0"/>
                <w:sz w:val="22"/>
                <w:szCs w:val="22"/>
              </w:rPr>
            </w:pPr>
          </w:p>
          <w:p w14:paraId="18736015">
            <w:pPr>
              <w:widowControl/>
              <w:spacing w:line="0" w:lineRule="atLeast"/>
              <w:jc w:val="center"/>
              <w:rPr>
                <w:color w:val="000000"/>
                <w:kern w:val="0"/>
                <w:sz w:val="22"/>
                <w:szCs w:val="22"/>
              </w:rPr>
            </w:pPr>
          </w:p>
          <w:p w14:paraId="11355701">
            <w:pPr>
              <w:widowControl/>
              <w:spacing w:line="0" w:lineRule="atLeast"/>
              <w:jc w:val="center"/>
              <w:rPr>
                <w:color w:val="000000"/>
                <w:kern w:val="0"/>
                <w:sz w:val="22"/>
                <w:szCs w:val="22"/>
              </w:rPr>
            </w:pPr>
          </w:p>
          <w:p w14:paraId="01006205">
            <w:pPr>
              <w:widowControl/>
              <w:spacing w:line="0" w:lineRule="atLeast"/>
              <w:jc w:val="center"/>
              <w:rPr>
                <w:color w:val="000000"/>
                <w:kern w:val="0"/>
                <w:sz w:val="22"/>
                <w:szCs w:val="22"/>
              </w:rPr>
            </w:pPr>
            <w:r>
              <w:rPr>
                <w:color w:val="000000"/>
                <w:kern w:val="0"/>
                <w:sz w:val="22"/>
                <w:szCs w:val="22"/>
              </w:rPr>
              <w:t>决策　</w:t>
            </w:r>
          </w:p>
        </w:tc>
        <w:tc>
          <w:tcPr>
            <w:tcW w:w="301" w:type="pct"/>
            <w:vMerge w:val="restart"/>
            <w:shd w:val="clear" w:color="auto" w:fill="FFFFFF"/>
            <w:vAlign w:val="center"/>
          </w:tcPr>
          <w:p w14:paraId="1486CDC9">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6BE86D4F">
            <w:pPr>
              <w:widowControl/>
              <w:spacing w:line="0" w:lineRule="atLeast"/>
              <w:jc w:val="center"/>
              <w:rPr>
                <w:color w:val="000000"/>
                <w:kern w:val="0"/>
                <w:sz w:val="22"/>
                <w:szCs w:val="22"/>
              </w:rPr>
            </w:pPr>
            <w:r>
              <w:rPr>
                <w:color w:val="000000"/>
                <w:kern w:val="0"/>
                <w:sz w:val="22"/>
                <w:szCs w:val="22"/>
              </w:rPr>
              <w:t>立项依据</w:t>
            </w:r>
          </w:p>
          <w:p w14:paraId="70E008A1">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1A7D1A07">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8" w:type="pct"/>
            <w:shd w:val="clear" w:color="auto" w:fill="FFFFFF"/>
            <w:vAlign w:val="center"/>
          </w:tcPr>
          <w:p w14:paraId="4C6BFD2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3BE794E8">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26E21F5F">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0470E8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1DE7A41A">
            <w:pPr>
              <w:spacing w:line="0" w:lineRule="atLeast"/>
              <w:jc w:val="center"/>
              <w:rPr>
                <w:color w:val="000000"/>
                <w:kern w:val="0"/>
                <w:sz w:val="22"/>
                <w:szCs w:val="22"/>
              </w:rPr>
            </w:pPr>
          </w:p>
        </w:tc>
        <w:tc>
          <w:tcPr>
            <w:tcW w:w="301" w:type="pct"/>
            <w:vMerge w:val="continue"/>
            <w:shd w:val="clear" w:color="auto" w:fill="FFFFFF"/>
            <w:vAlign w:val="center"/>
          </w:tcPr>
          <w:p w14:paraId="2D4BD2E4">
            <w:pPr>
              <w:widowControl/>
              <w:spacing w:line="0" w:lineRule="atLeast"/>
              <w:jc w:val="center"/>
              <w:rPr>
                <w:color w:val="000000"/>
                <w:kern w:val="0"/>
                <w:sz w:val="22"/>
                <w:szCs w:val="22"/>
              </w:rPr>
            </w:pPr>
          </w:p>
        </w:tc>
        <w:tc>
          <w:tcPr>
            <w:tcW w:w="344" w:type="pct"/>
            <w:shd w:val="clear" w:color="auto" w:fill="FFFFFF"/>
            <w:vAlign w:val="center"/>
          </w:tcPr>
          <w:p w14:paraId="44F2CA7E">
            <w:pPr>
              <w:widowControl/>
              <w:spacing w:line="0" w:lineRule="atLeast"/>
              <w:jc w:val="center"/>
              <w:rPr>
                <w:color w:val="000000"/>
                <w:kern w:val="0"/>
                <w:sz w:val="22"/>
                <w:szCs w:val="22"/>
              </w:rPr>
            </w:pPr>
            <w:r>
              <w:rPr>
                <w:color w:val="000000"/>
                <w:kern w:val="0"/>
                <w:sz w:val="22"/>
                <w:szCs w:val="22"/>
              </w:rPr>
              <w:t>立项程序</w:t>
            </w:r>
          </w:p>
          <w:p w14:paraId="6CC839B7">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54D4B754">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8" w:type="pct"/>
            <w:shd w:val="clear" w:color="auto" w:fill="FFFFFF"/>
            <w:vAlign w:val="center"/>
          </w:tcPr>
          <w:p w14:paraId="0B854763">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DB8D6D6">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72C24E63">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46D71C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28" w:type="pct"/>
            <w:vMerge w:val="continue"/>
            <w:shd w:val="clear" w:color="auto" w:fill="FFFFFF"/>
            <w:vAlign w:val="center"/>
          </w:tcPr>
          <w:p w14:paraId="0ED428A8">
            <w:pPr>
              <w:spacing w:line="0" w:lineRule="atLeast"/>
              <w:jc w:val="center"/>
              <w:rPr>
                <w:color w:val="000000"/>
                <w:kern w:val="0"/>
                <w:sz w:val="22"/>
                <w:szCs w:val="22"/>
              </w:rPr>
            </w:pPr>
          </w:p>
        </w:tc>
        <w:tc>
          <w:tcPr>
            <w:tcW w:w="301" w:type="pct"/>
            <w:vMerge w:val="restart"/>
            <w:shd w:val="clear" w:color="auto" w:fill="FFFFFF"/>
            <w:vAlign w:val="center"/>
          </w:tcPr>
          <w:p w14:paraId="61BF89A1">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5949408F">
            <w:pPr>
              <w:widowControl/>
              <w:spacing w:line="0" w:lineRule="atLeast"/>
              <w:jc w:val="center"/>
              <w:rPr>
                <w:color w:val="000000"/>
                <w:kern w:val="0"/>
                <w:sz w:val="22"/>
                <w:szCs w:val="22"/>
              </w:rPr>
            </w:pPr>
            <w:r>
              <w:rPr>
                <w:color w:val="000000"/>
                <w:kern w:val="0"/>
                <w:sz w:val="22"/>
                <w:szCs w:val="22"/>
              </w:rPr>
              <w:t>绩效目标</w:t>
            </w:r>
          </w:p>
          <w:p w14:paraId="75ACEA56">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4E2F2771">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8" w:type="pct"/>
            <w:shd w:val="clear" w:color="000000" w:fill="FFFFFF"/>
            <w:vAlign w:val="center"/>
          </w:tcPr>
          <w:p w14:paraId="2969653B">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694029FA">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474C9DC0">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6F3CA0FB">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33624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8" w:type="pct"/>
            <w:vMerge w:val="continue"/>
            <w:shd w:val="clear" w:color="auto" w:fill="FFFFFF"/>
            <w:vAlign w:val="center"/>
          </w:tcPr>
          <w:p w14:paraId="4CDCE526">
            <w:pPr>
              <w:widowControl/>
              <w:spacing w:line="0" w:lineRule="atLeast"/>
              <w:jc w:val="center"/>
              <w:rPr>
                <w:color w:val="000000"/>
                <w:kern w:val="0"/>
                <w:sz w:val="22"/>
                <w:szCs w:val="22"/>
              </w:rPr>
            </w:pPr>
          </w:p>
        </w:tc>
        <w:tc>
          <w:tcPr>
            <w:tcW w:w="301" w:type="pct"/>
            <w:vMerge w:val="continue"/>
            <w:shd w:val="clear" w:color="auto" w:fill="FFFFFF"/>
            <w:vAlign w:val="center"/>
          </w:tcPr>
          <w:p w14:paraId="1AA02BA0">
            <w:pPr>
              <w:widowControl/>
              <w:spacing w:line="0" w:lineRule="atLeast"/>
              <w:jc w:val="center"/>
              <w:rPr>
                <w:color w:val="000000"/>
                <w:kern w:val="0"/>
                <w:sz w:val="22"/>
                <w:szCs w:val="22"/>
              </w:rPr>
            </w:pPr>
          </w:p>
        </w:tc>
        <w:tc>
          <w:tcPr>
            <w:tcW w:w="344" w:type="pct"/>
            <w:shd w:val="clear" w:color="auto" w:fill="FFFFFF"/>
            <w:vAlign w:val="center"/>
          </w:tcPr>
          <w:p w14:paraId="586B7D08">
            <w:pPr>
              <w:widowControl/>
              <w:spacing w:line="0" w:lineRule="atLeast"/>
              <w:jc w:val="center"/>
              <w:rPr>
                <w:color w:val="000000"/>
                <w:kern w:val="0"/>
                <w:sz w:val="22"/>
                <w:szCs w:val="22"/>
              </w:rPr>
            </w:pPr>
            <w:r>
              <w:rPr>
                <w:color w:val="000000"/>
                <w:kern w:val="0"/>
                <w:sz w:val="22"/>
                <w:szCs w:val="22"/>
              </w:rPr>
              <w:t>绩效指标</w:t>
            </w:r>
          </w:p>
          <w:p w14:paraId="4324225F">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2D19AFCD">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8" w:type="pct"/>
            <w:shd w:val="clear" w:color="000000" w:fill="FFFFFF"/>
            <w:vAlign w:val="center"/>
          </w:tcPr>
          <w:p w14:paraId="5FE0A65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0F18AB21">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5E3CED10">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3</w:t>
            </w:r>
          </w:p>
        </w:tc>
      </w:tr>
      <w:tr w14:paraId="0FA7F9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8" w:type="pct"/>
            <w:vMerge w:val="continue"/>
            <w:shd w:val="clear" w:color="auto" w:fill="FFFFFF"/>
            <w:vAlign w:val="center"/>
          </w:tcPr>
          <w:p w14:paraId="26E31F26">
            <w:pPr>
              <w:spacing w:line="0" w:lineRule="atLeast"/>
              <w:jc w:val="center"/>
              <w:rPr>
                <w:color w:val="000000"/>
                <w:kern w:val="0"/>
                <w:sz w:val="22"/>
                <w:szCs w:val="22"/>
              </w:rPr>
            </w:pPr>
          </w:p>
        </w:tc>
        <w:tc>
          <w:tcPr>
            <w:tcW w:w="301" w:type="pct"/>
            <w:vMerge w:val="restart"/>
            <w:shd w:val="clear" w:color="auto" w:fill="FFFFFF"/>
            <w:vAlign w:val="center"/>
          </w:tcPr>
          <w:p w14:paraId="16186D3E">
            <w:pPr>
              <w:widowControl/>
              <w:spacing w:line="0" w:lineRule="atLeast"/>
              <w:jc w:val="center"/>
              <w:rPr>
                <w:color w:val="000000"/>
                <w:kern w:val="0"/>
                <w:sz w:val="22"/>
                <w:szCs w:val="22"/>
              </w:rPr>
            </w:pPr>
            <w:r>
              <w:rPr>
                <w:color w:val="000000"/>
                <w:kern w:val="0"/>
                <w:sz w:val="22"/>
                <w:szCs w:val="22"/>
              </w:rPr>
              <w:t>资金投入</w:t>
            </w:r>
          </w:p>
          <w:p w14:paraId="2FF7997D">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1F77E44E">
            <w:pPr>
              <w:widowControl/>
              <w:spacing w:line="0" w:lineRule="atLeast"/>
              <w:jc w:val="center"/>
              <w:rPr>
                <w:color w:val="000000"/>
                <w:kern w:val="0"/>
                <w:sz w:val="22"/>
                <w:szCs w:val="22"/>
              </w:rPr>
            </w:pPr>
            <w:r>
              <w:rPr>
                <w:color w:val="000000"/>
                <w:kern w:val="0"/>
                <w:sz w:val="22"/>
                <w:szCs w:val="22"/>
              </w:rPr>
              <w:t>预算编制</w:t>
            </w:r>
          </w:p>
          <w:p w14:paraId="17453C83">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1662E13C">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8" w:type="pct"/>
            <w:shd w:val="clear" w:color="auto" w:fill="FFFFFF"/>
            <w:vAlign w:val="center"/>
          </w:tcPr>
          <w:p w14:paraId="6B01ADD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74ED073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14B46FC2">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610C5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8" w:type="pct"/>
            <w:vMerge w:val="continue"/>
            <w:shd w:val="clear" w:color="auto" w:fill="FFFFFF"/>
            <w:vAlign w:val="center"/>
          </w:tcPr>
          <w:p w14:paraId="2A7504EB">
            <w:pPr>
              <w:widowControl/>
              <w:spacing w:line="0" w:lineRule="atLeast"/>
              <w:jc w:val="center"/>
              <w:rPr>
                <w:color w:val="000000"/>
                <w:kern w:val="0"/>
                <w:sz w:val="22"/>
                <w:szCs w:val="22"/>
              </w:rPr>
            </w:pPr>
          </w:p>
        </w:tc>
        <w:tc>
          <w:tcPr>
            <w:tcW w:w="301" w:type="pct"/>
            <w:vMerge w:val="continue"/>
            <w:shd w:val="clear" w:color="auto" w:fill="FFFFFF"/>
            <w:vAlign w:val="center"/>
          </w:tcPr>
          <w:p w14:paraId="4F6BFBAC">
            <w:pPr>
              <w:widowControl/>
              <w:spacing w:line="0" w:lineRule="atLeast"/>
              <w:jc w:val="center"/>
              <w:rPr>
                <w:color w:val="000000"/>
                <w:kern w:val="0"/>
                <w:sz w:val="22"/>
                <w:szCs w:val="22"/>
              </w:rPr>
            </w:pPr>
          </w:p>
        </w:tc>
        <w:tc>
          <w:tcPr>
            <w:tcW w:w="344" w:type="pct"/>
            <w:shd w:val="clear" w:color="auto" w:fill="FFFFFF"/>
            <w:vAlign w:val="center"/>
          </w:tcPr>
          <w:p w14:paraId="675EB089">
            <w:pPr>
              <w:widowControl/>
              <w:spacing w:line="0" w:lineRule="atLeast"/>
              <w:jc w:val="center"/>
              <w:rPr>
                <w:color w:val="000000"/>
                <w:kern w:val="0"/>
                <w:sz w:val="22"/>
                <w:szCs w:val="22"/>
              </w:rPr>
            </w:pPr>
            <w:r>
              <w:rPr>
                <w:color w:val="000000"/>
                <w:kern w:val="0"/>
                <w:sz w:val="22"/>
                <w:szCs w:val="22"/>
              </w:rPr>
              <w:t>资金分配</w:t>
            </w:r>
          </w:p>
          <w:p w14:paraId="2ED1A296">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63533C76">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8" w:type="pct"/>
            <w:shd w:val="clear" w:color="auto" w:fill="FFFFFF"/>
            <w:vAlign w:val="center"/>
          </w:tcPr>
          <w:p w14:paraId="5CBADA6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2D401C74">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316017E7">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4B77C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8" w:type="pct"/>
            <w:vMerge w:val="restart"/>
            <w:shd w:val="clear" w:color="auto" w:fill="FFFFFF"/>
            <w:vAlign w:val="center"/>
          </w:tcPr>
          <w:p w14:paraId="2A1492B4">
            <w:pPr>
              <w:spacing w:line="0" w:lineRule="atLeast"/>
              <w:jc w:val="center"/>
              <w:rPr>
                <w:color w:val="000000"/>
                <w:kern w:val="0"/>
                <w:sz w:val="22"/>
                <w:szCs w:val="22"/>
              </w:rPr>
            </w:pPr>
          </w:p>
          <w:p w14:paraId="154D6F9A">
            <w:pPr>
              <w:spacing w:line="0" w:lineRule="atLeast"/>
              <w:jc w:val="center"/>
              <w:rPr>
                <w:color w:val="000000"/>
                <w:kern w:val="0"/>
                <w:sz w:val="22"/>
                <w:szCs w:val="22"/>
              </w:rPr>
            </w:pPr>
          </w:p>
          <w:p w14:paraId="3279D214">
            <w:pPr>
              <w:spacing w:line="0" w:lineRule="atLeast"/>
              <w:jc w:val="center"/>
              <w:rPr>
                <w:color w:val="000000"/>
                <w:kern w:val="0"/>
                <w:sz w:val="22"/>
                <w:szCs w:val="22"/>
              </w:rPr>
            </w:pPr>
          </w:p>
          <w:p w14:paraId="1654D3F7">
            <w:pPr>
              <w:spacing w:line="0" w:lineRule="atLeast"/>
              <w:jc w:val="center"/>
              <w:rPr>
                <w:color w:val="000000"/>
                <w:kern w:val="0"/>
                <w:sz w:val="22"/>
                <w:szCs w:val="22"/>
              </w:rPr>
            </w:pPr>
          </w:p>
          <w:p w14:paraId="31BE4A69">
            <w:pPr>
              <w:spacing w:line="0" w:lineRule="atLeast"/>
              <w:jc w:val="center"/>
              <w:rPr>
                <w:color w:val="000000"/>
                <w:kern w:val="0"/>
                <w:sz w:val="22"/>
                <w:szCs w:val="22"/>
              </w:rPr>
            </w:pPr>
          </w:p>
          <w:p w14:paraId="13D57EA2">
            <w:pPr>
              <w:spacing w:line="0" w:lineRule="atLeast"/>
              <w:jc w:val="center"/>
              <w:rPr>
                <w:color w:val="000000"/>
                <w:kern w:val="0"/>
                <w:sz w:val="22"/>
                <w:szCs w:val="22"/>
              </w:rPr>
            </w:pPr>
          </w:p>
          <w:p w14:paraId="3B65D8A6">
            <w:pPr>
              <w:spacing w:line="0" w:lineRule="atLeast"/>
              <w:jc w:val="center"/>
              <w:rPr>
                <w:color w:val="000000"/>
                <w:kern w:val="0"/>
                <w:sz w:val="22"/>
                <w:szCs w:val="22"/>
              </w:rPr>
            </w:pPr>
          </w:p>
          <w:p w14:paraId="596DFFA2">
            <w:pPr>
              <w:spacing w:line="0" w:lineRule="atLeast"/>
              <w:jc w:val="center"/>
              <w:rPr>
                <w:color w:val="000000"/>
                <w:kern w:val="0"/>
                <w:sz w:val="22"/>
                <w:szCs w:val="22"/>
              </w:rPr>
            </w:pPr>
          </w:p>
          <w:p w14:paraId="18892471">
            <w:pPr>
              <w:spacing w:line="0" w:lineRule="atLeast"/>
              <w:jc w:val="center"/>
              <w:rPr>
                <w:color w:val="000000"/>
                <w:kern w:val="0"/>
                <w:sz w:val="22"/>
                <w:szCs w:val="22"/>
              </w:rPr>
            </w:pPr>
          </w:p>
          <w:p w14:paraId="762D8F17">
            <w:pPr>
              <w:spacing w:line="0" w:lineRule="atLeast"/>
              <w:jc w:val="center"/>
              <w:rPr>
                <w:color w:val="000000"/>
                <w:kern w:val="0"/>
                <w:sz w:val="22"/>
                <w:szCs w:val="22"/>
              </w:rPr>
            </w:pPr>
          </w:p>
          <w:p w14:paraId="22C2D0FE">
            <w:pPr>
              <w:spacing w:line="0" w:lineRule="atLeast"/>
              <w:jc w:val="center"/>
              <w:rPr>
                <w:color w:val="000000"/>
                <w:kern w:val="0"/>
                <w:sz w:val="22"/>
                <w:szCs w:val="22"/>
              </w:rPr>
            </w:pPr>
          </w:p>
          <w:p w14:paraId="5BAFD73C">
            <w:pPr>
              <w:spacing w:line="0" w:lineRule="atLeast"/>
              <w:jc w:val="center"/>
              <w:rPr>
                <w:color w:val="000000"/>
                <w:kern w:val="0"/>
                <w:sz w:val="22"/>
                <w:szCs w:val="22"/>
              </w:rPr>
            </w:pPr>
          </w:p>
          <w:p w14:paraId="697928A7">
            <w:pPr>
              <w:spacing w:line="0" w:lineRule="atLeast"/>
              <w:jc w:val="center"/>
              <w:rPr>
                <w:color w:val="000000"/>
                <w:kern w:val="0"/>
                <w:sz w:val="22"/>
                <w:szCs w:val="22"/>
              </w:rPr>
            </w:pPr>
          </w:p>
          <w:p w14:paraId="311304C2">
            <w:pPr>
              <w:spacing w:line="0" w:lineRule="atLeast"/>
              <w:jc w:val="center"/>
              <w:rPr>
                <w:color w:val="000000"/>
                <w:kern w:val="0"/>
                <w:sz w:val="22"/>
                <w:szCs w:val="22"/>
              </w:rPr>
            </w:pPr>
          </w:p>
          <w:p w14:paraId="20D86C24">
            <w:pPr>
              <w:spacing w:line="0" w:lineRule="atLeast"/>
              <w:jc w:val="center"/>
              <w:rPr>
                <w:color w:val="000000"/>
                <w:kern w:val="0"/>
                <w:sz w:val="22"/>
                <w:szCs w:val="22"/>
              </w:rPr>
            </w:pPr>
          </w:p>
          <w:p w14:paraId="0B54EACE">
            <w:pPr>
              <w:spacing w:line="0" w:lineRule="atLeast"/>
              <w:jc w:val="center"/>
              <w:rPr>
                <w:color w:val="000000"/>
                <w:kern w:val="0"/>
                <w:sz w:val="22"/>
                <w:szCs w:val="22"/>
              </w:rPr>
            </w:pPr>
            <w:r>
              <w:rPr>
                <w:color w:val="000000"/>
                <w:kern w:val="0"/>
                <w:sz w:val="22"/>
                <w:szCs w:val="22"/>
              </w:rPr>
              <w:t>过程</w:t>
            </w:r>
          </w:p>
          <w:p w14:paraId="02E9AE65">
            <w:pPr>
              <w:widowControl/>
              <w:spacing w:line="0" w:lineRule="atLeast"/>
              <w:jc w:val="center"/>
              <w:rPr>
                <w:color w:val="000000"/>
                <w:kern w:val="0"/>
                <w:sz w:val="22"/>
                <w:szCs w:val="22"/>
              </w:rPr>
            </w:pPr>
            <w:r>
              <w:rPr>
                <w:color w:val="000000"/>
                <w:kern w:val="0"/>
                <w:sz w:val="22"/>
                <w:szCs w:val="22"/>
              </w:rPr>
              <w:t>　　</w:t>
            </w:r>
          </w:p>
        </w:tc>
        <w:tc>
          <w:tcPr>
            <w:tcW w:w="301" w:type="pct"/>
            <w:vMerge w:val="restart"/>
            <w:shd w:val="clear" w:color="auto" w:fill="FFFFFF"/>
            <w:vAlign w:val="center"/>
          </w:tcPr>
          <w:p w14:paraId="418CD7A4">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4AD6539B">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71618A48">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8" w:type="pct"/>
            <w:shd w:val="clear" w:color="000000" w:fill="FFFFFF"/>
            <w:vAlign w:val="center"/>
          </w:tcPr>
          <w:p w14:paraId="4FBBA5CA">
            <w:pPr>
              <w:widowControl/>
              <w:spacing w:line="0" w:lineRule="atLeast"/>
              <w:rPr>
                <w:color w:val="000000"/>
                <w:kern w:val="0"/>
                <w:sz w:val="22"/>
                <w:szCs w:val="22"/>
              </w:rPr>
            </w:pPr>
            <w:r>
              <w:rPr>
                <w:color w:val="000000"/>
                <w:kern w:val="0"/>
                <w:sz w:val="22"/>
                <w:szCs w:val="22"/>
              </w:rPr>
              <w:t>资金到位率=（实际到位资金/预算资金）×100%。</w:t>
            </w:r>
          </w:p>
          <w:p w14:paraId="2D925D0D">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118CE8AA">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64A85138">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01B0FFC4">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5C5CF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8" w:type="pct"/>
            <w:vMerge w:val="continue"/>
            <w:shd w:val="clear" w:color="auto" w:fill="FFFFFF"/>
            <w:vAlign w:val="center"/>
          </w:tcPr>
          <w:p w14:paraId="2F259E9A">
            <w:pPr>
              <w:spacing w:line="0" w:lineRule="atLeast"/>
              <w:jc w:val="center"/>
              <w:rPr>
                <w:color w:val="000000"/>
                <w:kern w:val="0"/>
                <w:sz w:val="22"/>
                <w:szCs w:val="22"/>
              </w:rPr>
            </w:pPr>
          </w:p>
        </w:tc>
        <w:tc>
          <w:tcPr>
            <w:tcW w:w="301" w:type="pct"/>
            <w:vMerge w:val="continue"/>
            <w:shd w:val="clear" w:color="auto" w:fill="FFFFFF"/>
            <w:vAlign w:val="center"/>
          </w:tcPr>
          <w:p w14:paraId="000DCFC8">
            <w:pPr>
              <w:spacing w:line="0" w:lineRule="atLeast"/>
              <w:jc w:val="center"/>
              <w:rPr>
                <w:color w:val="000000"/>
                <w:kern w:val="0"/>
                <w:sz w:val="22"/>
                <w:szCs w:val="22"/>
              </w:rPr>
            </w:pPr>
          </w:p>
        </w:tc>
        <w:tc>
          <w:tcPr>
            <w:tcW w:w="344" w:type="pct"/>
            <w:shd w:val="clear" w:color="auto" w:fill="FFFFFF"/>
            <w:vAlign w:val="center"/>
          </w:tcPr>
          <w:p w14:paraId="794F548F">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76FF7A08">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8" w:type="pct"/>
            <w:shd w:val="clear" w:color="auto" w:fill="FFFFFF"/>
            <w:vAlign w:val="center"/>
          </w:tcPr>
          <w:p w14:paraId="28A4ACBC">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7F038A9B">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74CCD034">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7E134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6D336167">
            <w:pPr>
              <w:spacing w:line="0" w:lineRule="atLeast"/>
              <w:jc w:val="center"/>
              <w:rPr>
                <w:color w:val="000000"/>
                <w:kern w:val="0"/>
                <w:sz w:val="22"/>
                <w:szCs w:val="22"/>
              </w:rPr>
            </w:pPr>
          </w:p>
        </w:tc>
        <w:tc>
          <w:tcPr>
            <w:tcW w:w="301" w:type="pct"/>
            <w:shd w:val="clear" w:color="auto" w:fill="FFFFFF"/>
            <w:vAlign w:val="center"/>
          </w:tcPr>
          <w:p w14:paraId="06512FEA">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7509F967">
            <w:pPr>
              <w:widowControl/>
              <w:spacing w:line="0" w:lineRule="atLeast"/>
              <w:jc w:val="center"/>
              <w:rPr>
                <w:color w:val="000000"/>
                <w:kern w:val="0"/>
                <w:sz w:val="22"/>
                <w:szCs w:val="22"/>
              </w:rPr>
            </w:pPr>
            <w:r>
              <w:rPr>
                <w:color w:val="000000"/>
                <w:kern w:val="0"/>
                <w:sz w:val="22"/>
                <w:szCs w:val="22"/>
              </w:rPr>
              <w:t>资金使用</w:t>
            </w:r>
          </w:p>
          <w:p w14:paraId="7B1CD16C">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4369B399">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8" w:type="pct"/>
            <w:shd w:val="clear" w:color="000000" w:fill="FFFFFF"/>
            <w:vAlign w:val="center"/>
          </w:tcPr>
          <w:p w14:paraId="13622922">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2869281B">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06B6C694">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6401BB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8" w:type="pct"/>
            <w:vMerge w:val="continue"/>
            <w:shd w:val="clear" w:color="auto" w:fill="FFFFFF"/>
            <w:vAlign w:val="center"/>
          </w:tcPr>
          <w:p w14:paraId="4CA2C83A">
            <w:pPr>
              <w:spacing w:line="0" w:lineRule="atLeast"/>
              <w:jc w:val="center"/>
              <w:rPr>
                <w:color w:val="000000"/>
                <w:kern w:val="0"/>
                <w:sz w:val="22"/>
                <w:szCs w:val="22"/>
              </w:rPr>
            </w:pPr>
          </w:p>
        </w:tc>
        <w:tc>
          <w:tcPr>
            <w:tcW w:w="301" w:type="pct"/>
            <w:vMerge w:val="restart"/>
            <w:shd w:val="clear" w:color="auto" w:fill="FFFFFF"/>
            <w:vAlign w:val="center"/>
          </w:tcPr>
          <w:p w14:paraId="24FD843E">
            <w:pPr>
              <w:widowControl/>
              <w:spacing w:line="0" w:lineRule="atLeast"/>
              <w:jc w:val="center"/>
              <w:rPr>
                <w:color w:val="000000"/>
                <w:kern w:val="0"/>
                <w:sz w:val="22"/>
                <w:szCs w:val="22"/>
              </w:rPr>
            </w:pPr>
            <w:r>
              <w:rPr>
                <w:color w:val="000000"/>
                <w:kern w:val="0"/>
                <w:sz w:val="22"/>
                <w:szCs w:val="22"/>
              </w:rPr>
              <w:t>组织实施</w:t>
            </w:r>
          </w:p>
          <w:p w14:paraId="18047613">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3173C473">
            <w:pPr>
              <w:widowControl/>
              <w:spacing w:line="0" w:lineRule="atLeast"/>
              <w:jc w:val="center"/>
              <w:rPr>
                <w:color w:val="000000"/>
                <w:kern w:val="0"/>
                <w:sz w:val="22"/>
                <w:szCs w:val="22"/>
              </w:rPr>
            </w:pPr>
            <w:r>
              <w:rPr>
                <w:color w:val="000000"/>
                <w:kern w:val="0"/>
                <w:sz w:val="22"/>
                <w:szCs w:val="22"/>
              </w:rPr>
              <w:t>管理制度</w:t>
            </w:r>
          </w:p>
          <w:p w14:paraId="735CCD8C">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0FF11686">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8" w:type="pct"/>
            <w:shd w:val="clear" w:color="000000" w:fill="FFFFFF"/>
            <w:vAlign w:val="center"/>
          </w:tcPr>
          <w:p w14:paraId="69D97D3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325C5530">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2CEB118C">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0797D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8" w:type="pct"/>
            <w:vMerge w:val="continue"/>
            <w:shd w:val="clear" w:color="auto" w:fill="FFFFFF"/>
            <w:vAlign w:val="center"/>
          </w:tcPr>
          <w:p w14:paraId="3ED35606">
            <w:pPr>
              <w:widowControl/>
              <w:spacing w:line="0" w:lineRule="atLeast"/>
              <w:jc w:val="center"/>
              <w:rPr>
                <w:color w:val="000000"/>
                <w:kern w:val="0"/>
                <w:sz w:val="22"/>
                <w:szCs w:val="22"/>
              </w:rPr>
            </w:pPr>
          </w:p>
        </w:tc>
        <w:tc>
          <w:tcPr>
            <w:tcW w:w="301" w:type="pct"/>
            <w:vMerge w:val="continue"/>
            <w:shd w:val="clear" w:color="auto" w:fill="FFFFFF"/>
            <w:vAlign w:val="center"/>
          </w:tcPr>
          <w:p w14:paraId="482E5218">
            <w:pPr>
              <w:widowControl/>
              <w:spacing w:line="0" w:lineRule="atLeast"/>
              <w:jc w:val="center"/>
              <w:rPr>
                <w:color w:val="000000"/>
                <w:kern w:val="0"/>
                <w:sz w:val="22"/>
                <w:szCs w:val="22"/>
              </w:rPr>
            </w:pPr>
          </w:p>
        </w:tc>
        <w:tc>
          <w:tcPr>
            <w:tcW w:w="344" w:type="pct"/>
            <w:shd w:val="clear" w:color="auto" w:fill="FFFFFF"/>
            <w:vAlign w:val="center"/>
          </w:tcPr>
          <w:p w14:paraId="169FC551">
            <w:pPr>
              <w:widowControl/>
              <w:spacing w:line="0" w:lineRule="atLeast"/>
              <w:jc w:val="center"/>
              <w:rPr>
                <w:color w:val="000000"/>
                <w:kern w:val="0"/>
                <w:sz w:val="22"/>
                <w:szCs w:val="22"/>
              </w:rPr>
            </w:pPr>
            <w:r>
              <w:rPr>
                <w:color w:val="000000"/>
                <w:kern w:val="0"/>
                <w:sz w:val="22"/>
                <w:szCs w:val="22"/>
              </w:rPr>
              <w:t>制度执行</w:t>
            </w:r>
          </w:p>
          <w:p w14:paraId="769AE7D8">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4A56E280">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8" w:type="pct"/>
            <w:shd w:val="clear" w:color="000000" w:fill="FFFFFF"/>
            <w:vAlign w:val="center"/>
          </w:tcPr>
          <w:p w14:paraId="0DB94BB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15B54427">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4DC8079B">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4</w:t>
            </w:r>
          </w:p>
        </w:tc>
      </w:tr>
      <w:tr w14:paraId="50A4D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8" w:type="pct"/>
            <w:vMerge w:val="restart"/>
            <w:shd w:val="clear" w:color="auto" w:fill="FFFFFF"/>
            <w:vAlign w:val="center"/>
          </w:tcPr>
          <w:p w14:paraId="4992B432">
            <w:pPr>
              <w:widowControl/>
              <w:spacing w:line="0" w:lineRule="atLeast"/>
              <w:jc w:val="center"/>
              <w:rPr>
                <w:color w:val="000000"/>
                <w:kern w:val="0"/>
                <w:sz w:val="22"/>
                <w:szCs w:val="22"/>
              </w:rPr>
            </w:pPr>
            <w:r>
              <w:rPr>
                <w:color w:val="000000"/>
                <w:kern w:val="0"/>
                <w:sz w:val="22"/>
                <w:szCs w:val="22"/>
              </w:rPr>
              <w:t>产出</w:t>
            </w:r>
          </w:p>
        </w:tc>
        <w:tc>
          <w:tcPr>
            <w:tcW w:w="301" w:type="pct"/>
            <w:shd w:val="clear" w:color="auto" w:fill="FFFFFF"/>
            <w:vAlign w:val="center"/>
          </w:tcPr>
          <w:p w14:paraId="19B2D432">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74B28F71">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7CE3D2E7">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8" w:type="pct"/>
            <w:shd w:val="clear" w:color="000000" w:fill="FFFFFF"/>
            <w:vAlign w:val="center"/>
          </w:tcPr>
          <w:p w14:paraId="3B295196">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44ED458B">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341FDE14">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8</w:t>
            </w:r>
          </w:p>
        </w:tc>
      </w:tr>
      <w:tr w14:paraId="65816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8" w:type="pct"/>
            <w:vMerge w:val="continue"/>
            <w:shd w:val="clear" w:color="auto" w:fill="FFFFFF"/>
            <w:vAlign w:val="center"/>
          </w:tcPr>
          <w:p w14:paraId="5A9E08D6">
            <w:pPr>
              <w:widowControl/>
              <w:spacing w:line="0" w:lineRule="atLeast"/>
              <w:jc w:val="center"/>
              <w:rPr>
                <w:color w:val="000000"/>
                <w:kern w:val="0"/>
                <w:sz w:val="22"/>
                <w:szCs w:val="22"/>
              </w:rPr>
            </w:pPr>
          </w:p>
        </w:tc>
        <w:tc>
          <w:tcPr>
            <w:tcW w:w="301" w:type="pct"/>
            <w:shd w:val="clear" w:color="auto" w:fill="FFFFFF"/>
            <w:vAlign w:val="center"/>
          </w:tcPr>
          <w:p w14:paraId="1DCB4FF5">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62253828">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293B67CE">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8" w:type="pct"/>
            <w:shd w:val="clear" w:color="000000" w:fill="FFFFFF"/>
            <w:vAlign w:val="center"/>
          </w:tcPr>
          <w:p w14:paraId="0516EDEF">
            <w:pPr>
              <w:widowControl/>
              <w:spacing w:line="0" w:lineRule="atLeast"/>
              <w:rPr>
                <w:color w:val="000000"/>
                <w:kern w:val="0"/>
                <w:sz w:val="22"/>
                <w:szCs w:val="22"/>
              </w:rPr>
            </w:pPr>
            <w:r>
              <w:rPr>
                <w:color w:val="000000"/>
                <w:kern w:val="0"/>
                <w:sz w:val="22"/>
                <w:szCs w:val="22"/>
              </w:rPr>
              <w:t>质量达标率=（质量达标产出数/实际产出数）×100%。</w:t>
            </w:r>
          </w:p>
          <w:p w14:paraId="31CDB38E">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3946ECA">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3B6C7151">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396C38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8" w:type="pct"/>
            <w:vMerge w:val="continue"/>
            <w:shd w:val="clear" w:color="auto" w:fill="FFFFFF"/>
            <w:vAlign w:val="center"/>
          </w:tcPr>
          <w:p w14:paraId="1F089190">
            <w:pPr>
              <w:spacing w:line="0" w:lineRule="atLeast"/>
              <w:jc w:val="center"/>
              <w:rPr>
                <w:color w:val="000000"/>
                <w:kern w:val="0"/>
                <w:sz w:val="22"/>
                <w:szCs w:val="22"/>
              </w:rPr>
            </w:pPr>
          </w:p>
        </w:tc>
        <w:tc>
          <w:tcPr>
            <w:tcW w:w="301" w:type="pct"/>
            <w:shd w:val="clear" w:color="auto" w:fill="FFFFFF"/>
            <w:vAlign w:val="center"/>
          </w:tcPr>
          <w:p w14:paraId="4074B66C">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4962E465">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7A517626">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8" w:type="pct"/>
            <w:shd w:val="clear" w:color="000000" w:fill="FFFFFF"/>
            <w:vAlign w:val="center"/>
          </w:tcPr>
          <w:p w14:paraId="25554B98">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0E9C187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947C359">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198AC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8" w:type="pct"/>
            <w:vMerge w:val="continue"/>
            <w:shd w:val="clear" w:color="auto" w:fill="FFFFFF"/>
            <w:vAlign w:val="center"/>
          </w:tcPr>
          <w:p w14:paraId="397B8601">
            <w:pPr>
              <w:widowControl/>
              <w:spacing w:line="0" w:lineRule="atLeast"/>
              <w:jc w:val="center"/>
              <w:rPr>
                <w:color w:val="000000"/>
                <w:kern w:val="0"/>
                <w:sz w:val="22"/>
                <w:szCs w:val="22"/>
              </w:rPr>
            </w:pPr>
          </w:p>
        </w:tc>
        <w:tc>
          <w:tcPr>
            <w:tcW w:w="301" w:type="pct"/>
            <w:shd w:val="clear" w:color="auto" w:fill="FFFFFF"/>
            <w:vAlign w:val="center"/>
          </w:tcPr>
          <w:p w14:paraId="35AC1147">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2B9E209B">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31F8F2DD">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8" w:type="pct"/>
            <w:shd w:val="clear" w:color="000000" w:fill="FFFFFF"/>
            <w:vAlign w:val="center"/>
          </w:tcPr>
          <w:p w14:paraId="089FC11B">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768C8B8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A6AE897">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14:paraId="635F4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8" w:type="pct"/>
            <w:vMerge w:val="restart"/>
            <w:shd w:val="clear" w:color="auto" w:fill="FFFFFF"/>
            <w:vAlign w:val="center"/>
          </w:tcPr>
          <w:p w14:paraId="7CA5BB54">
            <w:pPr>
              <w:widowControl/>
              <w:spacing w:line="0" w:lineRule="atLeast"/>
              <w:jc w:val="center"/>
              <w:rPr>
                <w:color w:val="000000"/>
                <w:kern w:val="0"/>
                <w:sz w:val="22"/>
                <w:szCs w:val="22"/>
              </w:rPr>
            </w:pPr>
            <w:r>
              <w:rPr>
                <w:color w:val="000000"/>
                <w:kern w:val="0"/>
                <w:sz w:val="22"/>
                <w:szCs w:val="22"/>
              </w:rPr>
              <w:t>效益　</w:t>
            </w:r>
          </w:p>
        </w:tc>
        <w:tc>
          <w:tcPr>
            <w:tcW w:w="301" w:type="pct"/>
            <w:vMerge w:val="restart"/>
            <w:shd w:val="clear" w:color="auto" w:fill="FFFFFF"/>
            <w:vAlign w:val="center"/>
          </w:tcPr>
          <w:p w14:paraId="5CB0030C">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3DC349A0">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761F9F0C">
            <w:pPr>
              <w:widowControl/>
              <w:spacing w:line="0" w:lineRule="atLeast"/>
              <w:jc w:val="left"/>
              <w:rPr>
                <w:color w:val="000000"/>
                <w:kern w:val="0"/>
                <w:sz w:val="22"/>
                <w:szCs w:val="22"/>
              </w:rPr>
            </w:pPr>
            <w:r>
              <w:rPr>
                <w:color w:val="000000"/>
                <w:kern w:val="0"/>
                <w:sz w:val="22"/>
                <w:szCs w:val="22"/>
              </w:rPr>
              <w:t>项目实施所产生的效益。</w:t>
            </w:r>
          </w:p>
        </w:tc>
        <w:tc>
          <w:tcPr>
            <w:tcW w:w="2048" w:type="pct"/>
            <w:shd w:val="clear" w:color="auto" w:fill="FFFFFF"/>
            <w:vAlign w:val="center"/>
          </w:tcPr>
          <w:p w14:paraId="1DF03278">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484DBC1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14:paraId="35C3FBED">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15</w:t>
            </w:r>
          </w:p>
        </w:tc>
      </w:tr>
      <w:tr w14:paraId="22F59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8" w:type="pct"/>
            <w:vMerge w:val="continue"/>
            <w:shd w:val="clear" w:color="auto" w:fill="FFFFFF"/>
            <w:vAlign w:val="center"/>
          </w:tcPr>
          <w:p w14:paraId="1CB51381">
            <w:pPr>
              <w:widowControl/>
              <w:spacing w:line="0" w:lineRule="atLeast"/>
              <w:jc w:val="center"/>
              <w:rPr>
                <w:color w:val="000000"/>
                <w:kern w:val="0"/>
                <w:sz w:val="22"/>
                <w:szCs w:val="22"/>
              </w:rPr>
            </w:pPr>
          </w:p>
        </w:tc>
        <w:tc>
          <w:tcPr>
            <w:tcW w:w="301" w:type="pct"/>
            <w:vMerge w:val="continue"/>
            <w:shd w:val="clear" w:color="auto" w:fill="FFFFFF"/>
            <w:vAlign w:val="center"/>
          </w:tcPr>
          <w:p w14:paraId="6428C5F5">
            <w:pPr>
              <w:widowControl/>
              <w:spacing w:line="0" w:lineRule="atLeast"/>
              <w:jc w:val="center"/>
              <w:rPr>
                <w:color w:val="000000"/>
                <w:kern w:val="0"/>
                <w:sz w:val="22"/>
                <w:szCs w:val="22"/>
              </w:rPr>
            </w:pPr>
          </w:p>
        </w:tc>
        <w:tc>
          <w:tcPr>
            <w:tcW w:w="344" w:type="pct"/>
            <w:shd w:val="clear" w:color="auto" w:fill="FFFFFF"/>
            <w:vAlign w:val="center"/>
          </w:tcPr>
          <w:p w14:paraId="4860EDE7">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24C59079">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8" w:type="pct"/>
            <w:shd w:val="clear" w:color="000000" w:fill="FFFFFF"/>
            <w:vAlign w:val="center"/>
          </w:tcPr>
          <w:p w14:paraId="48E12AC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14EF8002">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487EE593">
            <w:pPr>
              <w:widowControl/>
              <w:spacing w:line="0" w:lineRule="atLeast"/>
              <w:jc w:val="center"/>
              <w:rPr>
                <w:rFonts w:hint="eastAsia" w:eastAsia="宋体"/>
                <w:b/>
                <w:bCs/>
                <w:color w:val="000000"/>
                <w:kern w:val="0"/>
                <w:sz w:val="22"/>
                <w:szCs w:val="22"/>
                <w:lang w:val="en-US" w:eastAsia="zh-CN"/>
              </w:rPr>
            </w:pPr>
            <w:r>
              <w:rPr>
                <w:rFonts w:hint="eastAsia"/>
                <w:b/>
                <w:bCs/>
                <w:color w:val="000000"/>
                <w:kern w:val="0"/>
                <w:sz w:val="22"/>
                <w:szCs w:val="22"/>
                <w:lang w:val="en-US" w:eastAsia="zh-CN"/>
              </w:rPr>
              <w:t>5</w:t>
            </w:r>
          </w:p>
        </w:tc>
      </w:tr>
    </w:tbl>
    <w:p w14:paraId="7570944A"/>
    <w:p w14:paraId="0F25F99D"/>
    <w:p w14:paraId="4B0B6F09">
      <w:pPr>
        <w:pageBreakBefore w:val="0"/>
        <w:kinsoku/>
        <w:wordWrap/>
        <w:overflowPunct/>
        <w:topLinePunct w:val="0"/>
        <w:autoSpaceDE/>
        <w:autoSpaceDN/>
        <w:bidi w:val="0"/>
        <w:adjustRightInd/>
        <w:snapToGrid/>
        <w:spacing w:line="560" w:lineRule="exact"/>
        <w:rPr>
          <w:rStyle w:val="24"/>
          <w:rFonts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FAF3133">
        <w:pPr>
          <w:pStyle w:val="16"/>
          <w:jc w:val="center"/>
        </w:pPr>
        <w:r>
          <w:fldChar w:fldCharType="begin"/>
        </w:r>
        <w:r>
          <w:instrText xml:space="preserve">PAGE   \* MERGEFORMAT</w:instrText>
        </w:r>
        <w:r>
          <w:fldChar w:fldCharType="separate"/>
        </w:r>
        <w:r>
          <w:rPr>
            <w:lang w:val="zh-CN"/>
          </w:rPr>
          <w:t>17</w:t>
        </w:r>
        <w:r>
          <w:fldChar w:fldCharType="end"/>
        </w:r>
      </w:p>
    </w:sdtContent>
  </w:sdt>
  <w:p w14:paraId="10E20FE8">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5E941A6D"/>
    <w:multiLevelType w:val="singleLevel"/>
    <w:tmpl w:val="5E941A6D"/>
    <w:lvl w:ilvl="0" w:tentative="0">
      <w:start w:val="1"/>
      <w:numFmt w:val="decimal"/>
      <w:lvlText w:val="%1."/>
      <w:lvlJc w:val="left"/>
      <w:pPr>
        <w:tabs>
          <w:tab w:val="left" w:pos="312"/>
        </w:tabs>
      </w:p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BF847A"/>
    <w:rsid w:val="12E657C5"/>
    <w:rsid w:val="133C6E2A"/>
    <w:rsid w:val="167C7687"/>
    <w:rsid w:val="168B3546"/>
    <w:rsid w:val="1A2374E0"/>
    <w:rsid w:val="1C317CE2"/>
    <w:rsid w:val="1DCF6C9A"/>
    <w:rsid w:val="1DD45808"/>
    <w:rsid w:val="1DED42AC"/>
    <w:rsid w:val="20005763"/>
    <w:rsid w:val="20FB313D"/>
    <w:rsid w:val="220B4804"/>
    <w:rsid w:val="278B653F"/>
    <w:rsid w:val="282475E3"/>
    <w:rsid w:val="29E421D9"/>
    <w:rsid w:val="2C6100C1"/>
    <w:rsid w:val="2CB54E8B"/>
    <w:rsid w:val="3235157C"/>
    <w:rsid w:val="3264220D"/>
    <w:rsid w:val="32A83563"/>
    <w:rsid w:val="38872456"/>
    <w:rsid w:val="3963178C"/>
    <w:rsid w:val="3BA5236D"/>
    <w:rsid w:val="3CED0699"/>
    <w:rsid w:val="3EB02FD6"/>
    <w:rsid w:val="41CC2676"/>
    <w:rsid w:val="46B21672"/>
    <w:rsid w:val="4F552460"/>
    <w:rsid w:val="4FCC6863"/>
    <w:rsid w:val="500A214A"/>
    <w:rsid w:val="522D604D"/>
    <w:rsid w:val="5297585E"/>
    <w:rsid w:val="52AD7D6F"/>
    <w:rsid w:val="5549519D"/>
    <w:rsid w:val="5557596B"/>
    <w:rsid w:val="5B596DFC"/>
    <w:rsid w:val="5D6D6F1A"/>
    <w:rsid w:val="5DAE6D00"/>
    <w:rsid w:val="5DF03945"/>
    <w:rsid w:val="5F03526B"/>
    <w:rsid w:val="5FEF6F94"/>
    <w:rsid w:val="62E515AF"/>
    <w:rsid w:val="637C2815"/>
    <w:rsid w:val="666B4FDC"/>
    <w:rsid w:val="67FF13C8"/>
    <w:rsid w:val="682144B7"/>
    <w:rsid w:val="6B503F77"/>
    <w:rsid w:val="6E311968"/>
    <w:rsid w:val="6FB95CC7"/>
    <w:rsid w:val="6FEFFDBB"/>
    <w:rsid w:val="72FF7B1A"/>
    <w:rsid w:val="77E497D6"/>
    <w:rsid w:val="7A353D0B"/>
    <w:rsid w:val="7CB927D8"/>
    <w:rsid w:val="7D3A5E2F"/>
    <w:rsid w:val="7EFF6AED"/>
    <w:rsid w:val="7FFF4195"/>
    <w:rsid w:val="B7FFAC9D"/>
    <w:rsid w:val="BF3EB5F0"/>
    <w:rsid w:val="BF6A9536"/>
    <w:rsid w:val="DFAD248D"/>
    <w:rsid w:val="F7F8941F"/>
    <w:rsid w:val="F8EB3904"/>
    <w:rsid w:val="FBE7C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0">
    <w:name w:val="Body Text First Indent"/>
    <w:basedOn w:val="13"/>
    <w:qFormat/>
    <w:uiPriority w:val="0"/>
    <w:pPr>
      <w:spacing w:after="0"/>
      <w:ind w:firstLine="200" w:firstLineChars="200"/>
    </w:pPr>
  </w:style>
  <w:style w:type="paragraph" w:styleId="21">
    <w:name w:val="Body Text First Indent 2"/>
    <w:basedOn w:val="14"/>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character" w:customStyle="1" w:styleId="26">
    <w:name w:val="标题 1 字符"/>
    <w:basedOn w:val="23"/>
    <w:link w:val="3"/>
    <w:qFormat/>
    <w:uiPriority w:val="9"/>
    <w:rPr>
      <w:rFonts w:asciiTheme="majorHAnsi" w:hAnsiTheme="majorHAnsi" w:eastAsiaTheme="majorEastAsia"/>
      <w:b/>
      <w:bCs/>
      <w:kern w:val="32"/>
      <w:sz w:val="32"/>
      <w:szCs w:val="32"/>
    </w:rPr>
  </w:style>
  <w:style w:type="character" w:customStyle="1" w:styleId="27">
    <w:name w:val="标题 2 字符"/>
    <w:basedOn w:val="23"/>
    <w:link w:val="4"/>
    <w:semiHidden/>
    <w:qFormat/>
    <w:uiPriority w:val="9"/>
    <w:rPr>
      <w:rFonts w:asciiTheme="majorHAnsi" w:hAnsiTheme="majorHAnsi" w:eastAsiaTheme="majorEastAsia"/>
      <w:b/>
      <w:bCs/>
      <w:i/>
      <w:iCs/>
      <w:sz w:val="28"/>
      <w:szCs w:val="28"/>
    </w:rPr>
  </w:style>
  <w:style w:type="character" w:customStyle="1" w:styleId="28">
    <w:name w:val="标题 3 字符"/>
    <w:basedOn w:val="23"/>
    <w:link w:val="5"/>
    <w:semiHidden/>
    <w:qFormat/>
    <w:uiPriority w:val="9"/>
    <w:rPr>
      <w:rFonts w:asciiTheme="majorHAnsi" w:hAnsiTheme="majorHAnsi" w:eastAsiaTheme="majorEastAsia"/>
      <w:b/>
      <w:bCs/>
      <w:sz w:val="26"/>
      <w:szCs w:val="26"/>
    </w:rPr>
  </w:style>
  <w:style w:type="character" w:customStyle="1" w:styleId="29">
    <w:name w:val="标题 4 字符"/>
    <w:basedOn w:val="23"/>
    <w:link w:val="6"/>
    <w:semiHidden/>
    <w:qFormat/>
    <w:uiPriority w:val="9"/>
    <w:rPr>
      <w:b/>
      <w:bCs/>
      <w:sz w:val="28"/>
      <w:szCs w:val="28"/>
    </w:rPr>
  </w:style>
  <w:style w:type="character" w:customStyle="1" w:styleId="30">
    <w:name w:val="标题 5 字符"/>
    <w:basedOn w:val="23"/>
    <w:link w:val="7"/>
    <w:semiHidden/>
    <w:qFormat/>
    <w:uiPriority w:val="9"/>
    <w:rPr>
      <w:b/>
      <w:bCs/>
      <w:i/>
      <w:iCs/>
      <w:sz w:val="26"/>
      <w:szCs w:val="26"/>
    </w:rPr>
  </w:style>
  <w:style w:type="character" w:customStyle="1" w:styleId="31">
    <w:name w:val="标题 6 字符"/>
    <w:basedOn w:val="23"/>
    <w:link w:val="8"/>
    <w:semiHidden/>
    <w:qFormat/>
    <w:uiPriority w:val="9"/>
    <w:rPr>
      <w:b/>
      <w:bCs/>
    </w:rPr>
  </w:style>
  <w:style w:type="character" w:customStyle="1" w:styleId="32">
    <w:name w:val="标题 7 字符"/>
    <w:basedOn w:val="23"/>
    <w:link w:val="9"/>
    <w:semiHidden/>
    <w:qFormat/>
    <w:uiPriority w:val="9"/>
    <w:rPr>
      <w:sz w:val="24"/>
      <w:szCs w:val="24"/>
    </w:rPr>
  </w:style>
  <w:style w:type="character" w:customStyle="1" w:styleId="33">
    <w:name w:val="标题 8 字符"/>
    <w:basedOn w:val="23"/>
    <w:link w:val="10"/>
    <w:semiHidden/>
    <w:qFormat/>
    <w:uiPriority w:val="9"/>
    <w:rPr>
      <w:i/>
      <w:iCs/>
      <w:sz w:val="24"/>
      <w:szCs w:val="24"/>
    </w:rPr>
  </w:style>
  <w:style w:type="character" w:customStyle="1" w:styleId="34">
    <w:name w:val="标题 9 字符"/>
    <w:basedOn w:val="23"/>
    <w:link w:val="11"/>
    <w:semiHidden/>
    <w:qFormat/>
    <w:uiPriority w:val="9"/>
    <w:rPr>
      <w:rFonts w:asciiTheme="majorHAnsi" w:hAnsiTheme="majorHAnsi" w:eastAsiaTheme="majorEastAsia"/>
    </w:rPr>
  </w:style>
  <w:style w:type="character" w:customStyle="1" w:styleId="35">
    <w:name w:val="标题 字符"/>
    <w:basedOn w:val="23"/>
    <w:link w:val="2"/>
    <w:qFormat/>
    <w:uiPriority w:val="10"/>
    <w:rPr>
      <w:rFonts w:asciiTheme="majorHAnsi" w:hAnsiTheme="majorHAnsi" w:eastAsiaTheme="majorEastAsia"/>
      <w:b/>
      <w:bCs/>
      <w:kern w:val="28"/>
      <w:sz w:val="32"/>
      <w:szCs w:val="32"/>
    </w:rPr>
  </w:style>
  <w:style w:type="character" w:customStyle="1" w:styleId="36">
    <w:name w:val="副标题 字符"/>
    <w:basedOn w:val="23"/>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3"/>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3"/>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3"/>
    <w:qFormat/>
    <w:uiPriority w:val="21"/>
    <w:rPr>
      <w:b/>
      <w:i/>
      <w:sz w:val="24"/>
      <w:szCs w:val="24"/>
      <w:u w:val="single"/>
    </w:rPr>
  </w:style>
  <w:style w:type="character" w:customStyle="1" w:styleId="45">
    <w:name w:val="不明显参考1"/>
    <w:basedOn w:val="23"/>
    <w:qFormat/>
    <w:uiPriority w:val="31"/>
    <w:rPr>
      <w:sz w:val="24"/>
      <w:szCs w:val="24"/>
      <w:u w:val="single"/>
    </w:rPr>
  </w:style>
  <w:style w:type="character" w:customStyle="1" w:styleId="46">
    <w:name w:val="明显参考1"/>
    <w:basedOn w:val="23"/>
    <w:qFormat/>
    <w:uiPriority w:val="32"/>
    <w:rPr>
      <w:b/>
      <w:sz w:val="24"/>
      <w:u w:val="single"/>
    </w:rPr>
  </w:style>
  <w:style w:type="character" w:customStyle="1" w:styleId="47">
    <w:name w:val="书籍标题1"/>
    <w:basedOn w:val="23"/>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3"/>
    <w:link w:val="17"/>
    <w:qFormat/>
    <w:uiPriority w:val="99"/>
    <w:rPr>
      <w:rFonts w:ascii="Calibri" w:hAnsi="Calibri" w:eastAsia="宋体"/>
      <w:kern w:val="2"/>
      <w:sz w:val="18"/>
      <w:szCs w:val="18"/>
    </w:rPr>
  </w:style>
  <w:style w:type="character" w:customStyle="1" w:styleId="50">
    <w:name w:val="页脚 字符"/>
    <w:basedOn w:val="23"/>
    <w:link w:val="16"/>
    <w:qFormat/>
    <w:uiPriority w:val="99"/>
    <w:rPr>
      <w:rFonts w:ascii="Calibri" w:hAnsi="Calibri" w:eastAsia="宋体"/>
      <w:kern w:val="2"/>
      <w:sz w:val="18"/>
      <w:szCs w:val="18"/>
    </w:rPr>
  </w:style>
  <w:style w:type="character" w:customStyle="1" w:styleId="51">
    <w:name w:val="批注框文本 字符"/>
    <w:basedOn w:val="23"/>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9392</Words>
  <Characters>9773</Characters>
  <Lines>50</Lines>
  <Paragraphs>14</Paragraphs>
  <TotalTime>4</TotalTime>
  <ScaleCrop>false</ScaleCrop>
  <LinksUpToDate>false</LinksUpToDate>
  <CharactersWithSpaces>9800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2020-07-07T00:35:00Z</dcterms:created>
  <dc:creator>赵 恺（预算处）</dc:creator>
  <cp:lastModifiedBy>岁月无痕</cp:lastModifiedBy>
  <cp:lastPrinted>2020-01-03T00:02:00Z</cp:lastPrinted>
  <dcterms:modified xsi:type="dcterms:W3CDTF">2024-08-16T04:48:10Z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