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8CDB4">
      <w:pPr>
        <w:spacing w:line="540" w:lineRule="exact"/>
        <w:jc w:val="center"/>
        <w:rPr>
          <w:rFonts w:eastAsia="华文中宋"/>
          <w:b/>
          <w:kern w:val="0"/>
          <w:sz w:val="52"/>
          <w:szCs w:val="52"/>
        </w:rPr>
      </w:pPr>
    </w:p>
    <w:p w14:paraId="248E086E">
      <w:pPr>
        <w:spacing w:line="540" w:lineRule="exact"/>
        <w:rPr>
          <w:rFonts w:eastAsia="华文中宋"/>
          <w:b/>
          <w:kern w:val="0"/>
          <w:sz w:val="52"/>
          <w:szCs w:val="52"/>
        </w:rPr>
      </w:pPr>
    </w:p>
    <w:p w14:paraId="3EC464A3">
      <w:pPr>
        <w:spacing w:line="540" w:lineRule="exact"/>
        <w:jc w:val="center"/>
        <w:rPr>
          <w:rFonts w:eastAsia="华文中宋"/>
          <w:b/>
          <w:kern w:val="0"/>
          <w:sz w:val="52"/>
          <w:szCs w:val="52"/>
        </w:rPr>
      </w:pPr>
    </w:p>
    <w:p w14:paraId="05695FAC">
      <w:pPr>
        <w:spacing w:line="540" w:lineRule="exact"/>
        <w:jc w:val="center"/>
        <w:rPr>
          <w:rFonts w:eastAsia="华文中宋"/>
          <w:b/>
          <w:kern w:val="0"/>
          <w:sz w:val="52"/>
          <w:szCs w:val="52"/>
        </w:rPr>
      </w:pPr>
    </w:p>
    <w:p w14:paraId="1C6782F5">
      <w:pPr>
        <w:spacing w:line="540" w:lineRule="exact"/>
        <w:jc w:val="center"/>
        <w:rPr>
          <w:rFonts w:hint="eastAsia" w:eastAsia="方正小标宋_GBK"/>
          <w:kern w:val="0"/>
          <w:sz w:val="48"/>
          <w:szCs w:val="48"/>
          <w:lang w:eastAsia="zh-CN"/>
        </w:rPr>
      </w:pPr>
      <w:r>
        <w:rPr>
          <w:rFonts w:hint="eastAsia" w:eastAsia="方正小标宋_GBK"/>
          <w:kern w:val="0"/>
          <w:sz w:val="48"/>
          <w:szCs w:val="48"/>
          <w:lang w:eastAsia="zh-CN"/>
        </w:rPr>
        <w:t>关于追加自治区工信厅出国人员经费</w:t>
      </w:r>
    </w:p>
    <w:p w14:paraId="22F03030">
      <w:pPr>
        <w:spacing w:line="540" w:lineRule="exact"/>
        <w:jc w:val="center"/>
        <w:rPr>
          <w:rFonts w:eastAsia="方正小标宋_GBK"/>
          <w:kern w:val="0"/>
          <w:sz w:val="48"/>
          <w:szCs w:val="48"/>
        </w:rPr>
      </w:pPr>
      <w:r>
        <w:rPr>
          <w:rFonts w:eastAsia="方正小标宋_GBK"/>
          <w:kern w:val="0"/>
          <w:sz w:val="48"/>
          <w:szCs w:val="48"/>
        </w:rPr>
        <w:t>资金项目支出绩效评价</w:t>
      </w:r>
    </w:p>
    <w:p w14:paraId="45D23077">
      <w:pPr>
        <w:spacing w:line="540" w:lineRule="exact"/>
        <w:jc w:val="center"/>
        <w:rPr>
          <w:rFonts w:eastAsia="方正小标宋_GBK"/>
          <w:kern w:val="0"/>
          <w:sz w:val="48"/>
          <w:szCs w:val="48"/>
        </w:rPr>
      </w:pPr>
      <w:r>
        <w:rPr>
          <w:rFonts w:eastAsia="方正小标宋_GBK"/>
          <w:kern w:val="0"/>
          <w:sz w:val="48"/>
          <w:szCs w:val="48"/>
        </w:rPr>
        <w:t>报告</w:t>
      </w:r>
    </w:p>
    <w:p w14:paraId="4F11A18E">
      <w:pPr>
        <w:spacing w:line="540" w:lineRule="exact"/>
        <w:jc w:val="center"/>
        <w:rPr>
          <w:rFonts w:eastAsia="华文中宋"/>
          <w:b/>
          <w:kern w:val="0"/>
          <w:sz w:val="52"/>
          <w:szCs w:val="52"/>
        </w:rPr>
      </w:pPr>
    </w:p>
    <w:p w14:paraId="3C217030">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14:paraId="29674ED1">
      <w:pPr>
        <w:spacing w:line="540" w:lineRule="exact"/>
        <w:jc w:val="center"/>
        <w:rPr>
          <w:rFonts w:eastAsia="仿宋_GB2312"/>
          <w:kern w:val="0"/>
          <w:sz w:val="30"/>
          <w:szCs w:val="30"/>
        </w:rPr>
      </w:pPr>
    </w:p>
    <w:p w14:paraId="3BC65B55">
      <w:pPr>
        <w:spacing w:line="540" w:lineRule="exact"/>
        <w:jc w:val="center"/>
        <w:rPr>
          <w:rFonts w:eastAsia="仿宋_GB2312"/>
          <w:kern w:val="0"/>
          <w:sz w:val="30"/>
          <w:szCs w:val="30"/>
        </w:rPr>
      </w:pPr>
    </w:p>
    <w:p w14:paraId="321B53E9">
      <w:pPr>
        <w:spacing w:line="540" w:lineRule="exact"/>
        <w:jc w:val="center"/>
        <w:rPr>
          <w:rFonts w:eastAsia="仿宋_GB2312"/>
          <w:kern w:val="0"/>
          <w:sz w:val="30"/>
          <w:szCs w:val="30"/>
        </w:rPr>
      </w:pPr>
    </w:p>
    <w:p w14:paraId="5B1F585B">
      <w:pPr>
        <w:pStyle w:val="2"/>
      </w:pPr>
    </w:p>
    <w:p w14:paraId="5C3F99C0">
      <w:pPr>
        <w:spacing w:line="540" w:lineRule="exact"/>
        <w:jc w:val="center"/>
        <w:rPr>
          <w:rFonts w:eastAsia="仿宋_GB2312"/>
          <w:kern w:val="0"/>
          <w:sz w:val="30"/>
          <w:szCs w:val="30"/>
        </w:rPr>
      </w:pPr>
    </w:p>
    <w:p w14:paraId="084CC040">
      <w:pPr>
        <w:spacing w:line="540" w:lineRule="exact"/>
        <w:rPr>
          <w:rFonts w:eastAsia="仿宋_GB2312"/>
          <w:kern w:val="0"/>
          <w:sz w:val="30"/>
          <w:szCs w:val="30"/>
        </w:rPr>
      </w:pPr>
    </w:p>
    <w:p w14:paraId="168FCD08">
      <w:pPr>
        <w:spacing w:line="700" w:lineRule="exact"/>
        <w:ind w:firstLine="1440" w:firstLineChars="400"/>
        <w:jc w:val="left"/>
        <w:rPr>
          <w:rFonts w:hint="eastAsia" w:eastAsia="仿宋_GB2312"/>
          <w:spacing w:val="-34"/>
          <w:kern w:val="0"/>
          <w:sz w:val="36"/>
          <w:szCs w:val="36"/>
          <w:lang w:eastAsia="zh-CN"/>
        </w:rPr>
      </w:pPr>
      <w:r>
        <w:rPr>
          <w:rFonts w:eastAsia="仿宋_GB2312"/>
          <w:kern w:val="0"/>
          <w:sz w:val="36"/>
          <w:szCs w:val="36"/>
        </w:rPr>
        <w:t>项目名称：</w:t>
      </w:r>
      <w:r>
        <w:rPr>
          <w:rFonts w:hint="eastAsia" w:eastAsia="仿宋_GB2312"/>
          <w:spacing w:val="-23"/>
          <w:kern w:val="0"/>
          <w:sz w:val="36"/>
          <w:szCs w:val="36"/>
        </w:rPr>
        <w:t>关于追加工信厅出国人员经费</w:t>
      </w:r>
      <w:r>
        <w:rPr>
          <w:rFonts w:hint="eastAsia" w:eastAsia="仿宋_GB2312"/>
          <w:spacing w:val="-23"/>
          <w:kern w:val="0"/>
          <w:sz w:val="36"/>
          <w:szCs w:val="36"/>
          <w:lang w:eastAsia="zh-CN"/>
        </w:rPr>
        <w:t>事项</w:t>
      </w:r>
    </w:p>
    <w:p w14:paraId="4873EB35">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实施单位（公章）：</w:t>
      </w:r>
      <w:r>
        <w:rPr>
          <w:rFonts w:hint="eastAsia" w:eastAsia="仿宋_GB2312"/>
          <w:kern w:val="0"/>
          <w:sz w:val="36"/>
          <w:szCs w:val="36"/>
          <w:lang w:eastAsia="zh-CN"/>
        </w:rPr>
        <w:t>人事处</w:t>
      </w:r>
    </w:p>
    <w:p w14:paraId="4FB2823B">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主管部门（公章）：</w:t>
      </w:r>
      <w:r>
        <w:rPr>
          <w:rFonts w:hint="eastAsia" w:eastAsia="仿宋_GB2312"/>
          <w:kern w:val="0"/>
          <w:sz w:val="36"/>
          <w:szCs w:val="36"/>
          <w:lang w:eastAsia="zh-CN"/>
        </w:rPr>
        <w:t>自治区工信厅</w:t>
      </w:r>
    </w:p>
    <w:p w14:paraId="440FD8F5">
      <w:pPr>
        <w:spacing w:line="700" w:lineRule="exact"/>
        <w:ind w:firstLine="1440" w:firstLineChars="400"/>
        <w:jc w:val="left"/>
        <w:rPr>
          <w:rFonts w:hint="eastAsia" w:eastAsia="仿宋_GB2312"/>
          <w:kern w:val="0"/>
          <w:sz w:val="36"/>
          <w:szCs w:val="36"/>
          <w:lang w:val="en-US" w:eastAsia="zh-CN"/>
        </w:rPr>
      </w:pPr>
      <w:r>
        <w:rPr>
          <w:rFonts w:eastAsia="仿宋_GB2312"/>
          <w:kern w:val="0"/>
          <w:sz w:val="36"/>
          <w:szCs w:val="36"/>
        </w:rPr>
        <w:t>项目负责人（签章）：</w:t>
      </w:r>
      <w:r>
        <w:rPr>
          <w:rFonts w:hint="eastAsia" w:eastAsia="仿宋_GB2312"/>
          <w:kern w:val="0"/>
          <w:sz w:val="36"/>
          <w:szCs w:val="36"/>
          <w:lang w:val="en-US" w:eastAsia="zh-CN"/>
        </w:rPr>
        <w:t>董永军</w:t>
      </w:r>
    </w:p>
    <w:p w14:paraId="6C390B0A">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 xml:space="preserve">2024 </w:t>
      </w:r>
      <w:r>
        <w:rPr>
          <w:rFonts w:eastAsia="仿宋_GB2312"/>
          <w:kern w:val="0"/>
          <w:sz w:val="36"/>
          <w:szCs w:val="36"/>
        </w:rPr>
        <w:t>年</w:t>
      </w:r>
      <w:r>
        <w:rPr>
          <w:rFonts w:hint="eastAsia" w:eastAsia="仿宋_GB2312"/>
          <w:kern w:val="0"/>
          <w:sz w:val="36"/>
          <w:szCs w:val="36"/>
          <w:lang w:val="en-US" w:eastAsia="zh-CN"/>
        </w:rPr>
        <w:t xml:space="preserve"> 3 </w:t>
      </w:r>
      <w:r>
        <w:rPr>
          <w:rFonts w:eastAsia="仿宋_GB2312"/>
          <w:kern w:val="0"/>
          <w:sz w:val="36"/>
          <w:szCs w:val="36"/>
        </w:rPr>
        <w:t>月</w:t>
      </w:r>
      <w:r>
        <w:rPr>
          <w:rFonts w:hint="eastAsia" w:eastAsia="仿宋_GB2312"/>
          <w:kern w:val="0"/>
          <w:sz w:val="36"/>
          <w:szCs w:val="36"/>
          <w:lang w:val="en-US" w:eastAsia="zh-CN"/>
        </w:rPr>
        <w:t xml:space="preserve">14 </w:t>
      </w:r>
      <w:r>
        <w:rPr>
          <w:rFonts w:eastAsia="仿宋_GB2312"/>
          <w:kern w:val="0"/>
          <w:sz w:val="36"/>
          <w:szCs w:val="36"/>
        </w:rPr>
        <w:t>日</w:t>
      </w:r>
    </w:p>
    <w:p w14:paraId="3D255915">
      <w:pPr>
        <w:spacing w:line="540" w:lineRule="exact"/>
        <w:rPr>
          <w:rStyle w:val="15"/>
          <w:rFonts w:eastAsia="黑体"/>
          <w:b w:val="0"/>
          <w:spacing w:val="-4"/>
          <w:sz w:val="32"/>
          <w:szCs w:val="32"/>
        </w:rPr>
      </w:pPr>
    </w:p>
    <w:p w14:paraId="3B6758F4">
      <w:pPr>
        <w:spacing w:line="540" w:lineRule="exact"/>
        <w:ind w:firstLine="640"/>
        <w:rPr>
          <w:rStyle w:val="15"/>
          <w:rFonts w:eastAsia="黑体"/>
          <w:b w:val="0"/>
          <w:spacing w:val="-4"/>
          <w:sz w:val="32"/>
          <w:szCs w:val="32"/>
        </w:rPr>
      </w:pPr>
    </w:p>
    <w:p w14:paraId="123B279C">
      <w:pPr>
        <w:spacing w:line="540" w:lineRule="exact"/>
        <w:rPr>
          <w:rStyle w:val="15"/>
          <w:rFonts w:eastAsia="黑体"/>
          <w:b w:val="0"/>
          <w:spacing w:val="-4"/>
          <w:sz w:val="32"/>
          <w:szCs w:val="32"/>
        </w:rPr>
      </w:pPr>
    </w:p>
    <w:p w14:paraId="0FCCFB23">
      <w:pPr>
        <w:spacing w:line="560" w:lineRule="exact"/>
        <w:ind w:firstLine="640" w:firstLineChars="200"/>
        <w:rPr>
          <w:rFonts w:eastAsia="黑体"/>
          <w:bCs/>
          <w:sz w:val="32"/>
          <w:szCs w:val="32"/>
        </w:rPr>
        <w:sectPr>
          <w:footerReference r:id="rId5" w:type="default"/>
          <w:pgSz w:w="11906" w:h="16838"/>
          <w:pgMar w:top="1440" w:right="1558" w:bottom="1440" w:left="1800" w:header="851" w:footer="992" w:gutter="0"/>
          <w:cols w:space="425" w:num="1"/>
          <w:docGrid w:type="lines" w:linePitch="312" w:charSpace="0"/>
        </w:sectPr>
      </w:pPr>
    </w:p>
    <w:p w14:paraId="6C9476F9">
      <w:pPr>
        <w:spacing w:line="560" w:lineRule="exact"/>
        <w:ind w:firstLine="640" w:firstLineChars="200"/>
        <w:rPr>
          <w:rFonts w:eastAsia="黑体"/>
          <w:bCs/>
          <w:sz w:val="32"/>
          <w:szCs w:val="32"/>
        </w:rPr>
      </w:pPr>
      <w:r>
        <w:rPr>
          <w:rFonts w:eastAsia="黑体"/>
          <w:bCs/>
          <w:sz w:val="32"/>
          <w:szCs w:val="32"/>
        </w:rPr>
        <w:t>一、基本情况</w:t>
      </w:r>
    </w:p>
    <w:p w14:paraId="08F9B381">
      <w:pPr>
        <w:spacing w:line="560" w:lineRule="exact"/>
        <w:ind w:firstLine="643" w:firstLineChars="200"/>
        <w:rPr>
          <w:rFonts w:eastAsia="楷体_GB2312"/>
          <w:b/>
          <w:bCs/>
          <w:sz w:val="32"/>
          <w:szCs w:val="32"/>
        </w:rPr>
      </w:pPr>
      <w:r>
        <w:rPr>
          <w:rFonts w:eastAsia="楷体_GB2312"/>
          <w:b/>
          <w:bCs/>
          <w:sz w:val="32"/>
          <w:szCs w:val="32"/>
        </w:rPr>
        <w:t>（一）项目概况</w:t>
      </w:r>
    </w:p>
    <w:p w14:paraId="1E6518AA">
      <w:pPr>
        <w:spacing w:line="560" w:lineRule="exact"/>
        <w:ind w:firstLine="643" w:firstLineChars="200"/>
        <w:rPr>
          <w:rFonts w:eastAsia="仿宋_GB2312"/>
          <w:b/>
          <w:bCs/>
          <w:sz w:val="32"/>
          <w:szCs w:val="32"/>
        </w:rPr>
      </w:pPr>
      <w:r>
        <w:rPr>
          <w:rFonts w:eastAsia="仿宋_GB2312"/>
          <w:b/>
          <w:bCs/>
          <w:sz w:val="32"/>
          <w:szCs w:val="32"/>
        </w:rPr>
        <w:t>1、项目背景</w:t>
      </w:r>
    </w:p>
    <w:p w14:paraId="78848B9A">
      <w:pPr>
        <w:spacing w:line="560" w:lineRule="exact"/>
        <w:ind w:firstLine="640" w:firstLineChars="200"/>
        <w:rPr>
          <w:rFonts w:hint="eastAsia"/>
          <w:lang w:eastAsia="zh-CN"/>
        </w:rPr>
      </w:pPr>
      <w:r>
        <w:rPr>
          <w:rFonts w:hint="default" w:ascii="Times New Roman" w:hAnsi="Times New Roman" w:eastAsia="仿宋_GB2312" w:cs="Times New Roman"/>
          <w:sz w:val="32"/>
          <w:szCs w:val="32"/>
          <w:lang w:val="en-US" w:eastAsia="zh-CN"/>
        </w:rPr>
        <w:t>根据自治区人民政府第22次常务会议研究同意新疆贸促会在乌兹别克斯坦塔什干市举办第十二届乌兹别克斯坦-中国新疆商品展览会。经研究，拟由自治区工信厅阿不力克木·艾则孜同志</w:t>
      </w:r>
      <w:r>
        <w:rPr>
          <w:rFonts w:hint="default" w:ascii="Times New Roman" w:hAnsi="Times New Roman" w:eastAsia="仿宋_GB2312" w:cs="Times New Roman"/>
          <w:sz w:val="32"/>
          <w:szCs w:val="32"/>
          <w:lang w:eastAsia="zh-CN"/>
        </w:rPr>
        <w:t>作为公务团成员陪同自治区党委常委、政府副主席玉苏甫江</w:t>
      </w:r>
      <w:r>
        <w:rPr>
          <w:rFonts w:hint="default" w:ascii="Times New Roman" w:hAnsi="Times New Roman" w:eastAsia="仿宋_GB2312" w:cs="Times New Roman"/>
          <w:sz w:val="32"/>
          <w:szCs w:val="32"/>
          <w:lang w:val="en-US" w:eastAsia="zh-CN"/>
        </w:rPr>
        <w:t>·麦麦提于2023年9月2日至6日</w:t>
      </w:r>
      <w:r>
        <w:rPr>
          <w:rFonts w:hint="default" w:ascii="Times New Roman" w:hAnsi="Times New Roman" w:eastAsia="仿宋_GB2312" w:cs="Times New Roman"/>
          <w:sz w:val="32"/>
          <w:szCs w:val="32"/>
          <w:lang w:eastAsia="zh-CN"/>
        </w:rPr>
        <w:t>出访乌兹别克斯坦</w:t>
      </w:r>
      <w:r>
        <w:rPr>
          <w:rFonts w:hint="default" w:ascii="Times New Roman" w:hAnsi="Times New Roman" w:eastAsia="仿宋_GB2312" w:cs="Times New Roman"/>
          <w:sz w:val="32"/>
          <w:szCs w:val="32"/>
          <w:lang w:val="en-US" w:eastAsia="zh-CN"/>
        </w:rPr>
        <w:t>参加第十二届乌兹别克斯坦-中国新疆商品展览会及相关经贸活动。</w:t>
      </w:r>
    </w:p>
    <w:p w14:paraId="48B1BB2B">
      <w:pPr>
        <w:pStyle w:val="2"/>
        <w:numPr>
          <w:ilvl w:val="0"/>
          <w:numId w:val="2"/>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0F414DAD">
      <w:pPr>
        <w:spacing w:line="560" w:lineRule="exact"/>
        <w:ind w:firstLine="600" w:firstLineChars="200"/>
        <w:rPr>
          <w:rFonts w:hint="eastAsia" w:eastAsia="仿宋_GB2312"/>
          <w:highlight w:val="yellow"/>
          <w:lang w:eastAsia="zh-CN"/>
        </w:rPr>
      </w:pPr>
      <w:r>
        <w:rPr>
          <w:rFonts w:hint="eastAsia" w:ascii="仿宋_GB2312" w:hAnsi="仿宋_GB2312" w:eastAsia="仿宋_GB2312" w:cs="仿宋_GB2312"/>
          <w:sz w:val="30"/>
          <w:szCs w:val="30"/>
          <w:highlight w:val="none"/>
          <w:lang w:val="en-US" w:eastAsia="zh-CN"/>
        </w:rPr>
        <w:t>项目主要内容：支付因公出国费用</w:t>
      </w:r>
      <w:r>
        <w:rPr>
          <w:rFonts w:hint="eastAsia" w:eastAsia="仿宋_GB2312" w:cs="Times New Roman"/>
          <w:sz w:val="32"/>
          <w:szCs w:val="32"/>
          <w:lang w:eastAsia="zh-CN"/>
        </w:rPr>
        <w:t>。</w:t>
      </w:r>
    </w:p>
    <w:p w14:paraId="074FAE04">
      <w:pPr>
        <w:spacing w:line="560" w:lineRule="exact"/>
        <w:ind w:firstLine="640" w:firstLineChars="200"/>
      </w:pPr>
      <w:r>
        <w:rPr>
          <w:rFonts w:eastAsia="仿宋_GB2312"/>
          <w:sz w:val="32"/>
          <w:szCs w:val="32"/>
        </w:rPr>
        <w:t>项目实施情况：</w:t>
      </w:r>
      <w:r>
        <w:rPr>
          <w:rFonts w:hint="eastAsia" w:eastAsia="仿宋_GB2312"/>
          <w:sz w:val="32"/>
          <w:szCs w:val="32"/>
          <w:lang w:eastAsia="zh-CN"/>
        </w:rPr>
        <w:t>严格按照《</w:t>
      </w:r>
      <w:r>
        <w:rPr>
          <w:rFonts w:hint="eastAsia" w:eastAsia="仿宋_GB2312"/>
          <w:sz w:val="32"/>
          <w:szCs w:val="32"/>
          <w:lang w:val="en-US" w:eastAsia="zh-CN"/>
        </w:rPr>
        <w:t>2023（第十二届）乌兹别克斯坦-中国新疆商品展览会总体方案》要求，严格按照标准执行经费保障</w:t>
      </w:r>
      <w:r>
        <w:rPr>
          <w:rFonts w:eastAsia="仿宋_GB2312"/>
          <w:sz w:val="32"/>
          <w:szCs w:val="32"/>
        </w:rPr>
        <w:t>。</w:t>
      </w:r>
    </w:p>
    <w:p w14:paraId="3694D867">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07AA4065">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62B1113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该项目全年预算数2.97万元，实际总投入2.97万元，该项目资金已全部落实到位，资金来源为全年财政拨款。</w:t>
      </w:r>
    </w:p>
    <w:p w14:paraId="63C13707">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5602741C">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该项目年初预算数0万元，全年预算数2.97万元，全年执行数2.97万元，预算执行率为100%，主要用于：</w:t>
      </w:r>
      <w:r>
        <w:rPr>
          <w:rFonts w:hint="default" w:ascii="Times New Roman" w:hAnsi="Times New Roman" w:eastAsia="仿宋_GB2312" w:cs="Times New Roman"/>
          <w:sz w:val="32"/>
          <w:szCs w:val="32"/>
          <w:lang w:val="en-US" w:eastAsia="zh-CN"/>
        </w:rPr>
        <w:t>阿不力克木·艾则孜同志</w:t>
      </w:r>
      <w:r>
        <w:rPr>
          <w:rFonts w:hint="eastAsia" w:eastAsia="仿宋_GB2312" w:cs="Times New Roman"/>
          <w:sz w:val="32"/>
          <w:szCs w:val="32"/>
          <w:lang w:val="en-US" w:eastAsia="zh-CN"/>
        </w:rPr>
        <w:t>出国费用报销</w:t>
      </w:r>
      <w:r>
        <w:rPr>
          <w:rFonts w:hint="eastAsia" w:ascii="仿宋_GB2312" w:hAnsi="仿宋_GB2312" w:eastAsia="仿宋_GB2312" w:cs="仿宋_GB2312"/>
          <w:sz w:val="32"/>
          <w:szCs w:val="32"/>
          <w:highlight w:val="none"/>
          <w:lang w:val="en-US" w:eastAsia="zh-CN"/>
        </w:rPr>
        <w:t>。</w:t>
      </w:r>
    </w:p>
    <w:p w14:paraId="1B880709">
      <w:pPr>
        <w:spacing w:line="560" w:lineRule="exact"/>
        <w:ind w:firstLine="643" w:firstLineChars="200"/>
        <w:rPr>
          <w:rFonts w:eastAsia="楷体_GB2312"/>
          <w:b/>
          <w:bCs/>
          <w:sz w:val="32"/>
          <w:szCs w:val="32"/>
        </w:rPr>
      </w:pPr>
      <w:r>
        <w:rPr>
          <w:rFonts w:eastAsia="楷体_GB2312"/>
          <w:b/>
          <w:bCs/>
          <w:sz w:val="32"/>
          <w:szCs w:val="32"/>
        </w:rPr>
        <w:t>（二）项目绩效目标</w:t>
      </w:r>
    </w:p>
    <w:p w14:paraId="4EA399DB">
      <w:pPr>
        <w:spacing w:line="560" w:lineRule="exact"/>
        <w:ind w:firstLine="640" w:firstLineChars="200"/>
        <w:rPr>
          <w:rFonts w:eastAsia="仿宋_GB2312"/>
          <w:sz w:val="32"/>
          <w:szCs w:val="32"/>
        </w:rPr>
      </w:pPr>
      <w:r>
        <w:rPr>
          <w:rFonts w:eastAsia="仿宋_GB2312"/>
          <w:sz w:val="32"/>
          <w:szCs w:val="32"/>
        </w:rPr>
        <w:t>1、总体目标</w:t>
      </w:r>
    </w:p>
    <w:p w14:paraId="142551B2">
      <w:pPr>
        <w:shd w:val="clear"/>
        <w:spacing w:line="600" w:lineRule="exact"/>
        <w:ind w:firstLine="640" w:firstLineChars="200"/>
        <w:outlineLvl w:val="0"/>
        <w:rPr>
          <w:rFonts w:hint="default" w:eastAsia="仿宋_GB2312" w:cs="Times New Roman"/>
          <w:sz w:val="32"/>
          <w:szCs w:val="32"/>
          <w:lang w:val="en-US" w:eastAsia="zh-CN"/>
        </w:rPr>
      </w:pPr>
      <w:r>
        <w:rPr>
          <w:rFonts w:hint="eastAsia" w:eastAsia="仿宋_GB2312" w:cs="Times New Roman"/>
          <w:sz w:val="32"/>
          <w:szCs w:val="32"/>
          <w:lang w:val="en-US" w:eastAsia="zh-CN"/>
        </w:rPr>
        <w:t>以习近平新时代中国特色社会主义思想为指导，全面贯彻落实党的二十大精神，深入贯彻落实习近平总书记在首届中国-中亚峰会上的重要讲话精神，贯彻落实自治区党委十届八次全会精神，落实自治区党委主要领导出访中亚三国成果，按照自治区党委决策部署，把高质量发展和高水平对外开放摆在重要位置，充分发挥贸促机构“连接政企、融通内外、衔接供需”的职能优势，织密企业服务网，扩大国际朋友圈，为新疆外贸保稳提质搭建平台，助力我区企业稳定单、拓市场，帮助更多企业“走出去”开拓国际市场。</w:t>
      </w:r>
    </w:p>
    <w:p w14:paraId="7F283757">
      <w:pPr>
        <w:spacing w:line="560" w:lineRule="exact"/>
        <w:ind w:firstLine="640" w:firstLineChars="200"/>
        <w:rPr>
          <w:rFonts w:hint="eastAsia" w:ascii="仿宋_GB2312" w:hAnsi="仿宋_GB2312" w:eastAsia="仿宋_GB2312" w:cs="仿宋_GB2312"/>
          <w:color w:val="FF0000"/>
          <w:sz w:val="30"/>
          <w:szCs w:val="30"/>
          <w:highlight w:val="none"/>
          <w:lang w:val="en-US" w:eastAsia="zh-CN"/>
        </w:rPr>
      </w:pPr>
      <w:r>
        <w:rPr>
          <w:rFonts w:eastAsia="仿宋_GB2312"/>
          <w:sz w:val="32"/>
          <w:szCs w:val="32"/>
        </w:rPr>
        <w:t>2、阶段性目标</w:t>
      </w:r>
    </w:p>
    <w:p w14:paraId="25F4F2D4">
      <w:pPr>
        <w:shd w:val="clear"/>
        <w:spacing w:line="600" w:lineRule="exact"/>
        <w:ind w:firstLine="640" w:firstLineChars="200"/>
        <w:outlineLvl w:val="0"/>
        <w:rPr>
          <w:rFonts w:hint="default" w:eastAsia="仿宋_GB2312" w:cs="Times New Roman"/>
          <w:sz w:val="32"/>
          <w:szCs w:val="32"/>
          <w:lang w:val="en-US" w:eastAsia="zh-CN"/>
        </w:rPr>
      </w:pPr>
      <w:r>
        <w:rPr>
          <w:rFonts w:hint="default" w:eastAsia="仿宋_GB2312" w:cs="Times New Roman"/>
          <w:sz w:val="32"/>
          <w:szCs w:val="32"/>
          <w:lang w:val="en-US" w:eastAsia="zh-CN"/>
        </w:rPr>
        <w:t>由自治区工信厅阿不力克木·艾则孜同志作为公务团成员陪同自治区党委常委、政府副主席玉苏甫江·麦麦提于2023年9月2日至6日出访乌兹别克斯坦参加第十二届乌兹别克斯坦-中国新疆商品展览会及相关经贸活动。</w:t>
      </w:r>
    </w:p>
    <w:p w14:paraId="738CA8AC">
      <w:pPr>
        <w:spacing w:line="560" w:lineRule="exact"/>
        <w:ind w:firstLine="640" w:firstLineChars="200"/>
        <w:rPr>
          <w:rFonts w:eastAsia="黑体"/>
          <w:sz w:val="32"/>
          <w:szCs w:val="32"/>
        </w:rPr>
      </w:pPr>
      <w:r>
        <w:rPr>
          <w:rFonts w:eastAsia="黑体"/>
          <w:sz w:val="32"/>
          <w:szCs w:val="32"/>
        </w:rPr>
        <w:t>二、绩效评价工作开展情况</w:t>
      </w:r>
    </w:p>
    <w:p w14:paraId="08E000F2">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54BD5B3A">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14:paraId="3AB46DDA">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0B7FFFF2">
      <w:pPr>
        <w:numPr>
          <w:ilvl w:val="0"/>
          <w:numId w:val="3"/>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7AD897B5">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14:paraId="13655323">
      <w:pPr>
        <w:pStyle w:val="18"/>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6C71C1C2">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2AFC876F">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关于追加</w:t>
      </w:r>
      <w:r>
        <w:rPr>
          <w:rFonts w:hint="eastAsia" w:ascii="仿宋_GB2312" w:hAnsi="仿宋_GB2312" w:eastAsia="仿宋_GB2312" w:cs="仿宋_GB2312"/>
          <w:sz w:val="32"/>
          <w:szCs w:val="32"/>
          <w:lang w:eastAsia="zh-CN"/>
        </w:rPr>
        <w:t>自治区</w:t>
      </w:r>
      <w:r>
        <w:rPr>
          <w:rFonts w:hint="eastAsia" w:ascii="仿宋_GB2312" w:hAnsi="仿宋_GB2312" w:eastAsia="仿宋_GB2312" w:cs="仿宋_GB2312"/>
          <w:sz w:val="32"/>
          <w:szCs w:val="32"/>
        </w:rPr>
        <w:t>工信厅出国人员经费事项项目所包含的全部项目内容。</w:t>
      </w:r>
    </w:p>
    <w:p w14:paraId="23B80160">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1F1E53C9">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本次评价从项目决策（包括绩效目标、决策过程）、项目管理（包括项目资金、项目实施）、项目产出（包括项目产出数量、产出质量、产出时效和产出成本）项目效益四个维度对关于追加</w:t>
      </w:r>
      <w:r>
        <w:rPr>
          <w:rFonts w:hint="eastAsia" w:ascii="仿宋_GB2312" w:hAnsi="仿宋_GB2312" w:eastAsia="仿宋_GB2312" w:cs="仿宋_GB2312"/>
          <w:sz w:val="32"/>
          <w:szCs w:val="32"/>
          <w:lang w:eastAsia="zh-CN"/>
        </w:rPr>
        <w:t>自治区</w:t>
      </w:r>
      <w:r>
        <w:rPr>
          <w:rFonts w:hint="eastAsia" w:ascii="仿宋_GB2312" w:hAnsi="仿宋_GB2312" w:eastAsia="仿宋_GB2312" w:cs="仿宋_GB2312"/>
          <w:sz w:val="32"/>
          <w:szCs w:val="32"/>
        </w:rPr>
        <w:t>工信厅出国人员经费事项进行评价，评价核心为专项资金的支出完成情况和效果。</w:t>
      </w:r>
    </w:p>
    <w:p w14:paraId="103903E3">
      <w:pPr>
        <w:spacing w:line="560" w:lineRule="exact"/>
        <w:ind w:firstLine="643" w:firstLineChars="200"/>
      </w:pPr>
      <w:r>
        <w:rPr>
          <w:rFonts w:eastAsia="楷体_GB2312"/>
          <w:b/>
          <w:bCs/>
          <w:sz w:val="32"/>
          <w:szCs w:val="32"/>
        </w:rPr>
        <w:t>（二）绩效评价原则、评价指标体系（详情见表1）、评价方法、评价标准。</w:t>
      </w:r>
    </w:p>
    <w:p w14:paraId="05CB2254">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14:paraId="113C1FB7">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00F26849">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0DE8854A">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4528A6F0">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3224A3D3">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2664F89B">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14:paraId="2F06F5C4">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2F3936AE">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01FB19E6">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ABD606F">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03ED7664">
      <w:pPr>
        <w:spacing w:line="560" w:lineRule="exact"/>
        <w:ind w:firstLine="708" w:firstLineChars="200"/>
        <w:rPr>
          <w:rFonts w:eastAsia="仿宋_GB2312"/>
          <w:color w:val="000000"/>
          <w:spacing w:val="17"/>
          <w:sz w:val="32"/>
          <w:szCs w:val="32"/>
        </w:rPr>
      </w:pPr>
      <w:commentRangeStart w:id="0"/>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commentRangeEnd w:id="0"/>
      <w:r>
        <w:commentReference w:id="0"/>
      </w:r>
    </w:p>
    <w:p w14:paraId="2DEB8C61">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21B3AE7E">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4225582D">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73E85815">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1A8FC873">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1C42D285">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6A2D0404">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794AA5E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因素分析法</w:t>
      </w:r>
    </w:p>
    <w:p w14:paraId="35F6724F">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081C5040">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37A913BE">
      <w:pPr>
        <w:spacing w:line="560" w:lineRule="exact"/>
        <w:ind w:firstLine="708" w:firstLineChars="200"/>
        <w:rPr>
          <w:rFonts w:hint="eastAsia" w:eastAsia="仿宋_GB2312"/>
          <w:color w:val="000000"/>
          <w:spacing w:val="17"/>
          <w:sz w:val="32"/>
          <w:szCs w:val="32"/>
        </w:rPr>
      </w:pPr>
      <w:r>
        <w:rPr>
          <w:rFonts w:hint="eastAsia" w:eastAsia="仿宋_GB2312"/>
          <w:color w:val="000000"/>
          <w:spacing w:val="17"/>
          <w:sz w:val="32"/>
          <w:szCs w:val="32"/>
        </w:rPr>
        <w:t>绩效评价标准通常包括计划标准、行业标准、历史标准等，用于对绩效指标完成情况进行比较、分析、评价。本次评价主要采用了行业标准</w:t>
      </w:r>
      <w:r>
        <w:rPr>
          <w:rFonts w:hint="eastAsia" w:eastAsia="仿宋_GB2312"/>
          <w:color w:val="000000"/>
          <w:spacing w:val="17"/>
          <w:sz w:val="32"/>
          <w:szCs w:val="32"/>
        </w:rPr>
        <w:commentReference w:id="1"/>
      </w:r>
      <w:r>
        <w:rPr>
          <w:rFonts w:hint="eastAsia" w:eastAsia="仿宋_GB2312"/>
          <w:color w:val="000000"/>
          <w:spacing w:val="17"/>
          <w:sz w:val="32"/>
          <w:szCs w:val="32"/>
        </w:rPr>
        <w:t>。</w:t>
      </w:r>
    </w:p>
    <w:p w14:paraId="7C2E6A86">
      <w:pPr>
        <w:spacing w:line="560" w:lineRule="exact"/>
        <w:ind w:firstLine="708" w:firstLineChars="200"/>
        <w:rPr>
          <w:rFonts w:eastAsia="仿宋_GB2312"/>
          <w:color w:val="000000"/>
          <w:spacing w:val="17"/>
          <w:sz w:val="32"/>
          <w:szCs w:val="32"/>
        </w:rPr>
      </w:pPr>
      <w:bookmarkStart w:id="0" w:name="_Toc31464"/>
      <w:bookmarkStart w:id="1" w:name="_Toc17882"/>
      <w:r>
        <w:rPr>
          <w:rFonts w:hint="eastAsia" w:eastAsia="仿宋_GB2312"/>
          <w:color w:val="000000"/>
          <w:spacing w:val="17"/>
          <w:sz w:val="32"/>
          <w:szCs w:val="32"/>
        </w:rPr>
        <w:t>计划标准：指以预先制定的目标、计划、预算、定额等作为评价标准。</w:t>
      </w:r>
      <w:bookmarkEnd w:id="0"/>
      <w:bookmarkEnd w:id="1"/>
    </w:p>
    <w:p w14:paraId="05A444A2">
      <w:pPr>
        <w:spacing w:line="560" w:lineRule="exact"/>
        <w:ind w:firstLine="708" w:firstLineChars="200"/>
        <w:rPr>
          <w:rFonts w:eastAsia="仿宋_GB2312"/>
          <w:color w:val="000000"/>
          <w:spacing w:val="17"/>
          <w:sz w:val="32"/>
          <w:szCs w:val="32"/>
        </w:rPr>
      </w:pPr>
      <w:bookmarkStart w:id="2" w:name="_Toc5633"/>
      <w:bookmarkStart w:id="3" w:name="_Toc2318"/>
      <w:r>
        <w:rPr>
          <w:rFonts w:hint="eastAsia" w:eastAsia="仿宋_GB2312"/>
          <w:color w:val="000000"/>
          <w:spacing w:val="17"/>
          <w:sz w:val="32"/>
          <w:szCs w:val="32"/>
        </w:rPr>
        <w:t>行业标准：指参照国家公布的行业指标数据制定的评价标准。</w:t>
      </w:r>
      <w:bookmarkEnd w:id="2"/>
      <w:bookmarkEnd w:id="3"/>
    </w:p>
    <w:p w14:paraId="3EEBB983">
      <w:pPr>
        <w:spacing w:line="560" w:lineRule="exact"/>
        <w:ind w:firstLine="708" w:firstLineChars="200"/>
        <w:rPr>
          <w:rFonts w:eastAsia="仿宋_GB2312"/>
          <w:color w:val="000000"/>
          <w:spacing w:val="17"/>
          <w:sz w:val="32"/>
          <w:szCs w:val="32"/>
        </w:rPr>
      </w:pPr>
      <w:bookmarkStart w:id="4" w:name="_Toc430"/>
      <w:bookmarkStart w:id="5" w:name="_Toc16028"/>
      <w:r>
        <w:rPr>
          <w:rFonts w:hint="eastAsia" w:eastAsia="仿宋_GB2312"/>
          <w:color w:val="000000"/>
          <w:spacing w:val="17"/>
          <w:sz w:val="32"/>
          <w:szCs w:val="32"/>
        </w:rPr>
        <w:t>历史标准：指参照历史数据制定的评价标准，为体现绩效改进的原则，在可实现的条件下应当确定相对较高的评价标准。</w:t>
      </w:r>
      <w:bookmarkEnd w:id="4"/>
      <w:bookmarkEnd w:id="5"/>
    </w:p>
    <w:p w14:paraId="4012D740">
      <w:pPr>
        <w:pStyle w:val="2"/>
        <w:numPr>
          <w:ilvl w:val="0"/>
          <w:numId w:val="4"/>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3E474A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4C8929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0E43D6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7015BDEA">
      <w:pPr>
        <w:numPr>
          <w:ilvl w:val="0"/>
          <w:numId w:val="5"/>
        </w:numPr>
        <w:spacing w:line="560" w:lineRule="exact"/>
        <w:ind w:firstLine="640" w:firstLineChars="200"/>
        <w:rPr>
          <w:rFonts w:eastAsia="黑体"/>
          <w:sz w:val="32"/>
          <w:szCs w:val="32"/>
        </w:rPr>
      </w:pPr>
      <w:r>
        <w:rPr>
          <w:rFonts w:eastAsia="黑体"/>
          <w:sz w:val="32"/>
          <w:szCs w:val="32"/>
        </w:rPr>
        <w:t>综合评价情况及评价结论（附相关评分表）</w:t>
      </w:r>
    </w:p>
    <w:p w14:paraId="4F651F15">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71D6F8C4">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54058063">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52678EE8">
      <w:pPr>
        <w:pStyle w:val="2"/>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 xml:space="preserve">总得分为 </w:t>
      </w:r>
      <w:r>
        <w:rPr>
          <w:rFonts w:hint="default" w:ascii="Times New Roman" w:hAnsi="Times New Roman" w:eastAsia="仿宋_GB2312"/>
          <w:b w:val="0"/>
          <w:bCs w:val="0"/>
          <w:highlight w:val="none"/>
          <w:lang w:val="en"/>
        </w:rPr>
        <w:t>100</w:t>
      </w:r>
      <w:r>
        <w:rPr>
          <w:rFonts w:hint="eastAsia" w:ascii="Times New Roman" w:hAnsi="Times New Roman" w:eastAsia="仿宋_GB2312"/>
          <w:b w:val="0"/>
          <w:bCs w:val="0"/>
          <w:highlight w:val="none"/>
        </w:rPr>
        <w:t xml:space="preserve">分，属于“优”。其中，项目决策类指标权重为20分，得分为 </w:t>
      </w:r>
      <w:r>
        <w:rPr>
          <w:rFonts w:hint="default" w:ascii="Times New Roman" w:hAnsi="Times New Roman" w:eastAsia="仿宋_GB2312"/>
          <w:b w:val="0"/>
          <w:bCs w:val="0"/>
          <w:highlight w:val="none"/>
          <w:lang w:val="en"/>
        </w:rPr>
        <w:t>20</w:t>
      </w:r>
      <w:r>
        <w:rPr>
          <w:rFonts w:hint="eastAsia" w:ascii="Times New Roman" w:hAnsi="Times New Roman" w:eastAsia="仿宋_GB2312"/>
          <w:b w:val="0"/>
          <w:bCs w:val="0"/>
          <w:highlight w:val="none"/>
        </w:rPr>
        <w:t>分，</w:t>
      </w:r>
      <w:commentRangeStart w:id="2"/>
      <w:r>
        <w:rPr>
          <w:rFonts w:hint="eastAsia" w:ascii="Times New Roman" w:hAnsi="Times New Roman" w:eastAsia="仿宋_GB2312"/>
          <w:b w:val="0"/>
          <w:bCs w:val="0"/>
          <w:highlight w:val="none"/>
        </w:rPr>
        <w:t>得分率</w:t>
      </w:r>
      <w:commentRangeEnd w:id="2"/>
      <w:r>
        <w:rPr>
          <w:highlight w:val="none"/>
        </w:rPr>
        <w:commentReference w:id="2"/>
      </w:r>
      <w:r>
        <w:rPr>
          <w:rFonts w:hint="eastAsia" w:ascii="Times New Roman" w:hAnsi="Times New Roman" w:eastAsia="仿宋_GB2312"/>
          <w:b w:val="0"/>
          <w:bCs w:val="0"/>
          <w:highlight w:val="none"/>
        </w:rPr>
        <w:t xml:space="preserve">为 </w:t>
      </w:r>
      <w:r>
        <w:rPr>
          <w:rFonts w:hint="default" w:ascii="Times New Roman" w:hAnsi="Times New Roman" w:eastAsia="仿宋_GB2312"/>
          <w:b w:val="0"/>
          <w:bCs w:val="0"/>
          <w:highlight w:val="none"/>
          <w:lang w:val="en"/>
        </w:rPr>
        <w:t>100</w:t>
      </w:r>
      <w:r>
        <w:rPr>
          <w:rFonts w:hint="eastAsia" w:ascii="Times New Roman" w:hAnsi="Times New Roman" w:eastAsia="仿宋_GB2312"/>
          <w:b w:val="0"/>
          <w:bCs w:val="0"/>
          <w:highlight w:val="none"/>
        </w:rPr>
        <w:t>%。项目过程类指标权重为20分，得分为</w:t>
      </w:r>
      <w:r>
        <w:rPr>
          <w:rFonts w:hint="default" w:ascii="Times New Roman" w:hAnsi="Times New Roman" w:eastAsia="仿宋_GB2312"/>
          <w:b w:val="0"/>
          <w:bCs w:val="0"/>
          <w:highlight w:val="none"/>
          <w:lang w:val="en"/>
        </w:rPr>
        <w:t>20</w:t>
      </w:r>
      <w:r>
        <w:rPr>
          <w:rFonts w:hint="eastAsia" w:ascii="Times New Roman" w:hAnsi="Times New Roman" w:eastAsia="仿宋_GB2312"/>
          <w:b w:val="0"/>
          <w:bCs w:val="0"/>
          <w:highlight w:val="none"/>
        </w:rPr>
        <w:t xml:space="preserve">分，得分率为 </w:t>
      </w:r>
      <w:r>
        <w:rPr>
          <w:rFonts w:hint="default" w:ascii="Times New Roman" w:hAnsi="Times New Roman" w:eastAsia="仿宋_GB2312"/>
          <w:b w:val="0"/>
          <w:bCs w:val="0"/>
          <w:highlight w:val="none"/>
          <w:lang w:val="en"/>
        </w:rPr>
        <w:t>100</w:t>
      </w:r>
      <w:r>
        <w:rPr>
          <w:rFonts w:hint="eastAsia" w:ascii="Times New Roman" w:hAnsi="Times New Roman" w:eastAsia="仿宋_GB2312"/>
          <w:b w:val="0"/>
          <w:bCs w:val="0"/>
          <w:highlight w:val="none"/>
        </w:rPr>
        <w:t>%。项目产出类指标权重为40分，得分为</w:t>
      </w:r>
      <w:r>
        <w:rPr>
          <w:rFonts w:hint="default" w:ascii="Times New Roman" w:hAnsi="Times New Roman" w:eastAsia="仿宋_GB2312"/>
          <w:b w:val="0"/>
          <w:bCs w:val="0"/>
          <w:highlight w:val="none"/>
          <w:lang w:val="en"/>
        </w:rPr>
        <w:t>40</w:t>
      </w:r>
      <w:r>
        <w:rPr>
          <w:rFonts w:hint="eastAsia" w:ascii="Times New Roman" w:hAnsi="Times New Roman" w:eastAsia="仿宋_GB2312"/>
          <w:b w:val="0"/>
          <w:bCs w:val="0"/>
          <w:highlight w:val="none"/>
        </w:rPr>
        <w:t xml:space="preserve">分，得分率为  </w:t>
      </w:r>
      <w:r>
        <w:rPr>
          <w:rFonts w:hint="default" w:ascii="Times New Roman" w:hAnsi="Times New Roman" w:eastAsia="仿宋_GB2312"/>
          <w:b w:val="0"/>
          <w:bCs w:val="0"/>
          <w:highlight w:val="none"/>
          <w:lang w:val="en"/>
        </w:rPr>
        <w:t>100</w:t>
      </w:r>
      <w:r>
        <w:rPr>
          <w:rFonts w:hint="eastAsia" w:ascii="Times New Roman" w:hAnsi="Times New Roman" w:eastAsia="仿宋_GB2312"/>
          <w:b w:val="0"/>
          <w:bCs w:val="0"/>
          <w:highlight w:val="none"/>
        </w:rPr>
        <w:t>%。项目效益类指标权重为20分，得分为</w:t>
      </w:r>
      <w:r>
        <w:rPr>
          <w:rFonts w:hint="default" w:ascii="Times New Roman" w:hAnsi="Times New Roman" w:eastAsia="仿宋_GB2312"/>
          <w:b w:val="0"/>
          <w:bCs w:val="0"/>
          <w:highlight w:val="none"/>
          <w:lang w:val="en"/>
        </w:rPr>
        <w:t>20</w:t>
      </w:r>
      <w:r>
        <w:rPr>
          <w:rFonts w:hint="eastAsia" w:ascii="Times New Roman" w:hAnsi="Times New Roman" w:eastAsia="仿宋_GB2312"/>
          <w:b w:val="0"/>
          <w:bCs w:val="0"/>
          <w:highlight w:val="none"/>
        </w:rPr>
        <w:t xml:space="preserve">分，得分率为 </w:t>
      </w:r>
      <w:r>
        <w:rPr>
          <w:rFonts w:hint="default" w:ascii="Times New Roman" w:hAnsi="Times New Roman" w:eastAsia="仿宋_GB2312"/>
          <w:b w:val="0"/>
          <w:bCs w:val="0"/>
          <w:highlight w:val="none"/>
          <w:lang w:val="e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14:paraId="29330F42">
      <w:pPr>
        <w:pStyle w:val="2"/>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14:paraId="12568E9D">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0295FF68">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494D5D9">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1508915">
            <w:pPr>
              <w:jc w:val="center"/>
              <w:rPr>
                <w:b/>
                <w:bCs/>
                <w:color w:val="000000"/>
                <w:sz w:val="22"/>
              </w:rPr>
            </w:pPr>
            <w:r>
              <w:rPr>
                <w:rFonts w:hint="eastAsia"/>
                <w:b/>
                <w:bCs/>
                <w:color w:val="000000"/>
                <w:sz w:val="22"/>
              </w:rPr>
              <w:t>得分</w:t>
            </w:r>
          </w:p>
        </w:tc>
      </w:tr>
      <w:tr w14:paraId="04EB246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C5F5EE3">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32E0ED65">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5815F8C">
            <w:pPr>
              <w:jc w:val="center"/>
              <w:rPr>
                <w:rFonts w:hint="default"/>
                <w:color w:val="000000"/>
                <w:sz w:val="22"/>
                <w:lang w:val="en"/>
              </w:rPr>
            </w:pPr>
            <w:r>
              <w:rPr>
                <w:rFonts w:hint="default"/>
                <w:color w:val="000000"/>
                <w:sz w:val="22"/>
                <w:lang w:val="en"/>
              </w:rPr>
              <w:t>20</w:t>
            </w:r>
          </w:p>
        </w:tc>
      </w:tr>
      <w:tr w14:paraId="3D8AC13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49D0DCA">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6BF38AAC">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9032A5F">
            <w:pPr>
              <w:jc w:val="center"/>
              <w:rPr>
                <w:rFonts w:hint="default"/>
                <w:color w:val="000000"/>
                <w:sz w:val="22"/>
                <w:lang w:val="en"/>
              </w:rPr>
            </w:pPr>
            <w:r>
              <w:rPr>
                <w:rFonts w:hint="default"/>
                <w:color w:val="000000"/>
                <w:sz w:val="22"/>
                <w:lang w:val="en"/>
              </w:rPr>
              <w:t>20</w:t>
            </w:r>
          </w:p>
        </w:tc>
      </w:tr>
      <w:tr w14:paraId="65798EB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870EB48">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4D4BAA6D">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4A4C590B">
            <w:pPr>
              <w:jc w:val="center"/>
              <w:rPr>
                <w:rFonts w:hint="default"/>
                <w:color w:val="000000"/>
                <w:sz w:val="22"/>
                <w:lang w:val="en"/>
              </w:rPr>
            </w:pPr>
            <w:r>
              <w:rPr>
                <w:rFonts w:hint="default"/>
                <w:color w:val="000000"/>
                <w:sz w:val="22"/>
                <w:lang w:val="en"/>
              </w:rPr>
              <w:t>40</w:t>
            </w:r>
          </w:p>
        </w:tc>
      </w:tr>
      <w:tr w14:paraId="3FA19BF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6884D68">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113F1C06">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06919F8">
            <w:pPr>
              <w:jc w:val="center"/>
              <w:rPr>
                <w:rFonts w:hint="default"/>
                <w:color w:val="000000"/>
                <w:sz w:val="22"/>
                <w:lang w:val="en"/>
              </w:rPr>
            </w:pPr>
            <w:r>
              <w:rPr>
                <w:rFonts w:hint="default"/>
                <w:color w:val="000000"/>
                <w:sz w:val="22"/>
                <w:lang w:val="en"/>
              </w:rPr>
              <w:t>20</w:t>
            </w:r>
          </w:p>
        </w:tc>
      </w:tr>
      <w:tr w14:paraId="4FBBC7A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808F0F5">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7F1C0BC4">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3C295FCF">
            <w:pPr>
              <w:jc w:val="center"/>
              <w:rPr>
                <w:rFonts w:hint="default"/>
                <w:b/>
                <w:bCs/>
                <w:color w:val="000000"/>
                <w:sz w:val="22"/>
                <w:lang w:val="en"/>
              </w:rPr>
            </w:pPr>
            <w:r>
              <w:rPr>
                <w:rFonts w:hint="default"/>
                <w:b/>
                <w:bCs/>
                <w:color w:val="000000"/>
                <w:sz w:val="22"/>
                <w:lang w:val="en"/>
              </w:rPr>
              <w:t>100</w:t>
            </w:r>
          </w:p>
        </w:tc>
      </w:tr>
    </w:tbl>
    <w:p w14:paraId="094C4F59">
      <w:pPr>
        <w:spacing w:line="560" w:lineRule="exact"/>
        <w:ind w:firstLine="640" w:firstLineChars="200"/>
        <w:rPr>
          <w:rFonts w:eastAsia="黑体"/>
          <w:sz w:val="32"/>
          <w:szCs w:val="32"/>
        </w:rPr>
      </w:pPr>
      <w:r>
        <w:rPr>
          <w:rFonts w:eastAsia="黑体"/>
          <w:sz w:val="32"/>
          <w:szCs w:val="32"/>
        </w:rPr>
        <w:t>四、绩效评价指标分析</w:t>
      </w:r>
    </w:p>
    <w:p w14:paraId="506BB645">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54B177CD">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w:t>
      </w:r>
      <w:r>
        <w:rPr>
          <w:rFonts w:hint="default" w:ascii="仿宋_GB2312" w:hAnsi="仿宋_GB2312" w:eastAsia="仿宋_GB2312" w:cs="仿宋_GB2312"/>
          <w:sz w:val="30"/>
          <w:szCs w:val="30"/>
          <w:highlight w:val="none"/>
          <w:lang w:val="en" w:eastAsia="zh-CN"/>
        </w:rPr>
        <w:t>20</w:t>
      </w:r>
      <w:r>
        <w:rPr>
          <w:rFonts w:hint="eastAsia" w:ascii="仿宋_GB2312" w:hAnsi="仿宋_GB2312" w:eastAsia="仿宋_GB2312" w:cs="仿宋_GB2312"/>
          <w:sz w:val="30"/>
          <w:szCs w:val="30"/>
          <w:highlight w:val="none"/>
          <w:lang w:val="en-US" w:eastAsia="zh-CN"/>
        </w:rPr>
        <w:t>分，得分率为</w:t>
      </w:r>
      <w:r>
        <w:rPr>
          <w:rFonts w:hint="default" w:ascii="仿宋_GB2312" w:hAnsi="仿宋_GB2312" w:eastAsia="仿宋_GB2312" w:cs="仿宋_GB2312"/>
          <w:sz w:val="30"/>
          <w:szCs w:val="30"/>
          <w:highlight w:val="none"/>
          <w:lang w:val="en" w:eastAsia="zh-CN"/>
        </w:rPr>
        <w:t>100</w:t>
      </w:r>
      <w:r>
        <w:rPr>
          <w:rFonts w:hint="eastAsia" w:ascii="仿宋_GB2312" w:hAnsi="仿宋_GB2312" w:eastAsia="仿宋_GB2312" w:cs="仿宋_GB2312"/>
          <w:sz w:val="30"/>
          <w:szCs w:val="30"/>
          <w:highlight w:val="none"/>
          <w:lang w:val="en-US" w:eastAsia="zh-CN"/>
        </w:rPr>
        <w:t>%。</w:t>
      </w:r>
    </w:p>
    <w:p w14:paraId="155CCE28">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3EA46A66">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1A6C281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545C721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7B26B9F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w:t>
      </w:r>
      <w:commentRangeStart w:id="3"/>
      <w:r>
        <w:rPr>
          <w:rFonts w:hint="eastAsia" w:ascii="仿宋_GB2312" w:hAnsi="仿宋_GB2312" w:eastAsia="仿宋_GB2312" w:cs="仿宋_GB2312"/>
          <w:sz w:val="32"/>
          <w:szCs w:val="32"/>
          <w:lang w:val="en-US" w:eastAsia="zh-CN"/>
        </w:rPr>
        <w:t>可行性研究、绩效评估、集体决策</w:t>
      </w:r>
      <w:commentRangeEnd w:id="3"/>
      <w:r>
        <w:rPr>
          <w:rFonts w:hint="eastAsia" w:ascii="仿宋_GB2312" w:hAnsi="仿宋_GB2312" w:eastAsia="仿宋_GB2312" w:cs="仿宋_GB2312"/>
          <w:sz w:val="32"/>
          <w:szCs w:val="32"/>
        </w:rPr>
        <w:commentReference w:id="3"/>
      </w:r>
      <w:r>
        <w:rPr>
          <w:rFonts w:hint="eastAsia" w:ascii="仿宋_GB2312" w:hAnsi="仿宋_GB2312" w:eastAsia="仿宋_GB2312" w:cs="仿宋_GB2312"/>
          <w:sz w:val="32"/>
          <w:szCs w:val="32"/>
          <w:lang w:val="en-US" w:eastAsia="zh-CN"/>
        </w:rPr>
        <w:t>，保障了程序的规范性。</w:t>
      </w:r>
    </w:p>
    <w:p w14:paraId="37A9D6CA">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0EFD21F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1AE8D72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EDD8088">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754EDA7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3324F130">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0439025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78AF762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21C8AD6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2F5CA66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47EB8F2A">
      <w:pPr>
        <w:pStyle w:val="2"/>
        <w:numPr>
          <w:ilvl w:val="0"/>
          <w:numId w:val="6"/>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54CD21E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w:t>
      </w:r>
      <w:r>
        <w:rPr>
          <w:rFonts w:hint="eastAsia" w:ascii="仿宋_GB2312" w:hAnsi="仿宋_GB2312" w:eastAsia="仿宋_GB2312" w:cs="仿宋_GB2312"/>
          <w:sz w:val="32"/>
          <w:szCs w:val="32"/>
          <w:highlight w:val="none"/>
          <w:lang w:val="en-US" w:eastAsia="zh-CN"/>
        </w:rPr>
        <w:t>指标构成，权重分值为20分，实际得分</w:t>
      </w:r>
      <w:r>
        <w:rPr>
          <w:rFonts w:hint="default" w:ascii="仿宋_GB2312" w:hAnsi="仿宋_GB2312" w:eastAsia="仿宋_GB2312" w:cs="仿宋_GB2312"/>
          <w:sz w:val="32"/>
          <w:szCs w:val="32"/>
          <w:highlight w:val="none"/>
          <w:lang w:val="en" w:eastAsia="zh-CN"/>
        </w:rPr>
        <w:t>20</w:t>
      </w:r>
      <w:r>
        <w:rPr>
          <w:rFonts w:hint="eastAsia" w:ascii="仿宋_GB2312" w:hAnsi="仿宋_GB2312" w:eastAsia="仿宋_GB2312" w:cs="仿宋_GB2312"/>
          <w:sz w:val="32"/>
          <w:szCs w:val="32"/>
          <w:highlight w:val="none"/>
          <w:lang w:val="en-US" w:eastAsia="zh-CN"/>
        </w:rPr>
        <w:t>分，得分率为</w:t>
      </w:r>
      <w:r>
        <w:rPr>
          <w:rFonts w:hint="default" w:ascii="仿宋_GB2312" w:hAnsi="仿宋_GB2312" w:eastAsia="仿宋_GB2312" w:cs="仿宋_GB2312"/>
          <w:sz w:val="32"/>
          <w:szCs w:val="32"/>
          <w:highlight w:val="none"/>
          <w:lang w:val="en" w:eastAsia="zh-CN"/>
        </w:rPr>
        <w:t>100</w:t>
      </w:r>
      <w:r>
        <w:rPr>
          <w:rFonts w:hint="eastAsia" w:ascii="仿宋_GB2312" w:hAnsi="仿宋_GB2312" w:eastAsia="仿宋_GB2312" w:cs="仿宋_GB2312"/>
          <w:sz w:val="32"/>
          <w:szCs w:val="32"/>
          <w:highlight w:val="none"/>
          <w:lang w:val="en-US" w:eastAsia="zh-CN"/>
        </w:rPr>
        <w:t>%。</w:t>
      </w:r>
    </w:p>
    <w:p w14:paraId="2A86226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7BA901A2">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24168EFE">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53C96CC0">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本项</w:t>
      </w:r>
      <w:r>
        <w:rPr>
          <w:rFonts w:hint="eastAsia" w:ascii="仿宋_GB2312" w:hAnsi="仿宋_GB2312" w:eastAsia="仿宋_GB2312" w:cs="仿宋_GB2312"/>
          <w:sz w:val="32"/>
          <w:szCs w:val="32"/>
          <w:highlight w:val="none"/>
          <w:lang w:val="en-US" w:eastAsia="zh-CN"/>
        </w:rPr>
        <w:t>目总投资</w:t>
      </w:r>
      <w:r>
        <w:rPr>
          <w:rFonts w:hint="default" w:ascii="仿宋_GB2312" w:hAnsi="仿宋_GB2312" w:eastAsia="仿宋_GB2312" w:cs="仿宋_GB2312"/>
          <w:sz w:val="32"/>
          <w:szCs w:val="32"/>
          <w:highlight w:val="none"/>
          <w:lang w:val="en" w:eastAsia="zh-CN"/>
        </w:rPr>
        <w:t>2.97</w:t>
      </w:r>
      <w:r>
        <w:rPr>
          <w:rFonts w:hint="eastAsia" w:ascii="仿宋_GB2312" w:hAnsi="仿宋_GB2312" w:eastAsia="仿宋_GB2312" w:cs="仿宋_GB2312"/>
          <w:sz w:val="32"/>
          <w:szCs w:val="32"/>
          <w:highlight w:val="none"/>
          <w:lang w:val="en-US" w:eastAsia="zh-CN"/>
        </w:rPr>
        <w:t>万元，财政资金及时足额到位，到位率</w:t>
      </w:r>
      <w:r>
        <w:rPr>
          <w:rFonts w:hint="default" w:ascii="仿宋_GB2312" w:hAnsi="仿宋_GB2312" w:eastAsia="仿宋_GB2312" w:cs="仿宋_GB2312"/>
          <w:sz w:val="32"/>
          <w:szCs w:val="32"/>
          <w:highlight w:val="none"/>
          <w:lang w:val="en" w:eastAsia="zh-CN"/>
        </w:rPr>
        <w:t>100</w:t>
      </w:r>
      <w:r>
        <w:rPr>
          <w:rFonts w:hint="eastAsia" w:ascii="仿宋_GB2312" w:hAnsi="仿宋_GB2312" w:eastAsia="仿宋_GB2312" w:cs="仿宋_GB2312"/>
          <w:sz w:val="32"/>
          <w:szCs w:val="32"/>
          <w:highlight w:val="none"/>
          <w:lang w:val="en-US" w:eastAsia="zh-CN"/>
        </w:rPr>
        <w:t>%，预算资金按计划进度执行。</w:t>
      </w:r>
    </w:p>
    <w:p w14:paraId="1F9AE3A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14:paraId="6C72298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default" w:ascii="仿宋_GB2312" w:hAnsi="仿宋_GB2312" w:eastAsia="仿宋_GB2312" w:cs="仿宋_GB2312"/>
          <w:sz w:val="32"/>
          <w:szCs w:val="32"/>
          <w:highlight w:val="none"/>
          <w:lang w:val="en" w:eastAsia="zh-CN"/>
        </w:rPr>
        <w:t>2.97</w:t>
      </w:r>
      <w:r>
        <w:rPr>
          <w:rFonts w:hint="eastAsia" w:ascii="仿宋_GB2312" w:hAnsi="仿宋_GB2312" w:eastAsia="仿宋_GB2312" w:cs="仿宋_GB2312"/>
          <w:sz w:val="32"/>
          <w:szCs w:val="32"/>
          <w:highlight w:val="none"/>
          <w:lang w:val="en-US" w:eastAsia="zh-CN"/>
        </w:rPr>
        <w:t>万元，预算执行率为</w:t>
      </w:r>
      <w:r>
        <w:rPr>
          <w:rFonts w:hint="default" w:ascii="仿宋_GB2312" w:hAnsi="仿宋_GB2312" w:eastAsia="仿宋_GB2312" w:cs="仿宋_GB2312"/>
          <w:sz w:val="32"/>
          <w:szCs w:val="32"/>
          <w:highlight w:val="none"/>
          <w:lang w:val="en" w:eastAsia="zh-CN"/>
        </w:rPr>
        <w:t>100</w:t>
      </w:r>
      <w:r>
        <w:rPr>
          <w:rFonts w:hint="eastAsia" w:ascii="仿宋_GB2312" w:hAnsi="仿宋_GB2312" w:eastAsia="仿宋_GB2312" w:cs="仿宋_GB2312"/>
          <w:sz w:val="32"/>
          <w:szCs w:val="32"/>
          <w:highlight w:val="none"/>
          <w:lang w:val="en-US" w:eastAsia="zh-CN"/>
        </w:rPr>
        <w:t>%。</w:t>
      </w:r>
    </w:p>
    <w:p w14:paraId="1CA0FACB">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5F1D56D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6D2B9D1C">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07E34EC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0089803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3CA8570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07264A08">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3052D5D7">
      <w:pPr>
        <w:pStyle w:val="11"/>
        <w:numPr>
          <w:ilvl w:val="0"/>
          <w:numId w:val="6"/>
        </w:numPr>
        <w:spacing w:line="560" w:lineRule="exact"/>
        <w:ind w:firstLine="643"/>
        <w:rPr>
          <w:rFonts w:eastAsia="楷体_GB2312"/>
          <w:b/>
          <w:bCs/>
          <w:sz w:val="32"/>
          <w:szCs w:val="32"/>
        </w:rPr>
      </w:pPr>
      <w:commentRangeStart w:id="4"/>
      <w:r>
        <w:rPr>
          <w:rFonts w:eastAsia="楷体_GB2312"/>
          <w:b/>
          <w:bCs/>
          <w:sz w:val="32"/>
          <w:szCs w:val="32"/>
        </w:rPr>
        <w:t>项目产出</w:t>
      </w:r>
      <w:commentRangeEnd w:id="4"/>
      <w:r>
        <w:commentReference w:id="4"/>
      </w:r>
      <w:r>
        <w:rPr>
          <w:rFonts w:hint="eastAsia" w:eastAsia="楷体_GB2312"/>
          <w:b/>
          <w:bCs/>
          <w:sz w:val="32"/>
          <w:szCs w:val="32"/>
          <w:lang w:val="en-US" w:eastAsia="zh-CN"/>
        </w:rPr>
        <w:t>情况</w:t>
      </w:r>
    </w:p>
    <w:p w14:paraId="7E828FE8">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w:t>
      </w:r>
      <w:r>
        <w:rPr>
          <w:rFonts w:hint="eastAsia" w:ascii="仿宋_GB2312" w:hAnsi="仿宋_GB2312" w:eastAsia="仿宋_GB2312" w:cs="仿宋_GB2312"/>
          <w:sz w:val="32"/>
          <w:szCs w:val="32"/>
          <w:highlight w:val="none"/>
          <w:lang w:val="en-US" w:eastAsia="zh-CN"/>
        </w:rPr>
        <w:t>由</w:t>
      </w:r>
      <w:r>
        <w:rPr>
          <w:rFonts w:hint="default" w:ascii="仿宋_GB2312" w:hAnsi="仿宋_GB2312" w:eastAsia="仿宋_GB2312" w:cs="仿宋_GB2312"/>
          <w:sz w:val="32"/>
          <w:szCs w:val="32"/>
          <w:highlight w:val="none"/>
          <w:lang w:val="en" w:eastAsia="zh-CN"/>
        </w:rPr>
        <w:t>7</w:t>
      </w:r>
      <w:r>
        <w:rPr>
          <w:rFonts w:hint="eastAsia" w:ascii="仿宋_GB2312" w:hAnsi="仿宋_GB2312" w:eastAsia="仿宋_GB2312" w:cs="仿宋_GB2312"/>
          <w:sz w:val="32"/>
          <w:szCs w:val="32"/>
          <w:highlight w:val="none"/>
          <w:lang w:val="en-US" w:eastAsia="zh-CN"/>
        </w:rPr>
        <w:t>个三级指标构成，权重分为40分，实际得分</w:t>
      </w:r>
      <w:r>
        <w:rPr>
          <w:rFonts w:hint="default" w:ascii="仿宋_GB2312" w:hAnsi="仿宋_GB2312" w:eastAsia="仿宋_GB2312" w:cs="仿宋_GB2312"/>
          <w:sz w:val="32"/>
          <w:szCs w:val="32"/>
          <w:highlight w:val="none"/>
          <w:lang w:val="en" w:eastAsia="zh-CN"/>
        </w:rPr>
        <w:t>40</w:t>
      </w:r>
      <w:r>
        <w:rPr>
          <w:rFonts w:hint="eastAsia" w:ascii="仿宋_GB2312" w:hAnsi="仿宋_GB2312" w:eastAsia="仿宋_GB2312" w:cs="仿宋_GB2312"/>
          <w:sz w:val="32"/>
          <w:szCs w:val="32"/>
          <w:highlight w:val="none"/>
          <w:lang w:val="en-US" w:eastAsia="zh-CN"/>
        </w:rPr>
        <w:t>分，得分率为</w:t>
      </w:r>
      <w:r>
        <w:rPr>
          <w:rFonts w:hint="default" w:ascii="仿宋_GB2312" w:hAnsi="仿宋_GB2312" w:eastAsia="仿宋_GB2312" w:cs="仿宋_GB2312"/>
          <w:sz w:val="32"/>
          <w:szCs w:val="32"/>
          <w:highlight w:val="none"/>
          <w:lang w:val="en" w:eastAsia="zh-CN"/>
        </w:rPr>
        <w:t>100</w:t>
      </w:r>
      <w:r>
        <w:rPr>
          <w:rFonts w:hint="eastAsia" w:ascii="仿宋_GB2312" w:hAnsi="仿宋_GB2312" w:eastAsia="仿宋_GB2312" w:cs="仿宋_GB2312"/>
          <w:sz w:val="32"/>
          <w:szCs w:val="32"/>
          <w:highlight w:val="none"/>
          <w:lang w:val="en-US" w:eastAsia="zh-CN"/>
        </w:rPr>
        <w:t>%。具体产出指标完成情况</w:t>
      </w:r>
      <w:r>
        <w:rPr>
          <w:rFonts w:hint="eastAsia" w:ascii="仿宋_GB2312" w:hAnsi="仿宋_GB2312" w:eastAsia="仿宋_GB2312" w:cs="仿宋_GB2312"/>
          <w:sz w:val="32"/>
          <w:szCs w:val="32"/>
          <w:lang w:val="en-US" w:eastAsia="zh-CN"/>
        </w:rPr>
        <w:t>如下：</w:t>
      </w:r>
    </w:p>
    <w:p w14:paraId="5716210D">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51D3737D">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指标1：参加会展次数，指标值：&gt;=1次，实际完成值：</w:t>
      </w:r>
      <w:r>
        <w:rPr>
          <w:rFonts w:hint="default" w:ascii="仿宋_GB2312" w:hAnsi="仿宋_GB2312" w:eastAsia="仿宋_GB2312" w:cs="仿宋_GB2312"/>
          <w:sz w:val="32"/>
          <w:szCs w:val="32"/>
          <w:highlight w:val="none"/>
          <w:lang w:val="en"/>
        </w:rPr>
        <w:t>1</w:t>
      </w:r>
      <w:r>
        <w:rPr>
          <w:rFonts w:hint="eastAsia" w:ascii="仿宋_GB2312" w:hAnsi="仿宋_GB2312" w:eastAsia="仿宋_GB2312" w:cs="仿宋_GB2312"/>
          <w:sz w:val="32"/>
          <w:szCs w:val="32"/>
          <w:highlight w:val="none"/>
          <w:lang w:val="en" w:eastAsia="zh-CN"/>
        </w:rPr>
        <w:t>次</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5C406DB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指标2：参加会展</w:t>
      </w:r>
      <w:r>
        <w:rPr>
          <w:rFonts w:hint="eastAsia" w:ascii="仿宋_GB2312" w:hAnsi="仿宋_GB2312" w:eastAsia="仿宋_GB2312" w:cs="仿宋_GB2312"/>
          <w:sz w:val="32"/>
          <w:szCs w:val="32"/>
          <w:highlight w:val="none"/>
          <w:lang w:eastAsia="zh-CN"/>
        </w:rPr>
        <w:t>人</w:t>
      </w:r>
      <w:r>
        <w:rPr>
          <w:rFonts w:hint="eastAsia" w:ascii="仿宋_GB2312" w:hAnsi="仿宋_GB2312" w:eastAsia="仿宋_GB2312" w:cs="仿宋_GB2312"/>
          <w:sz w:val="32"/>
          <w:szCs w:val="32"/>
          <w:highlight w:val="none"/>
        </w:rPr>
        <w:t>数，指标值：&gt;=1</w:t>
      </w:r>
      <w:r>
        <w:rPr>
          <w:rFonts w:hint="eastAsia" w:ascii="仿宋_GB2312" w:hAnsi="仿宋_GB2312" w:eastAsia="仿宋_GB2312" w:cs="仿宋_GB2312"/>
          <w:sz w:val="32"/>
          <w:szCs w:val="32"/>
          <w:highlight w:val="none"/>
          <w:lang w:eastAsia="zh-CN"/>
        </w:rPr>
        <w:t>人</w:t>
      </w:r>
      <w:r>
        <w:rPr>
          <w:rFonts w:hint="eastAsia" w:ascii="仿宋_GB2312" w:hAnsi="仿宋_GB2312" w:eastAsia="仿宋_GB2312" w:cs="仿宋_GB2312"/>
          <w:sz w:val="32"/>
          <w:szCs w:val="32"/>
          <w:highlight w:val="none"/>
        </w:rPr>
        <w:t>，实际完成值：</w:t>
      </w:r>
      <w:r>
        <w:rPr>
          <w:rFonts w:hint="default" w:ascii="仿宋_GB2312" w:hAnsi="仿宋_GB2312" w:eastAsia="仿宋_GB2312" w:cs="仿宋_GB2312"/>
          <w:sz w:val="32"/>
          <w:szCs w:val="32"/>
          <w:highlight w:val="none"/>
          <w:lang w:val="en"/>
        </w:rPr>
        <w:t>1</w:t>
      </w:r>
      <w:r>
        <w:rPr>
          <w:rFonts w:hint="eastAsia" w:ascii="仿宋_GB2312" w:hAnsi="仿宋_GB2312" w:eastAsia="仿宋_GB2312" w:cs="仿宋_GB2312"/>
          <w:sz w:val="32"/>
          <w:szCs w:val="32"/>
          <w:highlight w:val="none"/>
          <w:lang w:val="en" w:eastAsia="zh-CN"/>
        </w:rPr>
        <w:t>人</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25DC08B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：参加会展</w:t>
      </w:r>
      <w:r>
        <w:rPr>
          <w:rFonts w:hint="eastAsia" w:ascii="仿宋_GB2312" w:hAnsi="仿宋_GB2312" w:eastAsia="仿宋_GB2312" w:cs="仿宋_GB2312"/>
          <w:sz w:val="32"/>
          <w:szCs w:val="32"/>
          <w:highlight w:val="none"/>
          <w:lang w:eastAsia="zh-CN"/>
        </w:rPr>
        <w:t>天</w:t>
      </w:r>
      <w:r>
        <w:rPr>
          <w:rFonts w:hint="eastAsia" w:ascii="仿宋_GB2312" w:hAnsi="仿宋_GB2312" w:eastAsia="仿宋_GB2312" w:cs="仿宋_GB2312"/>
          <w:sz w:val="32"/>
          <w:szCs w:val="32"/>
          <w:highlight w:val="none"/>
        </w:rPr>
        <w:t>数，指标值：&gt;=</w:t>
      </w:r>
      <w:r>
        <w:rPr>
          <w:rFonts w:hint="eastAsia" w:ascii="仿宋_GB2312" w:hAnsi="仿宋_GB2312" w:eastAsia="仿宋_GB2312" w:cs="仿宋_GB2312"/>
          <w:sz w:val="32"/>
          <w:szCs w:val="32"/>
          <w:highlight w:val="none"/>
          <w:lang w:val="en-US" w:eastAsia="zh-CN"/>
        </w:rPr>
        <w:t>5天</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 w:eastAsia="zh-CN"/>
        </w:rPr>
        <w:t>天</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0E6587F4">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1A8CA1C4">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指标1：参展人员出勤率，指标值：&gt;=100%，实际完成值：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1BE5A358">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w:t>
      </w:r>
      <w:r>
        <w:rPr>
          <w:rFonts w:hint="eastAsia" w:ascii="仿宋_GB2312" w:hAnsi="仿宋_GB2312" w:eastAsia="仿宋_GB2312" w:cs="仿宋_GB2312"/>
          <w:sz w:val="32"/>
          <w:szCs w:val="32"/>
          <w:highlight w:val="none"/>
          <w:lang w:eastAsia="zh-CN"/>
        </w:rPr>
        <w:t>差旅费用发放准确率</w:t>
      </w:r>
      <w:r>
        <w:rPr>
          <w:rFonts w:hint="eastAsia" w:ascii="仿宋_GB2312" w:hAnsi="仿宋_GB2312" w:eastAsia="仿宋_GB2312" w:cs="仿宋_GB2312"/>
          <w:sz w:val="32"/>
          <w:szCs w:val="32"/>
          <w:highlight w:val="none"/>
        </w:rPr>
        <w:t>，指标值：&gt;=100%，实际完成值：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433D5F21">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2AE01B45">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eastAsia="zh-CN"/>
        </w:rPr>
        <w:t>参加展会及时率</w:t>
      </w:r>
      <w:r>
        <w:rPr>
          <w:rFonts w:hint="eastAsia" w:ascii="仿宋_GB2312" w:hAnsi="仿宋_GB2312" w:eastAsia="仿宋_GB2312" w:cs="仿宋_GB2312"/>
          <w:sz w:val="32"/>
          <w:szCs w:val="32"/>
          <w:highlight w:val="none"/>
        </w:rPr>
        <w:t>，指标值：&gt;=100%，实际完成值：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30B7ED8C">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14:paraId="40C48DEE">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指标1：参展人员</w:t>
      </w:r>
      <w:r>
        <w:rPr>
          <w:rFonts w:hint="eastAsia" w:ascii="仿宋_GB2312" w:hAnsi="仿宋_GB2312" w:eastAsia="仿宋_GB2312" w:cs="仿宋_GB2312"/>
          <w:sz w:val="32"/>
          <w:szCs w:val="32"/>
          <w:highlight w:val="none"/>
          <w:lang w:eastAsia="zh-CN"/>
        </w:rPr>
        <w:t>支出标准</w:t>
      </w:r>
      <w:r>
        <w:rPr>
          <w:rFonts w:hint="eastAsia" w:ascii="仿宋_GB2312" w:hAnsi="仿宋_GB2312" w:eastAsia="仿宋_GB2312" w:cs="仿宋_GB2312"/>
          <w:sz w:val="32"/>
          <w:szCs w:val="32"/>
          <w:highlight w:val="none"/>
        </w:rPr>
        <w:t>，指标值：</w:t>
      </w:r>
      <w:r>
        <w:rPr>
          <w:rFonts w:hint="default" w:ascii="仿宋_GB2312" w:hAnsi="仿宋_GB2312" w:eastAsia="仿宋_GB2312" w:cs="仿宋_GB2312"/>
          <w:sz w:val="32"/>
          <w:szCs w:val="32"/>
          <w:highlight w:val="none"/>
          <w:lang w:val="en"/>
        </w:rPr>
        <w:t>&lt;</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192元/人/天</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62C0B2B3">
      <w:pPr>
        <w:pStyle w:val="11"/>
        <w:numPr>
          <w:ilvl w:val="0"/>
          <w:numId w:val="6"/>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14:paraId="623E496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项目效益类指标包括项目实施效益和满意度两方面的内容，权重分为20分，</w:t>
      </w:r>
      <w:r>
        <w:rPr>
          <w:rFonts w:hint="eastAsia" w:ascii="仿宋_GB2312" w:hAnsi="仿宋_GB2312" w:eastAsia="仿宋_GB2312" w:cs="仿宋_GB2312"/>
          <w:sz w:val="32"/>
          <w:szCs w:val="32"/>
          <w:highlight w:val="none"/>
          <w:lang w:val="en-US" w:eastAsia="zh-CN"/>
        </w:rPr>
        <w:t>实际得分</w:t>
      </w:r>
      <w:r>
        <w:rPr>
          <w:rFonts w:hint="default" w:ascii="仿宋_GB2312" w:hAnsi="仿宋_GB2312" w:eastAsia="仿宋_GB2312" w:cs="仿宋_GB2312"/>
          <w:sz w:val="32"/>
          <w:szCs w:val="32"/>
          <w:highlight w:val="none"/>
          <w:lang w:val="en" w:eastAsia="zh-CN"/>
        </w:rPr>
        <w:t>20</w:t>
      </w:r>
      <w:r>
        <w:rPr>
          <w:rFonts w:hint="eastAsia" w:ascii="仿宋_GB2312" w:hAnsi="仿宋_GB2312" w:eastAsia="仿宋_GB2312" w:cs="仿宋_GB2312"/>
          <w:sz w:val="32"/>
          <w:szCs w:val="32"/>
          <w:highlight w:val="none"/>
          <w:lang w:val="en-US" w:eastAsia="zh-CN"/>
        </w:rPr>
        <w:t>分，得分率为</w:t>
      </w:r>
      <w:r>
        <w:rPr>
          <w:rFonts w:hint="default" w:ascii="仿宋_GB2312" w:hAnsi="仿宋_GB2312" w:eastAsia="仿宋_GB2312" w:cs="仿宋_GB2312"/>
          <w:sz w:val="32"/>
          <w:szCs w:val="32"/>
          <w:highlight w:val="none"/>
          <w:lang w:val="en" w:eastAsia="zh-CN"/>
        </w:rPr>
        <w:t>100</w:t>
      </w:r>
      <w:r>
        <w:rPr>
          <w:rFonts w:hint="eastAsia" w:ascii="仿宋_GB2312" w:hAnsi="仿宋_GB2312" w:eastAsia="仿宋_GB2312" w:cs="仿宋_GB2312"/>
          <w:sz w:val="32"/>
          <w:szCs w:val="32"/>
          <w:highlight w:val="none"/>
          <w:lang w:val="en-US" w:eastAsia="zh-CN"/>
        </w:rPr>
        <w:t>%。</w:t>
      </w:r>
    </w:p>
    <w:p w14:paraId="494F89E4">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02D091D2">
      <w:pPr>
        <w:spacing w:line="560" w:lineRule="exact"/>
        <w:ind w:firstLine="640" w:firstLineChars="200"/>
        <w:rPr>
          <w:rFonts w:eastAsia="仿宋_GB2312"/>
          <w:sz w:val="32"/>
          <w:szCs w:val="32"/>
        </w:rPr>
      </w:pPr>
      <w:r>
        <w:rPr>
          <w:rFonts w:hint="eastAsia" w:eastAsia="仿宋_GB2312"/>
          <w:sz w:val="32"/>
          <w:szCs w:val="32"/>
        </w:rPr>
        <w:t>关于追加</w:t>
      </w:r>
      <w:r>
        <w:rPr>
          <w:rFonts w:hint="eastAsia" w:eastAsia="仿宋_GB2312"/>
          <w:sz w:val="32"/>
          <w:szCs w:val="32"/>
          <w:lang w:eastAsia="zh-CN"/>
        </w:rPr>
        <w:t>自治区</w:t>
      </w:r>
      <w:r>
        <w:rPr>
          <w:rFonts w:hint="eastAsia" w:eastAsia="仿宋_GB2312"/>
          <w:sz w:val="32"/>
          <w:szCs w:val="32"/>
        </w:rPr>
        <w:t>工信厅出国人员经费事项项目年初预算</w:t>
      </w:r>
      <w:r>
        <w:rPr>
          <w:rFonts w:hint="eastAsia" w:eastAsia="仿宋_GB2312"/>
          <w:sz w:val="32"/>
          <w:szCs w:val="32"/>
          <w:lang w:val="en-US" w:eastAsia="zh-CN"/>
        </w:rPr>
        <w:t>0</w:t>
      </w:r>
      <w:r>
        <w:rPr>
          <w:rFonts w:hint="eastAsia" w:eastAsia="仿宋_GB2312"/>
          <w:sz w:val="32"/>
          <w:szCs w:val="32"/>
        </w:rPr>
        <w:t>万元，全年预算</w:t>
      </w:r>
      <w:r>
        <w:rPr>
          <w:rFonts w:hint="eastAsia" w:eastAsia="仿宋_GB2312"/>
          <w:sz w:val="32"/>
          <w:szCs w:val="32"/>
          <w:lang w:val="en-US" w:eastAsia="zh-CN"/>
        </w:rPr>
        <w:t>2.97</w:t>
      </w:r>
      <w:r>
        <w:rPr>
          <w:rFonts w:hint="eastAsia" w:eastAsia="仿宋_GB2312"/>
          <w:sz w:val="32"/>
          <w:szCs w:val="32"/>
        </w:rPr>
        <w:t>万元，实际支出</w:t>
      </w:r>
      <w:r>
        <w:rPr>
          <w:rFonts w:hint="eastAsia" w:eastAsia="仿宋_GB2312"/>
          <w:sz w:val="32"/>
          <w:szCs w:val="32"/>
          <w:lang w:val="en-US" w:eastAsia="zh-CN"/>
        </w:rPr>
        <w:t>2.97</w:t>
      </w:r>
      <w:r>
        <w:rPr>
          <w:rFonts w:hint="eastAsia" w:eastAsia="仿宋_GB2312"/>
          <w:sz w:val="32"/>
          <w:szCs w:val="32"/>
        </w:rPr>
        <w:t>万元，</w:t>
      </w:r>
      <w:commentRangeStart w:id="5"/>
      <w:r>
        <w:rPr>
          <w:rFonts w:hint="eastAsia" w:eastAsia="仿宋_GB2312"/>
          <w:sz w:val="32"/>
          <w:szCs w:val="32"/>
        </w:rPr>
        <w:t>预算执行率为</w:t>
      </w:r>
      <w:r>
        <w:rPr>
          <w:rFonts w:hint="eastAsia" w:eastAsia="仿宋_GB2312"/>
          <w:sz w:val="32"/>
          <w:szCs w:val="32"/>
          <w:lang w:val="en-US" w:eastAsia="zh-CN"/>
        </w:rPr>
        <w:t>100</w:t>
      </w:r>
      <w:r>
        <w:rPr>
          <w:rFonts w:hint="eastAsia" w:eastAsia="仿宋_GB2312"/>
          <w:sz w:val="32"/>
          <w:szCs w:val="32"/>
        </w:rPr>
        <w:t>%</w:t>
      </w:r>
      <w:commentRangeEnd w:id="5"/>
      <w:r>
        <w:rPr>
          <w:rFonts w:eastAsia="仿宋_GB2312"/>
          <w:sz w:val="32"/>
          <w:szCs w:val="32"/>
        </w:rPr>
        <w:commentReference w:id="5"/>
      </w:r>
      <w:r>
        <w:rPr>
          <w:rFonts w:hint="eastAsia" w:eastAsia="仿宋_GB2312"/>
          <w:sz w:val="32"/>
          <w:szCs w:val="32"/>
        </w:rPr>
        <w:t>，</w:t>
      </w:r>
      <w:commentRangeStart w:id="6"/>
      <w:r>
        <w:rPr>
          <w:rFonts w:hint="eastAsia" w:eastAsia="仿宋_GB2312"/>
          <w:sz w:val="32"/>
          <w:szCs w:val="32"/>
        </w:rPr>
        <w:t>项目绩效指标总体完成率为</w:t>
      </w:r>
      <w:r>
        <w:rPr>
          <w:rFonts w:hint="eastAsia" w:eastAsia="仿宋_GB2312"/>
          <w:sz w:val="32"/>
          <w:szCs w:val="32"/>
          <w:lang w:val="en-US" w:eastAsia="zh-CN"/>
        </w:rPr>
        <w:t>100</w:t>
      </w:r>
      <w:r>
        <w:rPr>
          <w:rFonts w:hint="eastAsia" w:eastAsia="仿宋_GB2312"/>
          <w:sz w:val="32"/>
          <w:szCs w:val="32"/>
        </w:rPr>
        <w:t>%</w:t>
      </w:r>
      <w:commentRangeEnd w:id="6"/>
      <w:r>
        <w:rPr>
          <w:rFonts w:eastAsia="仿宋_GB2312"/>
          <w:sz w:val="32"/>
          <w:szCs w:val="32"/>
        </w:rPr>
        <w:commentReference w:id="6"/>
      </w:r>
      <w:r>
        <w:rPr>
          <w:rFonts w:hint="eastAsia" w:eastAsia="仿宋_GB2312"/>
          <w:sz w:val="32"/>
          <w:szCs w:val="32"/>
        </w:rPr>
        <w:t>，</w:t>
      </w:r>
      <w:r>
        <w:rPr>
          <w:rFonts w:hint="eastAsia" w:eastAsia="仿宋_GB2312"/>
          <w:sz w:val="32"/>
          <w:szCs w:val="32"/>
          <w:lang w:eastAsia="zh-Hans"/>
        </w:rPr>
        <w:t>总体</w:t>
      </w:r>
      <w:commentRangeStart w:id="7"/>
      <w:r>
        <w:rPr>
          <w:rFonts w:hint="eastAsia" w:eastAsia="仿宋_GB2312"/>
          <w:sz w:val="32"/>
          <w:szCs w:val="32"/>
        </w:rPr>
        <w:t>偏差率为</w:t>
      </w:r>
      <w:r>
        <w:rPr>
          <w:rFonts w:hint="eastAsia" w:eastAsia="仿宋_GB2312"/>
          <w:sz w:val="32"/>
          <w:szCs w:val="32"/>
          <w:lang w:val="en-US" w:eastAsia="zh-CN"/>
        </w:rPr>
        <w:t>0</w:t>
      </w:r>
      <w:r>
        <w:rPr>
          <w:rFonts w:hint="eastAsia" w:eastAsia="仿宋_GB2312"/>
          <w:sz w:val="32"/>
          <w:szCs w:val="32"/>
        </w:rPr>
        <w:t>%</w:t>
      </w:r>
      <w:commentRangeEnd w:id="7"/>
      <w:r>
        <w:rPr>
          <w:rFonts w:eastAsia="仿宋_GB2312"/>
          <w:sz w:val="32"/>
          <w:szCs w:val="32"/>
        </w:rPr>
        <w:commentReference w:id="7"/>
      </w:r>
      <w:r>
        <w:rPr>
          <w:rFonts w:hint="eastAsia" w:eastAsia="仿宋_GB2312"/>
          <w:sz w:val="32"/>
          <w:szCs w:val="32"/>
        </w:rPr>
        <w:t>。</w:t>
      </w:r>
    </w:p>
    <w:p w14:paraId="4D303171">
      <w:pPr>
        <w:spacing w:line="560" w:lineRule="exact"/>
        <w:ind w:firstLine="640" w:firstLineChars="200"/>
        <w:rPr>
          <w:rStyle w:val="17"/>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14:paraId="7A9AC78B">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4C457842">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183597C">
      <w:pPr>
        <w:pStyle w:val="2"/>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1B2E201">
      <w:pPr>
        <w:keepNext/>
        <w:keepLines/>
        <w:numPr>
          <w:ilvl w:val="0"/>
          <w:numId w:val="7"/>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512312A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30807C16">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14:paraId="3B56D39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14:paraId="321EA80F">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5694721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67AE24D3">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0ADEBBC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4569ED07">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6" w:name="page8"/>
      <w:bookmarkEnd w:id="6"/>
      <w:r>
        <w:rPr>
          <w:rFonts w:eastAsia="黑体"/>
          <w:sz w:val="32"/>
          <w:szCs w:val="32"/>
        </w:rPr>
        <w:t>明的问题</w:t>
      </w:r>
    </w:p>
    <w:p w14:paraId="17CD59E6">
      <w:pPr>
        <w:pStyle w:val="12"/>
        <w:spacing w:after="0" w:line="560" w:lineRule="exact"/>
        <w:ind w:left="0" w:leftChars="0" w:firstLine="640"/>
        <w:rPr>
          <w:rFonts w:hint="eastAsia" w:ascii="仿宋_GB2312" w:hAnsi="仿宋_GB2312" w:eastAsia="仿宋_GB2312" w:cs="仿宋_GB2312"/>
          <w:sz w:val="32"/>
          <w:szCs w:val="32"/>
          <w:lang w:eastAsia="zh-Hans"/>
        </w:rPr>
      </w:pPr>
      <w:r>
        <w:rPr>
          <w:rFonts w:hint="eastAsia" w:ascii="仿宋_GB2312" w:hAnsi="仿宋_GB2312" w:eastAsia="仿宋_GB2312" w:cs="仿宋_GB2312"/>
          <w:sz w:val="32"/>
          <w:szCs w:val="32"/>
          <w:lang w:eastAsia="zh-Hans"/>
        </w:rPr>
        <w:t>本项目无其他需说明的问题。</w:t>
      </w:r>
    </w:p>
    <w:p w14:paraId="40B61846">
      <w:pPr>
        <w:spacing w:line="600" w:lineRule="exact"/>
        <w:rPr>
          <w:rFonts w:hint="eastAsia" w:ascii="黑体" w:hAnsi="黑体" w:eastAsia="黑体" w:cs="黑体"/>
          <w:bCs/>
          <w:sz w:val="32"/>
          <w:szCs w:val="32"/>
        </w:rPr>
      </w:pPr>
    </w:p>
    <w:p w14:paraId="6CDCB3B1">
      <w:pPr>
        <w:spacing w:line="600" w:lineRule="exact"/>
        <w:rPr>
          <w:rFonts w:hint="eastAsia" w:ascii="黑体" w:hAnsi="黑体" w:eastAsia="黑体" w:cs="黑体"/>
          <w:bCs/>
          <w:sz w:val="32"/>
          <w:szCs w:val="32"/>
        </w:rPr>
      </w:pPr>
    </w:p>
    <w:p w14:paraId="2BFA5BC6">
      <w:pPr>
        <w:spacing w:line="600" w:lineRule="exact"/>
        <w:rPr>
          <w:rFonts w:hint="eastAsia" w:ascii="黑体" w:hAnsi="黑体" w:eastAsia="黑体" w:cs="黑体"/>
          <w:bCs/>
          <w:sz w:val="32"/>
          <w:szCs w:val="32"/>
        </w:rPr>
      </w:pPr>
    </w:p>
    <w:p w14:paraId="1086ADF5">
      <w:pPr>
        <w:spacing w:line="600" w:lineRule="exact"/>
        <w:rPr>
          <w:rFonts w:hint="eastAsia" w:ascii="黑体" w:hAnsi="黑体" w:eastAsia="黑体" w:cs="黑体"/>
          <w:bCs/>
          <w:sz w:val="32"/>
          <w:szCs w:val="32"/>
        </w:rPr>
      </w:pPr>
    </w:p>
    <w:p w14:paraId="1E41046B">
      <w:pPr>
        <w:spacing w:line="600" w:lineRule="exact"/>
        <w:rPr>
          <w:rFonts w:hint="eastAsia" w:ascii="黑体" w:hAnsi="黑体" w:eastAsia="黑体" w:cs="黑体"/>
        </w:rPr>
      </w:pPr>
      <w:commentRangeStart w:id="8"/>
      <w:bookmarkStart w:id="9" w:name="_GoBack"/>
      <w:bookmarkEnd w:id="9"/>
      <w:r>
        <w:rPr>
          <w:rFonts w:hint="eastAsia" w:ascii="黑体" w:hAnsi="黑体" w:eastAsia="黑体" w:cs="黑体"/>
          <w:bCs/>
          <w:sz w:val="32"/>
          <w:szCs w:val="32"/>
        </w:rPr>
        <w:t>附件1</w:t>
      </w:r>
      <w:commentRangeEnd w:id="8"/>
      <w:r>
        <w:rPr>
          <w:rFonts w:hint="eastAsia" w:ascii="黑体" w:hAnsi="黑体" w:eastAsia="黑体" w:cs="黑体"/>
        </w:rPr>
        <w:commentReference w:id="8"/>
      </w:r>
    </w:p>
    <w:p w14:paraId="13846E27">
      <w:pPr>
        <w:pStyle w:val="18"/>
        <w:ind w:firstLine="562"/>
        <w:jc w:val="center"/>
        <w:rPr>
          <w:sz w:val="28"/>
          <w:szCs w:val="40"/>
        </w:rPr>
      </w:pPr>
      <w:bookmarkStart w:id="7" w:name="_Toc26499_WPSOffice_Level2"/>
      <w:bookmarkStart w:id="8" w:name="_Toc30064_WPSOffice_Level1"/>
      <w:r>
        <w:rPr>
          <w:rFonts w:hint="eastAsia"/>
          <w:b/>
          <w:bCs/>
          <w:sz w:val="28"/>
          <w:szCs w:val="40"/>
        </w:rPr>
        <w:t>关于追加自治区工信厅出国人员经费绩效评价指标体系及综合评分表</w:t>
      </w:r>
      <w:bookmarkEnd w:id="7"/>
      <w:bookmarkEnd w:id="8"/>
    </w:p>
    <w:tbl>
      <w:tblPr>
        <w:tblStyle w:val="13"/>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27"/>
        <w:gridCol w:w="764"/>
        <w:gridCol w:w="873"/>
        <w:gridCol w:w="2352"/>
        <w:gridCol w:w="5205"/>
        <w:gridCol w:w="1299"/>
        <w:gridCol w:w="1363"/>
      </w:tblGrid>
      <w:tr w14:paraId="765263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6" w:type="pct"/>
            <w:shd w:val="clear" w:color="auto" w:fill="FFFFFF"/>
            <w:vAlign w:val="center"/>
          </w:tcPr>
          <w:p w14:paraId="22637AC1">
            <w:pPr>
              <w:widowControl/>
              <w:spacing w:line="0" w:lineRule="atLeast"/>
              <w:jc w:val="center"/>
              <w:rPr>
                <w:b/>
                <w:bCs/>
                <w:color w:val="000000"/>
                <w:kern w:val="0"/>
                <w:sz w:val="22"/>
                <w:szCs w:val="22"/>
              </w:rPr>
            </w:pPr>
            <w:r>
              <w:rPr>
                <w:b/>
                <w:bCs/>
                <w:color w:val="000000"/>
                <w:kern w:val="0"/>
                <w:sz w:val="22"/>
                <w:szCs w:val="22"/>
              </w:rPr>
              <w:t>一级指标</w:t>
            </w:r>
          </w:p>
        </w:tc>
        <w:tc>
          <w:tcPr>
            <w:tcW w:w="301" w:type="pct"/>
            <w:shd w:val="clear" w:color="auto" w:fill="FFFFFF"/>
            <w:vAlign w:val="center"/>
          </w:tcPr>
          <w:p w14:paraId="470B78ED">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6554161C">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662D56C8">
            <w:pPr>
              <w:widowControl/>
              <w:spacing w:line="0" w:lineRule="atLeast"/>
              <w:jc w:val="center"/>
              <w:rPr>
                <w:b/>
                <w:bCs/>
                <w:color w:val="000000"/>
                <w:kern w:val="0"/>
                <w:sz w:val="22"/>
                <w:szCs w:val="22"/>
              </w:rPr>
            </w:pPr>
            <w:r>
              <w:rPr>
                <w:b/>
                <w:bCs/>
                <w:color w:val="000000"/>
                <w:kern w:val="0"/>
                <w:sz w:val="22"/>
                <w:szCs w:val="22"/>
              </w:rPr>
              <w:t>指标解释</w:t>
            </w:r>
          </w:p>
        </w:tc>
        <w:tc>
          <w:tcPr>
            <w:tcW w:w="2051" w:type="pct"/>
            <w:shd w:val="clear" w:color="auto" w:fill="FFFFFF"/>
            <w:vAlign w:val="center"/>
          </w:tcPr>
          <w:p w14:paraId="7A9C9B09">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1E6776A0">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14:paraId="3C1B3E94">
            <w:pPr>
              <w:widowControl/>
              <w:spacing w:line="0" w:lineRule="atLeast"/>
              <w:jc w:val="center"/>
              <w:rPr>
                <w:b/>
                <w:bCs/>
                <w:color w:val="000000"/>
                <w:kern w:val="0"/>
                <w:sz w:val="22"/>
                <w:szCs w:val="22"/>
              </w:rPr>
            </w:pPr>
            <w:r>
              <w:rPr>
                <w:b/>
                <w:bCs/>
                <w:color w:val="000000"/>
                <w:kern w:val="0"/>
                <w:sz w:val="22"/>
                <w:szCs w:val="22"/>
              </w:rPr>
              <w:t>得分</w:t>
            </w:r>
          </w:p>
        </w:tc>
      </w:tr>
      <w:tr w14:paraId="11DDD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26" w:type="pct"/>
            <w:vMerge w:val="restart"/>
            <w:shd w:val="clear" w:color="auto" w:fill="FFFFFF"/>
            <w:vAlign w:val="center"/>
          </w:tcPr>
          <w:p w14:paraId="038F9985">
            <w:pPr>
              <w:widowControl/>
              <w:spacing w:line="0" w:lineRule="atLeast"/>
              <w:jc w:val="center"/>
              <w:rPr>
                <w:color w:val="000000"/>
                <w:kern w:val="0"/>
                <w:sz w:val="22"/>
                <w:szCs w:val="22"/>
              </w:rPr>
            </w:pPr>
          </w:p>
          <w:p w14:paraId="73A76CDB">
            <w:pPr>
              <w:widowControl/>
              <w:spacing w:line="0" w:lineRule="atLeast"/>
              <w:jc w:val="center"/>
              <w:rPr>
                <w:color w:val="000000"/>
                <w:kern w:val="0"/>
                <w:sz w:val="22"/>
                <w:szCs w:val="22"/>
              </w:rPr>
            </w:pPr>
          </w:p>
          <w:p w14:paraId="4B7E562A">
            <w:pPr>
              <w:widowControl/>
              <w:spacing w:line="0" w:lineRule="atLeast"/>
              <w:jc w:val="center"/>
              <w:rPr>
                <w:color w:val="000000"/>
                <w:kern w:val="0"/>
                <w:sz w:val="22"/>
                <w:szCs w:val="22"/>
              </w:rPr>
            </w:pPr>
          </w:p>
          <w:p w14:paraId="4633E1C6">
            <w:pPr>
              <w:widowControl/>
              <w:spacing w:line="0" w:lineRule="atLeast"/>
              <w:jc w:val="center"/>
              <w:rPr>
                <w:color w:val="000000"/>
                <w:kern w:val="0"/>
                <w:sz w:val="22"/>
                <w:szCs w:val="22"/>
              </w:rPr>
            </w:pPr>
          </w:p>
          <w:p w14:paraId="7BC8624B">
            <w:pPr>
              <w:widowControl/>
              <w:spacing w:line="0" w:lineRule="atLeast"/>
              <w:jc w:val="center"/>
              <w:rPr>
                <w:color w:val="000000"/>
                <w:kern w:val="0"/>
                <w:sz w:val="22"/>
                <w:szCs w:val="22"/>
              </w:rPr>
            </w:pPr>
          </w:p>
          <w:p w14:paraId="5AEC2EE3">
            <w:pPr>
              <w:widowControl/>
              <w:spacing w:line="0" w:lineRule="atLeast"/>
              <w:jc w:val="center"/>
              <w:rPr>
                <w:color w:val="000000"/>
                <w:kern w:val="0"/>
                <w:sz w:val="22"/>
                <w:szCs w:val="22"/>
              </w:rPr>
            </w:pPr>
          </w:p>
          <w:p w14:paraId="4CF990E2">
            <w:pPr>
              <w:widowControl/>
              <w:spacing w:line="0" w:lineRule="atLeast"/>
              <w:jc w:val="center"/>
              <w:rPr>
                <w:color w:val="000000"/>
                <w:kern w:val="0"/>
                <w:sz w:val="22"/>
                <w:szCs w:val="22"/>
              </w:rPr>
            </w:pPr>
            <w:r>
              <w:rPr>
                <w:color w:val="000000"/>
                <w:kern w:val="0"/>
                <w:sz w:val="22"/>
                <w:szCs w:val="22"/>
              </w:rPr>
              <w:t>决策　</w:t>
            </w:r>
          </w:p>
        </w:tc>
        <w:tc>
          <w:tcPr>
            <w:tcW w:w="301" w:type="pct"/>
            <w:vMerge w:val="restart"/>
            <w:shd w:val="clear" w:color="auto" w:fill="FFFFFF"/>
            <w:vAlign w:val="center"/>
          </w:tcPr>
          <w:p w14:paraId="780575B4">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14:paraId="58A08741">
            <w:pPr>
              <w:widowControl/>
              <w:spacing w:line="0" w:lineRule="atLeast"/>
              <w:jc w:val="center"/>
              <w:rPr>
                <w:color w:val="000000"/>
                <w:kern w:val="0"/>
                <w:sz w:val="22"/>
                <w:szCs w:val="22"/>
              </w:rPr>
            </w:pPr>
            <w:r>
              <w:rPr>
                <w:color w:val="000000"/>
                <w:kern w:val="0"/>
                <w:sz w:val="22"/>
                <w:szCs w:val="22"/>
              </w:rPr>
              <w:t>立项依据</w:t>
            </w:r>
          </w:p>
          <w:p w14:paraId="36D28597">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14:paraId="5B02B0F6">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51" w:type="pct"/>
            <w:shd w:val="clear" w:color="auto" w:fill="FFFFFF"/>
            <w:vAlign w:val="center"/>
          </w:tcPr>
          <w:p w14:paraId="25440C09">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14:paraId="57B13D9A">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14:paraId="71391059">
            <w:pPr>
              <w:widowControl/>
              <w:spacing w:line="0" w:lineRule="atLeast"/>
              <w:jc w:val="center"/>
              <w:rPr>
                <w:rFonts w:ascii="Times New Roman" w:hAnsi="Times New Roman" w:eastAsia="宋体" w:cs="Times New Roman"/>
                <w:b/>
                <w:bCs/>
                <w:color w:val="000000"/>
                <w:kern w:val="0"/>
                <w:sz w:val="22"/>
                <w:szCs w:val="22"/>
                <w:lang w:val="en-US" w:eastAsia="zh-CN" w:bidi="ar-SA"/>
              </w:rPr>
            </w:pPr>
            <w:r>
              <w:rPr>
                <w:b/>
                <w:bCs/>
                <w:color w:val="000000"/>
                <w:kern w:val="0"/>
                <w:sz w:val="22"/>
                <w:szCs w:val="22"/>
              </w:rPr>
              <w:t>3</w:t>
            </w:r>
          </w:p>
        </w:tc>
      </w:tr>
      <w:tr w14:paraId="7CEB06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6" w:type="pct"/>
            <w:vMerge w:val="continue"/>
            <w:shd w:val="clear" w:color="auto" w:fill="FFFFFF"/>
            <w:vAlign w:val="center"/>
          </w:tcPr>
          <w:p w14:paraId="4C3EE088">
            <w:pPr>
              <w:spacing w:line="0" w:lineRule="atLeast"/>
              <w:jc w:val="center"/>
              <w:rPr>
                <w:color w:val="000000"/>
                <w:kern w:val="0"/>
                <w:sz w:val="22"/>
                <w:szCs w:val="22"/>
              </w:rPr>
            </w:pPr>
          </w:p>
        </w:tc>
        <w:tc>
          <w:tcPr>
            <w:tcW w:w="301" w:type="pct"/>
            <w:vMerge w:val="continue"/>
            <w:shd w:val="clear" w:color="auto" w:fill="FFFFFF"/>
            <w:vAlign w:val="center"/>
          </w:tcPr>
          <w:p w14:paraId="32519328">
            <w:pPr>
              <w:widowControl/>
              <w:spacing w:line="0" w:lineRule="atLeast"/>
              <w:jc w:val="center"/>
              <w:rPr>
                <w:color w:val="000000"/>
                <w:kern w:val="0"/>
                <w:sz w:val="22"/>
                <w:szCs w:val="22"/>
              </w:rPr>
            </w:pPr>
          </w:p>
        </w:tc>
        <w:tc>
          <w:tcPr>
            <w:tcW w:w="344" w:type="pct"/>
            <w:shd w:val="clear" w:color="auto" w:fill="FFFFFF"/>
            <w:vAlign w:val="center"/>
          </w:tcPr>
          <w:p w14:paraId="720EB21E">
            <w:pPr>
              <w:widowControl/>
              <w:spacing w:line="0" w:lineRule="atLeast"/>
              <w:jc w:val="center"/>
              <w:rPr>
                <w:color w:val="000000"/>
                <w:kern w:val="0"/>
                <w:sz w:val="22"/>
                <w:szCs w:val="22"/>
              </w:rPr>
            </w:pPr>
            <w:r>
              <w:rPr>
                <w:color w:val="000000"/>
                <w:kern w:val="0"/>
                <w:sz w:val="22"/>
                <w:szCs w:val="22"/>
              </w:rPr>
              <w:t>立项程序</w:t>
            </w:r>
          </w:p>
          <w:p w14:paraId="7B930418">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14:paraId="5F1BA328">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51" w:type="pct"/>
            <w:shd w:val="clear" w:color="auto" w:fill="FFFFFF"/>
            <w:vAlign w:val="center"/>
          </w:tcPr>
          <w:p w14:paraId="04F409FF">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14:paraId="655A9DAE">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14:paraId="773E31DF">
            <w:pPr>
              <w:widowControl/>
              <w:spacing w:line="0" w:lineRule="atLeast"/>
              <w:jc w:val="center"/>
              <w:rPr>
                <w:rFonts w:ascii="Times New Roman" w:hAnsi="Times New Roman" w:eastAsia="宋体" w:cs="Times New Roman"/>
                <w:b/>
                <w:bCs/>
                <w:color w:val="000000"/>
                <w:kern w:val="0"/>
                <w:sz w:val="22"/>
                <w:szCs w:val="22"/>
                <w:lang w:val="en-US" w:eastAsia="zh-CN" w:bidi="ar-SA"/>
              </w:rPr>
            </w:pPr>
            <w:r>
              <w:rPr>
                <w:b/>
                <w:bCs/>
                <w:color w:val="000000"/>
                <w:kern w:val="0"/>
                <w:sz w:val="22"/>
                <w:szCs w:val="22"/>
              </w:rPr>
              <w:t>3</w:t>
            </w:r>
          </w:p>
        </w:tc>
      </w:tr>
      <w:tr w14:paraId="6AFDA2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6" w:type="pct"/>
            <w:vMerge w:val="continue"/>
            <w:shd w:val="clear" w:color="auto" w:fill="FFFFFF"/>
            <w:vAlign w:val="center"/>
          </w:tcPr>
          <w:p w14:paraId="54E1AE01">
            <w:pPr>
              <w:spacing w:line="0" w:lineRule="atLeast"/>
              <w:jc w:val="center"/>
              <w:rPr>
                <w:color w:val="000000"/>
                <w:kern w:val="0"/>
                <w:sz w:val="22"/>
                <w:szCs w:val="22"/>
              </w:rPr>
            </w:pPr>
          </w:p>
        </w:tc>
        <w:tc>
          <w:tcPr>
            <w:tcW w:w="301" w:type="pct"/>
            <w:vMerge w:val="restart"/>
            <w:shd w:val="clear" w:color="auto" w:fill="FFFFFF"/>
            <w:vAlign w:val="center"/>
          </w:tcPr>
          <w:p w14:paraId="2BE51E18">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14:paraId="682E7601">
            <w:pPr>
              <w:widowControl/>
              <w:spacing w:line="0" w:lineRule="atLeast"/>
              <w:jc w:val="center"/>
              <w:rPr>
                <w:color w:val="000000"/>
                <w:kern w:val="0"/>
                <w:sz w:val="22"/>
                <w:szCs w:val="22"/>
              </w:rPr>
            </w:pPr>
            <w:r>
              <w:rPr>
                <w:color w:val="000000"/>
                <w:kern w:val="0"/>
                <w:sz w:val="22"/>
                <w:szCs w:val="22"/>
              </w:rPr>
              <w:t>绩效目标</w:t>
            </w:r>
          </w:p>
          <w:p w14:paraId="2CC51F05">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14:paraId="4C465BDD">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51" w:type="pct"/>
            <w:shd w:val="clear" w:color="000000" w:fill="FFFFFF"/>
            <w:vAlign w:val="center"/>
          </w:tcPr>
          <w:p w14:paraId="22E74422">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153AEF0F">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14:paraId="7A23629F">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14:paraId="3E05ECB5">
            <w:pPr>
              <w:widowControl/>
              <w:spacing w:line="0" w:lineRule="atLeast"/>
              <w:jc w:val="center"/>
              <w:rPr>
                <w:rFonts w:ascii="Times New Roman" w:hAnsi="Times New Roman" w:eastAsia="宋体" w:cs="Times New Roman"/>
                <w:b/>
                <w:bCs/>
                <w:color w:val="000000"/>
                <w:kern w:val="0"/>
                <w:sz w:val="22"/>
                <w:szCs w:val="22"/>
                <w:lang w:val="en-US" w:eastAsia="zh-CN" w:bidi="ar-SA"/>
              </w:rPr>
            </w:pPr>
            <w:r>
              <w:rPr>
                <w:b/>
                <w:bCs/>
                <w:color w:val="000000"/>
                <w:kern w:val="0"/>
                <w:sz w:val="22"/>
                <w:szCs w:val="22"/>
              </w:rPr>
              <w:t>3</w:t>
            </w:r>
          </w:p>
        </w:tc>
      </w:tr>
      <w:tr w14:paraId="1CC604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6" w:type="pct"/>
            <w:vMerge w:val="continue"/>
            <w:shd w:val="clear" w:color="auto" w:fill="FFFFFF"/>
            <w:vAlign w:val="center"/>
          </w:tcPr>
          <w:p w14:paraId="6C1125DB">
            <w:pPr>
              <w:widowControl/>
              <w:spacing w:line="0" w:lineRule="atLeast"/>
              <w:jc w:val="center"/>
              <w:rPr>
                <w:color w:val="000000"/>
                <w:kern w:val="0"/>
                <w:sz w:val="22"/>
                <w:szCs w:val="22"/>
              </w:rPr>
            </w:pPr>
          </w:p>
        </w:tc>
        <w:tc>
          <w:tcPr>
            <w:tcW w:w="301" w:type="pct"/>
            <w:vMerge w:val="continue"/>
            <w:shd w:val="clear" w:color="auto" w:fill="FFFFFF"/>
            <w:vAlign w:val="center"/>
          </w:tcPr>
          <w:p w14:paraId="0328F26D">
            <w:pPr>
              <w:widowControl/>
              <w:spacing w:line="0" w:lineRule="atLeast"/>
              <w:jc w:val="center"/>
              <w:rPr>
                <w:color w:val="000000"/>
                <w:kern w:val="0"/>
                <w:sz w:val="22"/>
                <w:szCs w:val="22"/>
              </w:rPr>
            </w:pPr>
          </w:p>
        </w:tc>
        <w:tc>
          <w:tcPr>
            <w:tcW w:w="344" w:type="pct"/>
            <w:shd w:val="clear" w:color="auto" w:fill="FFFFFF"/>
            <w:vAlign w:val="center"/>
          </w:tcPr>
          <w:p w14:paraId="21941140">
            <w:pPr>
              <w:widowControl/>
              <w:spacing w:line="0" w:lineRule="atLeast"/>
              <w:jc w:val="center"/>
              <w:rPr>
                <w:color w:val="000000"/>
                <w:kern w:val="0"/>
                <w:sz w:val="22"/>
                <w:szCs w:val="22"/>
              </w:rPr>
            </w:pPr>
            <w:r>
              <w:rPr>
                <w:color w:val="000000"/>
                <w:kern w:val="0"/>
                <w:sz w:val="22"/>
                <w:szCs w:val="22"/>
              </w:rPr>
              <w:t>绩效指标</w:t>
            </w:r>
          </w:p>
          <w:p w14:paraId="7BBF1949">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14:paraId="4B7D0FBD">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51" w:type="pct"/>
            <w:shd w:val="clear" w:color="000000" w:fill="FFFFFF"/>
            <w:vAlign w:val="center"/>
          </w:tcPr>
          <w:p w14:paraId="10B7CAA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14:paraId="1D57B29B">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14:paraId="6D952F85">
            <w:pPr>
              <w:widowControl/>
              <w:spacing w:line="0" w:lineRule="atLeast"/>
              <w:jc w:val="center"/>
              <w:rPr>
                <w:rFonts w:ascii="Times New Roman" w:hAnsi="Times New Roman" w:eastAsia="宋体" w:cs="Times New Roman"/>
                <w:b/>
                <w:bCs/>
                <w:color w:val="000000"/>
                <w:kern w:val="0"/>
                <w:sz w:val="22"/>
                <w:szCs w:val="22"/>
                <w:lang w:val="en-US" w:eastAsia="zh-CN" w:bidi="ar-SA"/>
              </w:rPr>
            </w:pPr>
            <w:r>
              <w:rPr>
                <w:b/>
                <w:bCs/>
                <w:color w:val="000000"/>
                <w:kern w:val="0"/>
                <w:sz w:val="22"/>
                <w:szCs w:val="22"/>
              </w:rPr>
              <w:t>3</w:t>
            </w:r>
          </w:p>
        </w:tc>
      </w:tr>
      <w:tr w14:paraId="1A14FE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6" w:type="pct"/>
            <w:vMerge w:val="continue"/>
            <w:shd w:val="clear" w:color="auto" w:fill="FFFFFF"/>
            <w:vAlign w:val="center"/>
          </w:tcPr>
          <w:p w14:paraId="786D14CD">
            <w:pPr>
              <w:spacing w:line="0" w:lineRule="atLeast"/>
              <w:jc w:val="center"/>
              <w:rPr>
                <w:color w:val="000000"/>
                <w:kern w:val="0"/>
                <w:sz w:val="22"/>
                <w:szCs w:val="22"/>
              </w:rPr>
            </w:pPr>
          </w:p>
        </w:tc>
        <w:tc>
          <w:tcPr>
            <w:tcW w:w="301" w:type="pct"/>
            <w:vMerge w:val="restart"/>
            <w:shd w:val="clear" w:color="auto" w:fill="FFFFFF"/>
            <w:vAlign w:val="center"/>
          </w:tcPr>
          <w:p w14:paraId="16DEAEBB">
            <w:pPr>
              <w:widowControl/>
              <w:spacing w:line="0" w:lineRule="atLeast"/>
              <w:jc w:val="center"/>
              <w:rPr>
                <w:color w:val="000000"/>
                <w:kern w:val="0"/>
                <w:sz w:val="22"/>
                <w:szCs w:val="22"/>
              </w:rPr>
            </w:pPr>
            <w:r>
              <w:rPr>
                <w:color w:val="000000"/>
                <w:kern w:val="0"/>
                <w:sz w:val="22"/>
                <w:szCs w:val="22"/>
              </w:rPr>
              <w:t>资金投入</w:t>
            </w:r>
          </w:p>
          <w:p w14:paraId="0696E31B">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2BD22E4D">
            <w:pPr>
              <w:widowControl/>
              <w:spacing w:line="0" w:lineRule="atLeast"/>
              <w:jc w:val="center"/>
              <w:rPr>
                <w:color w:val="000000"/>
                <w:kern w:val="0"/>
                <w:sz w:val="22"/>
                <w:szCs w:val="22"/>
              </w:rPr>
            </w:pPr>
            <w:r>
              <w:rPr>
                <w:color w:val="000000"/>
                <w:kern w:val="0"/>
                <w:sz w:val="22"/>
                <w:szCs w:val="22"/>
              </w:rPr>
              <w:t>预算编制</w:t>
            </w:r>
          </w:p>
          <w:p w14:paraId="4917AFE6">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14:paraId="69337304">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51" w:type="pct"/>
            <w:shd w:val="clear" w:color="auto" w:fill="FFFFFF"/>
            <w:vAlign w:val="center"/>
          </w:tcPr>
          <w:p w14:paraId="4432509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14:paraId="3C25F094">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330E37E9">
            <w:pPr>
              <w:widowControl/>
              <w:spacing w:line="0" w:lineRule="atLeast"/>
              <w:jc w:val="center"/>
              <w:rPr>
                <w:rFonts w:ascii="Times New Roman" w:hAnsi="Times New Roman" w:eastAsia="宋体" w:cs="Times New Roman"/>
                <w:b/>
                <w:bCs/>
                <w:color w:val="000000"/>
                <w:kern w:val="0"/>
                <w:sz w:val="22"/>
                <w:szCs w:val="22"/>
                <w:lang w:val="en-US" w:eastAsia="zh-CN" w:bidi="ar-SA"/>
              </w:rPr>
            </w:pPr>
            <w:r>
              <w:rPr>
                <w:b/>
                <w:bCs/>
                <w:color w:val="000000"/>
                <w:kern w:val="0"/>
                <w:sz w:val="22"/>
                <w:szCs w:val="22"/>
              </w:rPr>
              <w:t>4</w:t>
            </w:r>
          </w:p>
        </w:tc>
      </w:tr>
      <w:tr w14:paraId="194521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6" w:type="pct"/>
            <w:vMerge w:val="continue"/>
            <w:shd w:val="clear" w:color="auto" w:fill="FFFFFF"/>
            <w:vAlign w:val="center"/>
          </w:tcPr>
          <w:p w14:paraId="6BEFB998">
            <w:pPr>
              <w:widowControl/>
              <w:spacing w:line="0" w:lineRule="atLeast"/>
              <w:jc w:val="center"/>
              <w:rPr>
                <w:color w:val="000000"/>
                <w:kern w:val="0"/>
                <w:sz w:val="22"/>
                <w:szCs w:val="22"/>
              </w:rPr>
            </w:pPr>
          </w:p>
        </w:tc>
        <w:tc>
          <w:tcPr>
            <w:tcW w:w="301" w:type="pct"/>
            <w:vMerge w:val="continue"/>
            <w:shd w:val="clear" w:color="auto" w:fill="FFFFFF"/>
            <w:vAlign w:val="center"/>
          </w:tcPr>
          <w:p w14:paraId="12424EA8">
            <w:pPr>
              <w:widowControl/>
              <w:spacing w:line="0" w:lineRule="atLeast"/>
              <w:jc w:val="center"/>
              <w:rPr>
                <w:color w:val="000000"/>
                <w:kern w:val="0"/>
                <w:sz w:val="22"/>
                <w:szCs w:val="22"/>
              </w:rPr>
            </w:pPr>
          </w:p>
        </w:tc>
        <w:tc>
          <w:tcPr>
            <w:tcW w:w="344" w:type="pct"/>
            <w:shd w:val="clear" w:color="auto" w:fill="FFFFFF"/>
            <w:vAlign w:val="center"/>
          </w:tcPr>
          <w:p w14:paraId="106C140C">
            <w:pPr>
              <w:widowControl/>
              <w:spacing w:line="0" w:lineRule="atLeast"/>
              <w:jc w:val="center"/>
              <w:rPr>
                <w:color w:val="000000"/>
                <w:kern w:val="0"/>
                <w:sz w:val="22"/>
                <w:szCs w:val="22"/>
              </w:rPr>
            </w:pPr>
            <w:r>
              <w:rPr>
                <w:color w:val="000000"/>
                <w:kern w:val="0"/>
                <w:sz w:val="22"/>
                <w:szCs w:val="22"/>
              </w:rPr>
              <w:t>资金分配</w:t>
            </w:r>
          </w:p>
          <w:p w14:paraId="60300F77">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14:paraId="020F2143">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51" w:type="pct"/>
            <w:shd w:val="clear" w:color="auto" w:fill="FFFFFF"/>
            <w:vAlign w:val="center"/>
          </w:tcPr>
          <w:p w14:paraId="6270C20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14:paraId="1D884B65">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2282B1BC">
            <w:pPr>
              <w:widowControl/>
              <w:spacing w:line="0" w:lineRule="atLeast"/>
              <w:jc w:val="center"/>
              <w:rPr>
                <w:rFonts w:ascii="Times New Roman" w:hAnsi="Times New Roman" w:eastAsia="宋体" w:cs="Times New Roman"/>
                <w:b/>
                <w:bCs/>
                <w:color w:val="000000"/>
                <w:kern w:val="0"/>
                <w:sz w:val="22"/>
                <w:szCs w:val="22"/>
                <w:lang w:val="en-US" w:eastAsia="zh-CN" w:bidi="ar-SA"/>
              </w:rPr>
            </w:pPr>
            <w:r>
              <w:rPr>
                <w:b/>
                <w:bCs/>
                <w:color w:val="000000"/>
                <w:kern w:val="0"/>
                <w:sz w:val="22"/>
                <w:szCs w:val="22"/>
              </w:rPr>
              <w:t>4</w:t>
            </w:r>
          </w:p>
        </w:tc>
      </w:tr>
      <w:tr w14:paraId="733CF8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6" w:type="pct"/>
            <w:vMerge w:val="restart"/>
            <w:shd w:val="clear" w:color="auto" w:fill="FFFFFF"/>
            <w:vAlign w:val="center"/>
          </w:tcPr>
          <w:p w14:paraId="737D4A5B">
            <w:pPr>
              <w:spacing w:line="0" w:lineRule="atLeast"/>
              <w:jc w:val="center"/>
              <w:rPr>
                <w:color w:val="000000"/>
                <w:kern w:val="0"/>
                <w:sz w:val="22"/>
                <w:szCs w:val="22"/>
              </w:rPr>
            </w:pPr>
          </w:p>
          <w:p w14:paraId="437B7CEA">
            <w:pPr>
              <w:spacing w:line="0" w:lineRule="atLeast"/>
              <w:jc w:val="center"/>
              <w:rPr>
                <w:color w:val="000000"/>
                <w:kern w:val="0"/>
                <w:sz w:val="22"/>
                <w:szCs w:val="22"/>
              </w:rPr>
            </w:pPr>
          </w:p>
          <w:p w14:paraId="689D992A">
            <w:pPr>
              <w:spacing w:line="0" w:lineRule="atLeast"/>
              <w:jc w:val="center"/>
              <w:rPr>
                <w:color w:val="000000"/>
                <w:kern w:val="0"/>
                <w:sz w:val="22"/>
                <w:szCs w:val="22"/>
              </w:rPr>
            </w:pPr>
          </w:p>
          <w:p w14:paraId="48C352BA">
            <w:pPr>
              <w:spacing w:line="0" w:lineRule="atLeast"/>
              <w:jc w:val="center"/>
              <w:rPr>
                <w:color w:val="000000"/>
                <w:kern w:val="0"/>
                <w:sz w:val="22"/>
                <w:szCs w:val="22"/>
              </w:rPr>
            </w:pPr>
          </w:p>
          <w:p w14:paraId="07A4D6BF">
            <w:pPr>
              <w:spacing w:line="0" w:lineRule="atLeast"/>
              <w:jc w:val="center"/>
              <w:rPr>
                <w:color w:val="000000"/>
                <w:kern w:val="0"/>
                <w:sz w:val="22"/>
                <w:szCs w:val="22"/>
              </w:rPr>
            </w:pPr>
          </w:p>
          <w:p w14:paraId="04758DE0">
            <w:pPr>
              <w:spacing w:line="0" w:lineRule="atLeast"/>
              <w:jc w:val="center"/>
              <w:rPr>
                <w:color w:val="000000"/>
                <w:kern w:val="0"/>
                <w:sz w:val="22"/>
                <w:szCs w:val="22"/>
              </w:rPr>
            </w:pPr>
          </w:p>
          <w:p w14:paraId="2CE34801">
            <w:pPr>
              <w:spacing w:line="0" w:lineRule="atLeast"/>
              <w:jc w:val="center"/>
              <w:rPr>
                <w:color w:val="000000"/>
                <w:kern w:val="0"/>
                <w:sz w:val="22"/>
                <w:szCs w:val="22"/>
              </w:rPr>
            </w:pPr>
          </w:p>
          <w:p w14:paraId="19F0A124">
            <w:pPr>
              <w:spacing w:line="0" w:lineRule="atLeast"/>
              <w:jc w:val="center"/>
              <w:rPr>
                <w:color w:val="000000"/>
                <w:kern w:val="0"/>
                <w:sz w:val="22"/>
                <w:szCs w:val="22"/>
              </w:rPr>
            </w:pPr>
          </w:p>
          <w:p w14:paraId="6DFEDBE1">
            <w:pPr>
              <w:spacing w:line="0" w:lineRule="atLeast"/>
              <w:jc w:val="center"/>
              <w:rPr>
                <w:color w:val="000000"/>
                <w:kern w:val="0"/>
                <w:sz w:val="22"/>
                <w:szCs w:val="22"/>
              </w:rPr>
            </w:pPr>
          </w:p>
          <w:p w14:paraId="09BD42C2">
            <w:pPr>
              <w:spacing w:line="0" w:lineRule="atLeast"/>
              <w:jc w:val="center"/>
              <w:rPr>
                <w:color w:val="000000"/>
                <w:kern w:val="0"/>
                <w:sz w:val="22"/>
                <w:szCs w:val="22"/>
              </w:rPr>
            </w:pPr>
          </w:p>
          <w:p w14:paraId="3E052825">
            <w:pPr>
              <w:spacing w:line="0" w:lineRule="atLeast"/>
              <w:jc w:val="center"/>
              <w:rPr>
                <w:color w:val="000000"/>
                <w:kern w:val="0"/>
                <w:sz w:val="22"/>
                <w:szCs w:val="22"/>
              </w:rPr>
            </w:pPr>
          </w:p>
          <w:p w14:paraId="59ED1481">
            <w:pPr>
              <w:spacing w:line="0" w:lineRule="atLeast"/>
              <w:jc w:val="center"/>
              <w:rPr>
                <w:color w:val="000000"/>
                <w:kern w:val="0"/>
                <w:sz w:val="22"/>
                <w:szCs w:val="22"/>
              </w:rPr>
            </w:pPr>
          </w:p>
          <w:p w14:paraId="7F426C0F">
            <w:pPr>
              <w:spacing w:line="0" w:lineRule="atLeast"/>
              <w:jc w:val="center"/>
              <w:rPr>
                <w:color w:val="000000"/>
                <w:kern w:val="0"/>
                <w:sz w:val="22"/>
                <w:szCs w:val="22"/>
              </w:rPr>
            </w:pPr>
          </w:p>
          <w:p w14:paraId="25B4FF9C">
            <w:pPr>
              <w:spacing w:line="0" w:lineRule="atLeast"/>
              <w:jc w:val="center"/>
              <w:rPr>
                <w:color w:val="000000"/>
                <w:kern w:val="0"/>
                <w:sz w:val="22"/>
                <w:szCs w:val="22"/>
              </w:rPr>
            </w:pPr>
          </w:p>
          <w:p w14:paraId="02148D9E">
            <w:pPr>
              <w:spacing w:line="0" w:lineRule="atLeast"/>
              <w:jc w:val="center"/>
              <w:rPr>
                <w:color w:val="000000"/>
                <w:kern w:val="0"/>
                <w:sz w:val="22"/>
                <w:szCs w:val="22"/>
              </w:rPr>
            </w:pPr>
          </w:p>
          <w:p w14:paraId="28E3DB82">
            <w:pPr>
              <w:spacing w:line="0" w:lineRule="atLeast"/>
              <w:jc w:val="center"/>
              <w:rPr>
                <w:color w:val="000000"/>
                <w:kern w:val="0"/>
                <w:sz w:val="22"/>
                <w:szCs w:val="22"/>
              </w:rPr>
            </w:pPr>
            <w:r>
              <w:rPr>
                <w:color w:val="000000"/>
                <w:kern w:val="0"/>
                <w:sz w:val="22"/>
                <w:szCs w:val="22"/>
              </w:rPr>
              <w:t>过程</w:t>
            </w:r>
          </w:p>
          <w:p w14:paraId="797799AC">
            <w:pPr>
              <w:widowControl/>
              <w:spacing w:line="0" w:lineRule="atLeast"/>
              <w:jc w:val="center"/>
              <w:rPr>
                <w:color w:val="000000"/>
                <w:kern w:val="0"/>
                <w:sz w:val="22"/>
                <w:szCs w:val="22"/>
              </w:rPr>
            </w:pPr>
            <w:r>
              <w:rPr>
                <w:color w:val="000000"/>
                <w:kern w:val="0"/>
                <w:sz w:val="22"/>
                <w:szCs w:val="22"/>
              </w:rPr>
              <w:t>　　</w:t>
            </w:r>
          </w:p>
        </w:tc>
        <w:tc>
          <w:tcPr>
            <w:tcW w:w="301" w:type="pct"/>
            <w:vMerge w:val="restart"/>
            <w:shd w:val="clear" w:color="auto" w:fill="FFFFFF"/>
            <w:vAlign w:val="center"/>
          </w:tcPr>
          <w:p w14:paraId="3B636A1C">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7DBA4EEE">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14:paraId="58A1B3D5">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51" w:type="pct"/>
            <w:shd w:val="clear" w:color="000000" w:fill="FFFFFF"/>
            <w:vAlign w:val="center"/>
          </w:tcPr>
          <w:p w14:paraId="62D14787">
            <w:pPr>
              <w:widowControl/>
              <w:spacing w:line="0" w:lineRule="atLeast"/>
              <w:rPr>
                <w:color w:val="000000"/>
                <w:kern w:val="0"/>
                <w:sz w:val="22"/>
                <w:szCs w:val="22"/>
              </w:rPr>
            </w:pPr>
            <w:r>
              <w:rPr>
                <w:color w:val="000000"/>
                <w:kern w:val="0"/>
                <w:sz w:val="22"/>
                <w:szCs w:val="22"/>
              </w:rPr>
              <w:t>资金到位率=（实际到位资金/预算资金）×100%。</w:t>
            </w:r>
          </w:p>
          <w:p w14:paraId="0FC2FD49">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423D740C">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14:paraId="79F70603">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311ED1F7">
            <w:pPr>
              <w:widowControl/>
              <w:spacing w:line="0" w:lineRule="atLeast"/>
              <w:jc w:val="center"/>
              <w:rPr>
                <w:rFonts w:ascii="Times New Roman" w:hAnsi="Times New Roman" w:eastAsia="宋体" w:cs="Times New Roman"/>
                <w:b/>
                <w:bCs/>
                <w:color w:val="000000"/>
                <w:kern w:val="0"/>
                <w:sz w:val="22"/>
                <w:szCs w:val="22"/>
                <w:lang w:val="en-US" w:eastAsia="zh-CN" w:bidi="ar-SA"/>
              </w:rPr>
            </w:pPr>
            <w:r>
              <w:rPr>
                <w:b/>
                <w:bCs/>
                <w:color w:val="000000"/>
                <w:kern w:val="0"/>
                <w:sz w:val="22"/>
                <w:szCs w:val="22"/>
              </w:rPr>
              <w:t>4</w:t>
            </w:r>
          </w:p>
        </w:tc>
      </w:tr>
      <w:tr w14:paraId="2B56FF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6" w:type="pct"/>
            <w:vMerge w:val="continue"/>
            <w:shd w:val="clear" w:color="auto" w:fill="FFFFFF"/>
            <w:vAlign w:val="center"/>
          </w:tcPr>
          <w:p w14:paraId="11CBA69D">
            <w:pPr>
              <w:spacing w:line="0" w:lineRule="atLeast"/>
              <w:jc w:val="center"/>
              <w:rPr>
                <w:color w:val="000000"/>
                <w:kern w:val="0"/>
                <w:sz w:val="22"/>
                <w:szCs w:val="22"/>
              </w:rPr>
            </w:pPr>
          </w:p>
        </w:tc>
        <w:tc>
          <w:tcPr>
            <w:tcW w:w="301" w:type="pct"/>
            <w:vMerge w:val="continue"/>
            <w:shd w:val="clear" w:color="auto" w:fill="FFFFFF"/>
            <w:vAlign w:val="center"/>
          </w:tcPr>
          <w:p w14:paraId="14736E45">
            <w:pPr>
              <w:spacing w:line="0" w:lineRule="atLeast"/>
              <w:jc w:val="center"/>
              <w:rPr>
                <w:color w:val="000000"/>
                <w:kern w:val="0"/>
                <w:sz w:val="22"/>
                <w:szCs w:val="22"/>
              </w:rPr>
            </w:pPr>
          </w:p>
        </w:tc>
        <w:tc>
          <w:tcPr>
            <w:tcW w:w="344" w:type="pct"/>
            <w:shd w:val="clear" w:color="auto" w:fill="FFFFFF"/>
            <w:vAlign w:val="center"/>
          </w:tcPr>
          <w:p w14:paraId="223EDD71">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14:paraId="5C607383">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51" w:type="pct"/>
            <w:shd w:val="clear" w:color="auto" w:fill="FFFFFF"/>
            <w:vAlign w:val="center"/>
          </w:tcPr>
          <w:p w14:paraId="075A5112">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14:paraId="13463CC8">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0C56CA28">
            <w:pPr>
              <w:widowControl/>
              <w:spacing w:line="0" w:lineRule="atLeast"/>
              <w:jc w:val="center"/>
              <w:rPr>
                <w:rFonts w:ascii="Times New Roman" w:hAnsi="Times New Roman" w:eastAsia="宋体" w:cs="Times New Roman"/>
                <w:b/>
                <w:bCs/>
                <w:color w:val="000000"/>
                <w:kern w:val="0"/>
                <w:sz w:val="22"/>
                <w:szCs w:val="22"/>
                <w:lang w:val="en-US" w:eastAsia="zh-CN" w:bidi="ar-SA"/>
              </w:rPr>
            </w:pPr>
            <w:r>
              <w:rPr>
                <w:b/>
                <w:bCs/>
                <w:color w:val="000000"/>
                <w:kern w:val="0"/>
                <w:sz w:val="22"/>
                <w:szCs w:val="22"/>
              </w:rPr>
              <w:t>4</w:t>
            </w:r>
          </w:p>
        </w:tc>
      </w:tr>
      <w:tr w14:paraId="3793DF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6" w:type="pct"/>
            <w:vMerge w:val="continue"/>
            <w:shd w:val="clear" w:color="auto" w:fill="FFFFFF"/>
            <w:vAlign w:val="center"/>
          </w:tcPr>
          <w:p w14:paraId="66C03B26">
            <w:pPr>
              <w:spacing w:line="0" w:lineRule="atLeast"/>
              <w:jc w:val="center"/>
              <w:rPr>
                <w:color w:val="000000"/>
                <w:kern w:val="0"/>
                <w:sz w:val="22"/>
                <w:szCs w:val="22"/>
              </w:rPr>
            </w:pPr>
          </w:p>
        </w:tc>
        <w:tc>
          <w:tcPr>
            <w:tcW w:w="301" w:type="pct"/>
            <w:shd w:val="clear" w:color="auto" w:fill="FFFFFF"/>
            <w:vAlign w:val="center"/>
          </w:tcPr>
          <w:p w14:paraId="787D00E3">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5678B8B1">
            <w:pPr>
              <w:widowControl/>
              <w:spacing w:line="0" w:lineRule="atLeast"/>
              <w:jc w:val="center"/>
              <w:rPr>
                <w:color w:val="000000"/>
                <w:kern w:val="0"/>
                <w:sz w:val="22"/>
                <w:szCs w:val="22"/>
              </w:rPr>
            </w:pPr>
            <w:r>
              <w:rPr>
                <w:color w:val="000000"/>
                <w:kern w:val="0"/>
                <w:sz w:val="22"/>
                <w:szCs w:val="22"/>
              </w:rPr>
              <w:t>资金使用</w:t>
            </w:r>
          </w:p>
          <w:p w14:paraId="20BF8D33">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14:paraId="12E5F376">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51" w:type="pct"/>
            <w:shd w:val="clear" w:color="000000" w:fill="FFFFFF"/>
            <w:vAlign w:val="center"/>
          </w:tcPr>
          <w:p w14:paraId="78D9DF3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14:paraId="535E53D1">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0571D0B4">
            <w:pPr>
              <w:widowControl/>
              <w:spacing w:line="0" w:lineRule="atLeast"/>
              <w:jc w:val="center"/>
              <w:rPr>
                <w:rFonts w:ascii="Times New Roman" w:hAnsi="Times New Roman" w:eastAsia="宋体" w:cs="Times New Roman"/>
                <w:b/>
                <w:bCs/>
                <w:color w:val="000000"/>
                <w:kern w:val="0"/>
                <w:sz w:val="22"/>
                <w:szCs w:val="22"/>
                <w:lang w:val="en-US" w:eastAsia="zh-CN" w:bidi="ar-SA"/>
              </w:rPr>
            </w:pPr>
            <w:r>
              <w:rPr>
                <w:b/>
                <w:bCs/>
                <w:color w:val="000000"/>
                <w:kern w:val="0"/>
                <w:sz w:val="22"/>
                <w:szCs w:val="22"/>
              </w:rPr>
              <w:t>4</w:t>
            </w:r>
          </w:p>
        </w:tc>
      </w:tr>
      <w:tr w14:paraId="1DE135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6" w:type="pct"/>
            <w:vMerge w:val="continue"/>
            <w:shd w:val="clear" w:color="auto" w:fill="FFFFFF"/>
            <w:vAlign w:val="center"/>
          </w:tcPr>
          <w:p w14:paraId="43FDB31A">
            <w:pPr>
              <w:spacing w:line="0" w:lineRule="atLeast"/>
              <w:jc w:val="center"/>
              <w:rPr>
                <w:color w:val="000000"/>
                <w:kern w:val="0"/>
                <w:sz w:val="22"/>
                <w:szCs w:val="22"/>
              </w:rPr>
            </w:pPr>
          </w:p>
        </w:tc>
        <w:tc>
          <w:tcPr>
            <w:tcW w:w="301" w:type="pct"/>
            <w:vMerge w:val="restart"/>
            <w:shd w:val="clear" w:color="auto" w:fill="FFFFFF"/>
            <w:vAlign w:val="center"/>
          </w:tcPr>
          <w:p w14:paraId="5B95CCE2">
            <w:pPr>
              <w:widowControl/>
              <w:spacing w:line="0" w:lineRule="atLeast"/>
              <w:jc w:val="center"/>
              <w:rPr>
                <w:color w:val="000000"/>
                <w:kern w:val="0"/>
                <w:sz w:val="22"/>
                <w:szCs w:val="22"/>
              </w:rPr>
            </w:pPr>
            <w:r>
              <w:rPr>
                <w:color w:val="000000"/>
                <w:kern w:val="0"/>
                <w:sz w:val="22"/>
                <w:szCs w:val="22"/>
              </w:rPr>
              <w:t>组织实施</w:t>
            </w:r>
          </w:p>
          <w:p w14:paraId="26ED8EA4">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5E32B71B">
            <w:pPr>
              <w:widowControl/>
              <w:spacing w:line="0" w:lineRule="atLeast"/>
              <w:jc w:val="center"/>
              <w:rPr>
                <w:color w:val="000000"/>
                <w:kern w:val="0"/>
                <w:sz w:val="22"/>
                <w:szCs w:val="22"/>
              </w:rPr>
            </w:pPr>
            <w:r>
              <w:rPr>
                <w:color w:val="000000"/>
                <w:kern w:val="0"/>
                <w:sz w:val="22"/>
                <w:szCs w:val="22"/>
              </w:rPr>
              <w:t>管理制度</w:t>
            </w:r>
          </w:p>
          <w:p w14:paraId="3331D3B9">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14:paraId="122BB4BD">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51" w:type="pct"/>
            <w:shd w:val="clear" w:color="000000" w:fill="FFFFFF"/>
            <w:vAlign w:val="center"/>
          </w:tcPr>
          <w:p w14:paraId="7C4305EF">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14:paraId="0B11D1DD">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69FA2AB0">
            <w:pPr>
              <w:widowControl/>
              <w:spacing w:line="0" w:lineRule="atLeast"/>
              <w:jc w:val="center"/>
              <w:rPr>
                <w:rFonts w:ascii="Times New Roman" w:hAnsi="Times New Roman" w:eastAsia="宋体" w:cs="Times New Roman"/>
                <w:b/>
                <w:bCs/>
                <w:color w:val="000000"/>
                <w:kern w:val="0"/>
                <w:sz w:val="22"/>
                <w:szCs w:val="22"/>
                <w:lang w:val="en-US" w:eastAsia="zh-CN" w:bidi="ar-SA"/>
              </w:rPr>
            </w:pPr>
            <w:r>
              <w:rPr>
                <w:b/>
                <w:bCs/>
                <w:color w:val="000000"/>
                <w:kern w:val="0"/>
                <w:sz w:val="22"/>
                <w:szCs w:val="22"/>
              </w:rPr>
              <w:t>4</w:t>
            </w:r>
          </w:p>
        </w:tc>
      </w:tr>
      <w:tr w14:paraId="46256B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6" w:type="pct"/>
            <w:vMerge w:val="continue"/>
            <w:shd w:val="clear" w:color="auto" w:fill="FFFFFF"/>
            <w:vAlign w:val="center"/>
          </w:tcPr>
          <w:p w14:paraId="7176C483">
            <w:pPr>
              <w:widowControl/>
              <w:spacing w:line="0" w:lineRule="atLeast"/>
              <w:jc w:val="center"/>
              <w:rPr>
                <w:color w:val="000000"/>
                <w:kern w:val="0"/>
                <w:sz w:val="22"/>
                <w:szCs w:val="22"/>
              </w:rPr>
            </w:pPr>
          </w:p>
        </w:tc>
        <w:tc>
          <w:tcPr>
            <w:tcW w:w="301" w:type="pct"/>
            <w:vMerge w:val="continue"/>
            <w:shd w:val="clear" w:color="auto" w:fill="FFFFFF"/>
            <w:vAlign w:val="center"/>
          </w:tcPr>
          <w:p w14:paraId="5F1AA046">
            <w:pPr>
              <w:widowControl/>
              <w:spacing w:line="0" w:lineRule="atLeast"/>
              <w:jc w:val="center"/>
              <w:rPr>
                <w:color w:val="000000"/>
                <w:kern w:val="0"/>
                <w:sz w:val="22"/>
                <w:szCs w:val="22"/>
              </w:rPr>
            </w:pPr>
          </w:p>
        </w:tc>
        <w:tc>
          <w:tcPr>
            <w:tcW w:w="344" w:type="pct"/>
            <w:shd w:val="clear" w:color="auto" w:fill="FFFFFF"/>
            <w:vAlign w:val="center"/>
          </w:tcPr>
          <w:p w14:paraId="6DD89922">
            <w:pPr>
              <w:widowControl/>
              <w:spacing w:line="0" w:lineRule="atLeast"/>
              <w:jc w:val="center"/>
              <w:rPr>
                <w:color w:val="000000"/>
                <w:kern w:val="0"/>
                <w:sz w:val="22"/>
                <w:szCs w:val="22"/>
              </w:rPr>
            </w:pPr>
            <w:r>
              <w:rPr>
                <w:color w:val="000000"/>
                <w:kern w:val="0"/>
                <w:sz w:val="22"/>
                <w:szCs w:val="22"/>
              </w:rPr>
              <w:t>制度执行</w:t>
            </w:r>
          </w:p>
          <w:p w14:paraId="28E8208C">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14:paraId="78362E68">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51" w:type="pct"/>
            <w:shd w:val="clear" w:color="000000" w:fill="FFFFFF"/>
            <w:vAlign w:val="center"/>
          </w:tcPr>
          <w:p w14:paraId="59677EC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14:paraId="42806A5F">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41797CE1">
            <w:pPr>
              <w:widowControl/>
              <w:spacing w:line="0" w:lineRule="atLeast"/>
              <w:jc w:val="center"/>
              <w:rPr>
                <w:rFonts w:ascii="Times New Roman" w:hAnsi="Times New Roman" w:eastAsia="宋体" w:cs="Times New Roman"/>
                <w:b/>
                <w:bCs/>
                <w:color w:val="000000"/>
                <w:kern w:val="0"/>
                <w:sz w:val="22"/>
                <w:szCs w:val="22"/>
                <w:lang w:val="en-US" w:eastAsia="zh-CN" w:bidi="ar-SA"/>
              </w:rPr>
            </w:pPr>
            <w:r>
              <w:rPr>
                <w:b/>
                <w:bCs/>
                <w:color w:val="000000"/>
                <w:kern w:val="0"/>
                <w:sz w:val="22"/>
                <w:szCs w:val="22"/>
              </w:rPr>
              <w:t>4</w:t>
            </w:r>
          </w:p>
        </w:tc>
      </w:tr>
      <w:tr w14:paraId="093535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6" w:type="pct"/>
            <w:vMerge w:val="restart"/>
            <w:shd w:val="clear" w:color="auto" w:fill="FFFFFF"/>
            <w:vAlign w:val="center"/>
          </w:tcPr>
          <w:p w14:paraId="67D020EE">
            <w:pPr>
              <w:widowControl/>
              <w:spacing w:line="0" w:lineRule="atLeast"/>
              <w:jc w:val="center"/>
              <w:rPr>
                <w:color w:val="000000"/>
                <w:kern w:val="0"/>
                <w:sz w:val="22"/>
                <w:szCs w:val="22"/>
              </w:rPr>
            </w:pPr>
            <w:r>
              <w:rPr>
                <w:color w:val="000000"/>
                <w:kern w:val="0"/>
                <w:sz w:val="22"/>
                <w:szCs w:val="22"/>
              </w:rPr>
              <w:t>产出</w:t>
            </w:r>
          </w:p>
        </w:tc>
        <w:tc>
          <w:tcPr>
            <w:tcW w:w="301" w:type="pct"/>
            <w:shd w:val="clear" w:color="auto" w:fill="FFFFFF"/>
            <w:vAlign w:val="center"/>
          </w:tcPr>
          <w:p w14:paraId="162A7B6D">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064B710E">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14:paraId="50450270">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51" w:type="pct"/>
            <w:shd w:val="clear" w:color="000000" w:fill="FFFFFF"/>
            <w:vAlign w:val="center"/>
          </w:tcPr>
          <w:p w14:paraId="7A714C33">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14:paraId="5E62F8C6">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139129CE">
            <w:pPr>
              <w:widowControl/>
              <w:spacing w:line="0" w:lineRule="atLeast"/>
              <w:jc w:val="center"/>
              <w:rPr>
                <w:b/>
                <w:bCs/>
                <w:color w:val="000000"/>
                <w:kern w:val="0"/>
                <w:sz w:val="22"/>
                <w:szCs w:val="22"/>
              </w:rPr>
            </w:pPr>
            <w:r>
              <w:rPr>
                <w:b/>
                <w:bCs/>
                <w:color w:val="000000"/>
                <w:kern w:val="0"/>
                <w:sz w:val="22"/>
                <w:szCs w:val="22"/>
              </w:rPr>
              <w:t>10</w:t>
            </w:r>
          </w:p>
        </w:tc>
      </w:tr>
      <w:tr w14:paraId="0991E9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6" w:type="pct"/>
            <w:vMerge w:val="continue"/>
            <w:shd w:val="clear" w:color="auto" w:fill="FFFFFF"/>
            <w:vAlign w:val="center"/>
          </w:tcPr>
          <w:p w14:paraId="77576FFF">
            <w:pPr>
              <w:widowControl/>
              <w:spacing w:line="0" w:lineRule="atLeast"/>
              <w:jc w:val="center"/>
              <w:rPr>
                <w:color w:val="000000"/>
                <w:kern w:val="0"/>
                <w:sz w:val="22"/>
                <w:szCs w:val="22"/>
              </w:rPr>
            </w:pPr>
          </w:p>
        </w:tc>
        <w:tc>
          <w:tcPr>
            <w:tcW w:w="301" w:type="pct"/>
            <w:shd w:val="clear" w:color="auto" w:fill="FFFFFF"/>
            <w:vAlign w:val="center"/>
          </w:tcPr>
          <w:p w14:paraId="42B4DEA5">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718E2054">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14:paraId="5437D782">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51" w:type="pct"/>
            <w:shd w:val="clear" w:color="000000" w:fill="FFFFFF"/>
            <w:vAlign w:val="center"/>
          </w:tcPr>
          <w:p w14:paraId="6EE1D37B">
            <w:pPr>
              <w:widowControl/>
              <w:spacing w:line="0" w:lineRule="atLeast"/>
              <w:rPr>
                <w:color w:val="000000"/>
                <w:kern w:val="0"/>
                <w:sz w:val="22"/>
                <w:szCs w:val="22"/>
              </w:rPr>
            </w:pPr>
            <w:r>
              <w:rPr>
                <w:color w:val="000000"/>
                <w:kern w:val="0"/>
                <w:sz w:val="22"/>
                <w:szCs w:val="22"/>
              </w:rPr>
              <w:t>质量达标率=（质量达标产出数/实际产出数）×100%。</w:t>
            </w:r>
          </w:p>
          <w:p w14:paraId="4AADEE64">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164394F6">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47D7DBEB">
            <w:pPr>
              <w:widowControl/>
              <w:spacing w:line="0" w:lineRule="atLeast"/>
              <w:jc w:val="center"/>
              <w:rPr>
                <w:b/>
                <w:bCs/>
                <w:color w:val="000000"/>
                <w:kern w:val="0"/>
                <w:sz w:val="22"/>
                <w:szCs w:val="22"/>
              </w:rPr>
            </w:pPr>
            <w:r>
              <w:rPr>
                <w:b/>
                <w:bCs/>
                <w:color w:val="000000"/>
                <w:kern w:val="0"/>
                <w:sz w:val="22"/>
                <w:szCs w:val="22"/>
              </w:rPr>
              <w:t>10</w:t>
            </w:r>
          </w:p>
        </w:tc>
      </w:tr>
      <w:tr w14:paraId="1D91D8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6" w:type="pct"/>
            <w:vMerge w:val="continue"/>
            <w:shd w:val="clear" w:color="auto" w:fill="FFFFFF"/>
            <w:vAlign w:val="center"/>
          </w:tcPr>
          <w:p w14:paraId="3E852F97">
            <w:pPr>
              <w:spacing w:line="0" w:lineRule="atLeast"/>
              <w:jc w:val="center"/>
              <w:rPr>
                <w:color w:val="000000"/>
                <w:kern w:val="0"/>
                <w:sz w:val="22"/>
                <w:szCs w:val="22"/>
              </w:rPr>
            </w:pPr>
          </w:p>
        </w:tc>
        <w:tc>
          <w:tcPr>
            <w:tcW w:w="301" w:type="pct"/>
            <w:shd w:val="clear" w:color="auto" w:fill="FFFFFF"/>
            <w:vAlign w:val="center"/>
          </w:tcPr>
          <w:p w14:paraId="03F00D6E">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4E32FBA7">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14:paraId="418FFDAF">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51" w:type="pct"/>
            <w:shd w:val="clear" w:color="000000" w:fill="FFFFFF"/>
            <w:vAlign w:val="center"/>
          </w:tcPr>
          <w:p w14:paraId="08C57DB9">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14:paraId="403AEE63">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154424EE">
            <w:pPr>
              <w:widowControl/>
              <w:spacing w:line="0" w:lineRule="atLeast"/>
              <w:jc w:val="center"/>
              <w:rPr>
                <w:b/>
                <w:bCs/>
                <w:color w:val="000000"/>
                <w:kern w:val="0"/>
                <w:sz w:val="22"/>
                <w:szCs w:val="22"/>
              </w:rPr>
            </w:pPr>
            <w:r>
              <w:rPr>
                <w:b/>
                <w:bCs/>
                <w:color w:val="000000"/>
                <w:kern w:val="0"/>
                <w:sz w:val="22"/>
                <w:szCs w:val="22"/>
              </w:rPr>
              <w:t>10</w:t>
            </w:r>
          </w:p>
        </w:tc>
      </w:tr>
      <w:tr w14:paraId="1DB252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6" w:type="pct"/>
            <w:vMerge w:val="continue"/>
            <w:shd w:val="clear" w:color="auto" w:fill="FFFFFF"/>
            <w:vAlign w:val="center"/>
          </w:tcPr>
          <w:p w14:paraId="56AE210A">
            <w:pPr>
              <w:widowControl/>
              <w:spacing w:line="0" w:lineRule="atLeast"/>
              <w:jc w:val="center"/>
              <w:rPr>
                <w:color w:val="000000"/>
                <w:kern w:val="0"/>
                <w:sz w:val="22"/>
                <w:szCs w:val="22"/>
              </w:rPr>
            </w:pPr>
          </w:p>
        </w:tc>
        <w:tc>
          <w:tcPr>
            <w:tcW w:w="301" w:type="pct"/>
            <w:shd w:val="clear" w:color="auto" w:fill="FFFFFF"/>
            <w:vAlign w:val="center"/>
          </w:tcPr>
          <w:p w14:paraId="780101F7">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28BF1134">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14:paraId="72F677AA">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51" w:type="pct"/>
            <w:shd w:val="clear" w:color="000000" w:fill="FFFFFF"/>
            <w:vAlign w:val="center"/>
          </w:tcPr>
          <w:p w14:paraId="443FA43E">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14:paraId="580F7FD2">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614A3094">
            <w:pPr>
              <w:widowControl/>
              <w:spacing w:line="0" w:lineRule="atLeast"/>
              <w:jc w:val="center"/>
              <w:rPr>
                <w:b/>
                <w:bCs/>
                <w:color w:val="000000"/>
                <w:kern w:val="0"/>
                <w:sz w:val="22"/>
                <w:szCs w:val="22"/>
              </w:rPr>
            </w:pPr>
            <w:r>
              <w:rPr>
                <w:b/>
                <w:bCs/>
                <w:color w:val="000000"/>
                <w:kern w:val="0"/>
                <w:sz w:val="22"/>
                <w:szCs w:val="22"/>
              </w:rPr>
              <w:t>10</w:t>
            </w:r>
          </w:p>
        </w:tc>
      </w:tr>
      <w:tr w14:paraId="690ECB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6" w:type="pct"/>
            <w:vMerge w:val="restart"/>
            <w:shd w:val="clear" w:color="auto" w:fill="FFFFFF"/>
            <w:vAlign w:val="center"/>
          </w:tcPr>
          <w:p w14:paraId="5028A0B6">
            <w:pPr>
              <w:widowControl/>
              <w:spacing w:line="0" w:lineRule="atLeast"/>
              <w:jc w:val="center"/>
              <w:rPr>
                <w:color w:val="000000"/>
                <w:kern w:val="0"/>
                <w:sz w:val="22"/>
                <w:szCs w:val="22"/>
              </w:rPr>
            </w:pPr>
            <w:r>
              <w:rPr>
                <w:color w:val="000000"/>
                <w:kern w:val="0"/>
                <w:sz w:val="22"/>
                <w:szCs w:val="22"/>
              </w:rPr>
              <w:t>效益　</w:t>
            </w:r>
          </w:p>
        </w:tc>
        <w:tc>
          <w:tcPr>
            <w:tcW w:w="301" w:type="pct"/>
            <w:vMerge w:val="restart"/>
            <w:shd w:val="clear" w:color="auto" w:fill="FFFFFF"/>
            <w:vAlign w:val="center"/>
          </w:tcPr>
          <w:p w14:paraId="4C1D4E2A">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14:paraId="4225E77C">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14:paraId="727F719F">
            <w:pPr>
              <w:widowControl/>
              <w:spacing w:line="0" w:lineRule="atLeast"/>
              <w:jc w:val="left"/>
              <w:rPr>
                <w:color w:val="000000"/>
                <w:kern w:val="0"/>
                <w:sz w:val="22"/>
                <w:szCs w:val="22"/>
              </w:rPr>
            </w:pPr>
            <w:r>
              <w:rPr>
                <w:color w:val="000000"/>
                <w:kern w:val="0"/>
                <w:sz w:val="22"/>
                <w:szCs w:val="22"/>
              </w:rPr>
              <w:t>项目实施所产生的效益。</w:t>
            </w:r>
          </w:p>
        </w:tc>
        <w:tc>
          <w:tcPr>
            <w:tcW w:w="2051" w:type="pct"/>
            <w:shd w:val="clear" w:color="auto" w:fill="FFFFFF"/>
            <w:vAlign w:val="center"/>
          </w:tcPr>
          <w:p w14:paraId="219BCB6F">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14:paraId="40912313">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14:paraId="41A9A689">
            <w:pPr>
              <w:widowControl/>
              <w:spacing w:line="0" w:lineRule="atLeast"/>
              <w:jc w:val="center"/>
              <w:rPr>
                <w:b/>
                <w:bCs/>
                <w:color w:val="000000"/>
                <w:kern w:val="0"/>
                <w:sz w:val="22"/>
                <w:szCs w:val="22"/>
              </w:rPr>
            </w:pPr>
            <w:r>
              <w:rPr>
                <w:b/>
                <w:bCs/>
                <w:color w:val="000000"/>
                <w:kern w:val="0"/>
                <w:sz w:val="22"/>
                <w:szCs w:val="22"/>
              </w:rPr>
              <w:t>10</w:t>
            </w:r>
          </w:p>
        </w:tc>
      </w:tr>
      <w:tr w14:paraId="502C32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6" w:type="pct"/>
            <w:vMerge w:val="continue"/>
            <w:shd w:val="clear" w:color="auto" w:fill="FFFFFF"/>
            <w:vAlign w:val="center"/>
          </w:tcPr>
          <w:p w14:paraId="6AD517E2">
            <w:pPr>
              <w:widowControl/>
              <w:spacing w:line="0" w:lineRule="atLeast"/>
              <w:jc w:val="center"/>
              <w:rPr>
                <w:color w:val="000000"/>
                <w:kern w:val="0"/>
                <w:sz w:val="22"/>
                <w:szCs w:val="22"/>
              </w:rPr>
            </w:pPr>
          </w:p>
        </w:tc>
        <w:tc>
          <w:tcPr>
            <w:tcW w:w="301" w:type="pct"/>
            <w:vMerge w:val="continue"/>
            <w:shd w:val="clear" w:color="auto" w:fill="FFFFFF"/>
            <w:vAlign w:val="center"/>
          </w:tcPr>
          <w:p w14:paraId="68557032">
            <w:pPr>
              <w:widowControl/>
              <w:spacing w:line="0" w:lineRule="atLeast"/>
              <w:jc w:val="center"/>
              <w:rPr>
                <w:color w:val="000000"/>
                <w:kern w:val="0"/>
                <w:sz w:val="22"/>
                <w:szCs w:val="22"/>
              </w:rPr>
            </w:pPr>
          </w:p>
        </w:tc>
        <w:tc>
          <w:tcPr>
            <w:tcW w:w="344" w:type="pct"/>
            <w:shd w:val="clear" w:color="auto" w:fill="FFFFFF"/>
            <w:vAlign w:val="center"/>
          </w:tcPr>
          <w:p w14:paraId="6A80E8FC">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14:paraId="7F63F125">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51" w:type="pct"/>
            <w:shd w:val="clear" w:color="000000" w:fill="FFFFFF"/>
            <w:vAlign w:val="center"/>
          </w:tcPr>
          <w:p w14:paraId="79AFC31B">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14:paraId="2152E7AD">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49DA3575">
            <w:pPr>
              <w:widowControl/>
              <w:spacing w:line="0" w:lineRule="atLeast"/>
              <w:jc w:val="center"/>
              <w:rPr>
                <w:b/>
                <w:bCs/>
                <w:color w:val="000000"/>
                <w:kern w:val="0"/>
                <w:sz w:val="22"/>
                <w:szCs w:val="22"/>
              </w:rPr>
            </w:pPr>
            <w:r>
              <w:rPr>
                <w:b/>
                <w:bCs/>
                <w:color w:val="000000"/>
                <w:kern w:val="0"/>
                <w:sz w:val="22"/>
                <w:szCs w:val="22"/>
              </w:rPr>
              <w:t>10</w:t>
            </w:r>
          </w:p>
        </w:tc>
      </w:tr>
    </w:tbl>
    <w:p w14:paraId="3B4752ED"/>
    <w:sectPr>
      <w:pgSz w:w="16838" w:h="11906" w:orient="landscape"/>
      <w:pgMar w:top="1800" w:right="1440" w:bottom="1558"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审核人" w:date="2023-03-08T10:38:00Z" w:initials="">
    <w:p w14:paraId="57CF0ED4">
      <w:pPr>
        <w:pStyle w:val="4"/>
        <w:rPr>
          <w:b/>
          <w:bCs/>
          <w:color w:val="FF0000"/>
          <w:lang w:eastAsia="zh-Hans"/>
        </w:rPr>
      </w:pPr>
      <w:r>
        <w:rPr>
          <w:rFonts w:hint="eastAsia"/>
          <w:b/>
          <w:bCs/>
          <w:color w:val="FF0000"/>
          <w:lang w:eastAsia="zh-Hans"/>
        </w:rPr>
        <w:t>注意：此部分的分值产出、效益相加不得低于</w:t>
      </w:r>
      <w:r>
        <w:rPr>
          <w:b/>
          <w:bCs/>
          <w:color w:val="FF0000"/>
          <w:lang w:eastAsia="zh-Hans"/>
        </w:rPr>
        <w:t>60</w:t>
      </w:r>
      <w:r>
        <w:rPr>
          <w:rFonts w:hint="eastAsia"/>
          <w:b/>
          <w:bCs/>
          <w:color w:val="FF0000"/>
          <w:lang w:eastAsia="zh-Hans"/>
        </w:rPr>
        <w:t>分，并与表</w:t>
      </w:r>
      <w:r>
        <w:rPr>
          <w:b/>
          <w:bCs/>
          <w:color w:val="FF0000"/>
          <w:lang w:eastAsia="zh-Hans"/>
        </w:rPr>
        <w:t>1</w:t>
      </w:r>
      <w:r>
        <w:rPr>
          <w:rFonts w:hint="eastAsia"/>
          <w:b/>
          <w:bCs/>
          <w:color w:val="FF0000"/>
          <w:lang w:eastAsia="zh-Hans"/>
        </w:rPr>
        <w:t>综合评分表及附件</w:t>
      </w:r>
      <w:r>
        <w:rPr>
          <w:b/>
          <w:bCs/>
          <w:color w:val="FF0000"/>
          <w:lang w:eastAsia="zh-Hans"/>
        </w:rPr>
        <w:t>1</w:t>
      </w:r>
      <w:r>
        <w:rPr>
          <w:rFonts w:hint="eastAsia"/>
          <w:b/>
          <w:bCs/>
          <w:color w:val="FF0000"/>
          <w:lang w:eastAsia="zh-Hans"/>
        </w:rPr>
        <w:t>的分值保持一致</w:t>
      </w:r>
      <w:r>
        <w:rPr>
          <w:b/>
          <w:bCs/>
          <w:color w:val="FF0000"/>
          <w:lang w:eastAsia="zh-Hans"/>
        </w:rPr>
        <w:t>.</w:t>
      </w:r>
    </w:p>
  </w:comment>
  <w:comment w:id="1" w:author="审核人" w:date="2023-03-08T12:41:00Z" w:initials="">
    <w:p w14:paraId="5F3C4F57">
      <w:pPr>
        <w:pStyle w:val="4"/>
        <w:rPr>
          <w:b/>
          <w:bCs/>
          <w:color w:val="FF0000"/>
          <w:lang w:eastAsia="zh-Hans"/>
        </w:rPr>
      </w:pPr>
      <w:r>
        <w:rPr>
          <w:rFonts w:hint="eastAsia"/>
          <w:b/>
          <w:bCs/>
          <w:color w:val="FF0000"/>
          <w:lang w:eastAsia="zh-Hans"/>
        </w:rPr>
        <w:t>结合单位实际情况填写项目实际使用到的标准。</w:t>
      </w:r>
    </w:p>
  </w:comment>
  <w:comment w:id="2" w:author="  " w:date="2023-03-15T13:47:45Z" w:initials="">
    <w:p w14:paraId="7A68DE25">
      <w:pPr>
        <w:pStyle w:val="4"/>
      </w:pPr>
      <w:r>
        <w:rPr>
          <w:rFonts w:hint="eastAsia"/>
          <w:b/>
          <w:bCs/>
          <w:color w:val="FF0000"/>
          <w:lang w:eastAsia="zh-Hans"/>
        </w:rPr>
        <w:t>得分率</w:t>
      </w:r>
      <w:r>
        <w:rPr>
          <w:b/>
          <w:bCs/>
          <w:color w:val="FF0000"/>
          <w:lang w:eastAsia="zh-Hans"/>
        </w:rPr>
        <w:t>=</w:t>
      </w:r>
      <w:r>
        <w:rPr>
          <w:rFonts w:hint="eastAsia"/>
          <w:b/>
          <w:bCs/>
          <w:color w:val="FF0000"/>
          <w:lang w:eastAsia="zh-Hans"/>
        </w:rPr>
        <w:t>（得分</w:t>
      </w:r>
      <w:r>
        <w:rPr>
          <w:b/>
          <w:bCs/>
          <w:color w:val="FF0000"/>
          <w:lang w:eastAsia="zh-Hans"/>
        </w:rPr>
        <w:t>/</w:t>
      </w:r>
      <w:r>
        <w:rPr>
          <w:rFonts w:hint="eastAsia"/>
          <w:b/>
          <w:bCs/>
          <w:color w:val="FF0000"/>
          <w:lang w:eastAsia="zh-Hans"/>
        </w:rPr>
        <w:t>权重）</w:t>
      </w:r>
      <w:r>
        <w:rPr>
          <w:b/>
          <w:bCs/>
          <w:color w:val="FF0000"/>
          <w:lang w:eastAsia="zh-Hans"/>
        </w:rPr>
        <w:t xml:space="preserve">*100% </w:t>
      </w:r>
      <w:r>
        <w:rPr>
          <w:rFonts w:hint="eastAsia"/>
          <w:b/>
          <w:bCs/>
          <w:color w:val="FF0000"/>
          <w:lang w:eastAsia="zh-Hans"/>
        </w:rPr>
        <w:t>（与表</w:t>
      </w:r>
      <w:r>
        <w:rPr>
          <w:b/>
          <w:bCs/>
          <w:color w:val="FF0000"/>
          <w:lang w:eastAsia="zh-Hans"/>
        </w:rPr>
        <w:t xml:space="preserve">1 </w:t>
      </w:r>
      <w:r>
        <w:rPr>
          <w:rFonts w:hint="eastAsia"/>
          <w:b/>
          <w:bCs/>
          <w:color w:val="FF0000"/>
          <w:lang w:eastAsia="zh-Hans"/>
        </w:rPr>
        <w:t>综合评分表及附件</w:t>
      </w:r>
      <w:r>
        <w:rPr>
          <w:b/>
          <w:bCs/>
          <w:color w:val="FF0000"/>
          <w:lang w:eastAsia="zh-Hans"/>
        </w:rPr>
        <w:t>1</w:t>
      </w:r>
      <w:r>
        <w:rPr>
          <w:rFonts w:hint="eastAsia"/>
          <w:b/>
          <w:bCs/>
          <w:color w:val="FF0000"/>
          <w:lang w:eastAsia="zh-Hans"/>
        </w:rPr>
        <w:t>中的数据保持一致）</w:t>
      </w:r>
    </w:p>
  </w:comment>
  <w:comment w:id="3" w:author="  " w:date="2023-03-15T13:59:59Z" w:initials="">
    <w:p w14:paraId="FECE1C59">
      <w:pPr>
        <w:pStyle w:val="4"/>
        <w:rPr>
          <w:rFonts w:hint="eastAsia" w:eastAsia="宋体"/>
          <w:lang w:val="en-US" w:eastAsia="zh-CN"/>
        </w:rPr>
      </w:pPr>
      <w:r>
        <w:rPr>
          <w:rFonts w:hint="eastAsia"/>
          <w:b/>
          <w:bCs/>
          <w:color w:val="FF0000"/>
          <w:lang w:eastAsia="zh-Hans"/>
        </w:rPr>
        <w:t>根据单位实际情况，进行选择</w:t>
      </w:r>
      <w:r>
        <w:rPr>
          <w:rFonts w:hint="eastAsia"/>
          <w:b/>
          <w:bCs/>
          <w:color w:val="FF0000"/>
          <w:lang w:val="en-US" w:eastAsia="zh-CN"/>
        </w:rPr>
        <w:t>保留</w:t>
      </w:r>
    </w:p>
  </w:comment>
  <w:comment w:id="4" w:author="审核人" w:date="2023-03-08T11:48:00Z" w:initials="">
    <w:p w14:paraId="3EFF782C">
      <w:pPr>
        <w:pStyle w:val="4"/>
        <w:rPr>
          <w:b/>
          <w:bCs/>
          <w:color w:val="FF0000"/>
          <w:lang w:eastAsia="zh-Hans"/>
        </w:rPr>
      </w:pPr>
      <w:r>
        <w:rPr>
          <w:rFonts w:hint="eastAsia"/>
          <w:b/>
          <w:bCs/>
          <w:color w:val="FF0000"/>
          <w:lang w:eastAsia="zh-Hans"/>
        </w:rPr>
        <w:t>注意要点：</w:t>
      </w:r>
    </w:p>
    <w:p w14:paraId="F7F6F062">
      <w:pPr>
        <w:pStyle w:val="4"/>
        <w:numPr>
          <w:ilvl w:val="0"/>
          <w:numId w:val="1"/>
        </w:numPr>
        <w:rPr>
          <w:b/>
          <w:bCs/>
          <w:color w:val="FF0000"/>
          <w:lang w:eastAsia="zh-Hans"/>
        </w:rPr>
      </w:pPr>
      <w:r>
        <w:rPr>
          <w:rFonts w:hint="eastAsia"/>
          <w:b/>
          <w:bCs/>
          <w:color w:val="FF0000"/>
          <w:lang w:eastAsia="zh-Hans"/>
        </w:rPr>
        <w:t>此部分结合此项目自评表中的各项指标进行文字化描述。</w:t>
      </w:r>
    </w:p>
    <w:p w14:paraId="7D533200">
      <w:pPr>
        <w:pStyle w:val="4"/>
        <w:numPr>
          <w:ilvl w:val="0"/>
          <w:numId w:val="1"/>
        </w:numPr>
        <w:rPr>
          <w:b/>
          <w:bCs/>
          <w:color w:val="FF0000"/>
          <w:lang w:eastAsia="zh-Hans"/>
        </w:rPr>
      </w:pPr>
      <w:r>
        <w:rPr>
          <w:rFonts w:hint="eastAsia"/>
          <w:b/>
          <w:bCs/>
          <w:color w:val="FF0000"/>
          <w:lang w:eastAsia="zh-Hans"/>
        </w:rPr>
        <w:t>指标未完成或者超额完成20%,（含</w:t>
      </w:r>
      <w:r>
        <w:rPr>
          <w:b/>
          <w:bCs/>
          <w:color w:val="FF0000"/>
          <w:lang w:eastAsia="zh-Hans"/>
        </w:rPr>
        <w:t>20%</w:t>
      </w:r>
      <w:r>
        <w:rPr>
          <w:rFonts w:hint="eastAsia"/>
          <w:b/>
          <w:bCs/>
          <w:color w:val="FF0000"/>
          <w:lang w:eastAsia="zh-Hans"/>
        </w:rPr>
        <w:t>）需要在相应指标后写偏差原因。</w:t>
      </w:r>
    </w:p>
  </w:comment>
  <w:comment w:id="5" w:author="审核人" w:date="2023-03-08T12:07:00Z" w:initials="">
    <w:p w14:paraId="53DED54D">
      <w:pPr>
        <w:pStyle w:val="4"/>
        <w:rPr>
          <w:rFonts w:eastAsia="方正仿宋_GBK"/>
          <w:b/>
          <w:bCs/>
          <w:color w:val="FF0000"/>
          <w:lang w:eastAsia="zh-Hans"/>
        </w:rPr>
      </w:pPr>
      <w:r>
        <w:rPr>
          <w:rFonts w:hint="eastAsia"/>
          <w:b/>
          <w:bCs/>
          <w:color w:val="FF0000"/>
          <w:lang w:eastAsia="zh-Hans"/>
        </w:rPr>
        <w:t>预算执行率</w:t>
      </w:r>
      <w:r>
        <w:rPr>
          <w:b/>
          <w:bCs/>
          <w:color w:val="FF0000"/>
          <w:lang w:eastAsia="zh-Hans"/>
        </w:rPr>
        <w:t>=</w:t>
      </w:r>
      <w:r>
        <w:rPr>
          <w:rFonts w:hint="eastAsia"/>
          <w:b/>
          <w:bCs/>
          <w:color w:val="FF0000"/>
          <w:lang w:eastAsia="zh-Hans"/>
        </w:rPr>
        <w:t>（实际支出</w:t>
      </w:r>
      <w:r>
        <w:rPr>
          <w:b/>
          <w:bCs/>
          <w:color w:val="FF0000"/>
          <w:lang w:eastAsia="zh-Hans"/>
        </w:rPr>
        <w:t>/</w:t>
      </w:r>
      <w:r>
        <w:rPr>
          <w:rFonts w:hint="eastAsia"/>
          <w:b/>
          <w:bCs/>
          <w:color w:val="FF0000"/>
        </w:rPr>
        <w:t>全年预算</w:t>
      </w:r>
      <w:r>
        <w:rPr>
          <w:rFonts w:hint="eastAsia"/>
          <w:b/>
          <w:bCs/>
          <w:color w:val="FF0000"/>
          <w:lang w:eastAsia="zh-Hans"/>
        </w:rPr>
        <w:t>）</w:t>
      </w:r>
      <w:r>
        <w:rPr>
          <w:b/>
          <w:bCs/>
          <w:color w:val="FF0000"/>
          <w:lang w:eastAsia="zh-Hans"/>
        </w:rPr>
        <w:t>*100%</w:t>
      </w:r>
    </w:p>
  </w:comment>
  <w:comment w:id="6" w:author="审核人" w:date="2023-03-08T12:09:00Z" w:initials="">
    <w:p w14:paraId="D4E7DAA9">
      <w:pPr>
        <w:pStyle w:val="4"/>
      </w:pP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（自评表中：指标的完成率之和</w:t>
      </w:r>
      <w:r>
        <w:rPr>
          <w:rFonts w:hint="eastAsia"/>
          <w:b/>
          <w:bCs/>
          <w:color w:val="FF0000"/>
          <w:lang w:val="en-US" w:eastAsia="zh-CN"/>
        </w:rPr>
        <w:t xml:space="preserve"> </w:t>
      </w:r>
      <w:r>
        <w:rPr>
          <w:b/>
          <w:bCs/>
          <w:color w:val="FF0000"/>
          <w:lang w:eastAsia="zh-Hans"/>
        </w:rPr>
        <w:t>/</w:t>
      </w:r>
      <w:r>
        <w:rPr>
          <w:rFonts w:hint="eastAsia"/>
          <w:b/>
          <w:bCs/>
          <w:color w:val="FF0000"/>
          <w:lang w:val="en-US" w:eastAsia="zh-CN"/>
        </w:rPr>
        <w:t xml:space="preserve"> </w:t>
      </w:r>
      <w:r>
        <w:rPr>
          <w:rFonts w:hint="eastAsia"/>
          <w:b/>
          <w:bCs/>
          <w:color w:val="FF0000"/>
          <w:lang w:eastAsia="zh-Hans"/>
        </w:rPr>
        <w:t>指标数量）</w:t>
      </w:r>
      <w:r>
        <w:rPr>
          <w:b/>
          <w:bCs/>
          <w:color w:val="FF0000"/>
          <w:lang w:eastAsia="zh-Hans"/>
        </w:rPr>
        <w:t>*100%</w:t>
      </w:r>
    </w:p>
  </w:comment>
  <w:comment w:id="7" w:author="审核人" w:date="2023-03-08T12:09:00Z" w:initials="">
    <w:p w14:paraId="7EAFCE4B">
      <w:pPr>
        <w:pStyle w:val="4"/>
        <w:rPr>
          <w:b/>
          <w:bCs/>
          <w:color w:val="FF0000"/>
          <w:lang w:eastAsia="zh-Hans"/>
        </w:rPr>
      </w:pPr>
      <w:r>
        <w:rPr>
          <w:rFonts w:hint="eastAsia"/>
          <w:b/>
          <w:bCs/>
          <w:color w:val="FF0000"/>
          <w:lang w:eastAsia="zh-Hans"/>
        </w:rPr>
        <w:t>总体偏差率</w:t>
      </w:r>
      <w:r>
        <w:rPr>
          <w:b/>
          <w:bCs/>
          <w:color w:val="FF0000"/>
          <w:lang w:eastAsia="zh-Hans"/>
        </w:rPr>
        <w:t>=|</w:t>
      </w:r>
      <w:r>
        <w:rPr>
          <w:rFonts w:hint="eastAsia"/>
          <w:b/>
          <w:bCs/>
          <w:color w:val="FF0000"/>
          <w:lang w:eastAsia="zh-Hans"/>
        </w:rPr>
        <w:t>预算执行率</w:t>
      </w:r>
      <w:r>
        <w:rPr>
          <w:b/>
          <w:bCs/>
          <w:color w:val="FF0000"/>
          <w:lang w:eastAsia="zh-Hans"/>
        </w:rPr>
        <w:t>-</w:t>
      </w: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（结合单位项目实际情况，总体偏差率尽量控制在</w:t>
      </w:r>
      <w:r>
        <w:rPr>
          <w:b/>
          <w:bCs/>
          <w:color w:val="FF0000"/>
          <w:lang w:eastAsia="zh-Hans"/>
        </w:rPr>
        <w:t>20%</w:t>
      </w:r>
      <w:r>
        <w:rPr>
          <w:rFonts w:hint="eastAsia"/>
          <w:b/>
          <w:bCs/>
          <w:color w:val="FF0000"/>
          <w:lang w:eastAsia="zh-Hans"/>
        </w:rPr>
        <w:t>以内）</w:t>
      </w:r>
    </w:p>
  </w:comment>
  <w:comment w:id="8" w:author="审核人" w:date="2023-03-08T12:18:00Z" w:initials="">
    <w:p w14:paraId="BC7F9971">
      <w:pPr>
        <w:pStyle w:val="4"/>
        <w:rPr>
          <w:b/>
          <w:bCs/>
          <w:color w:val="FF0000"/>
          <w:lang w:eastAsia="zh-Hans"/>
        </w:rPr>
      </w:pPr>
      <w:r>
        <w:rPr>
          <w:rFonts w:hint="eastAsia"/>
          <w:b/>
          <w:bCs/>
          <w:color w:val="FF0000"/>
          <w:lang w:eastAsia="zh-Hans"/>
        </w:rPr>
        <w:t>与表</w:t>
      </w:r>
      <w:r>
        <w:rPr>
          <w:b/>
          <w:bCs/>
          <w:color w:val="FF0000"/>
          <w:lang w:eastAsia="zh-Hans"/>
        </w:rPr>
        <w:t xml:space="preserve">1 </w:t>
      </w:r>
      <w:r>
        <w:rPr>
          <w:rFonts w:hint="eastAsia"/>
          <w:b/>
          <w:bCs/>
          <w:color w:val="FF0000"/>
          <w:lang w:eastAsia="zh-Hans"/>
        </w:rPr>
        <w:t>综合评分表的数据保持一致。</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CF0ED4" w15:done="0"/>
  <w15:commentEx w15:paraId="5F3C4F57" w15:done="0"/>
  <w15:commentEx w15:paraId="7A68DE25" w15:done="0"/>
  <w15:commentEx w15:paraId="FECE1C59" w15:done="0"/>
  <w15:commentEx w15:paraId="7D533200" w15:done="0"/>
  <w15:commentEx w15:paraId="53DED54D" w15:done="0"/>
  <w15:commentEx w15:paraId="D4E7DAA9" w15:done="0"/>
  <w15:commentEx w15:paraId="7EAFCE4B" w15:done="0"/>
  <w15:commentEx w15:paraId="BC7F997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6AC5614">
        <w:pPr>
          <w:pStyle w:val="8"/>
          <w:jc w:val="center"/>
        </w:pPr>
        <w:r>
          <w:fldChar w:fldCharType="begin"/>
        </w:r>
        <w:r>
          <w:instrText xml:space="preserve">PAGE   \* MERGEFORMAT</w:instrText>
        </w:r>
        <w:r>
          <w:fldChar w:fldCharType="separate"/>
        </w:r>
        <w:r>
          <w:rPr>
            <w:lang w:val="zh-CN"/>
          </w:rPr>
          <w:t>13</w:t>
        </w:r>
        <w:r>
          <w:fldChar w:fldCharType="end"/>
        </w:r>
      </w:p>
    </w:sdtContent>
  </w:sdt>
  <w:p w14:paraId="58180DD4">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DFF5F47"/>
    <w:multiLevelType w:val="singleLevel"/>
    <w:tmpl w:val="FDFF5F47"/>
    <w:lvl w:ilvl="0" w:tentative="0">
      <w:start w:val="1"/>
      <w:numFmt w:val="decimal"/>
      <w:lvlText w:val="%1."/>
      <w:lvlJc w:val="left"/>
      <w:pPr>
        <w:tabs>
          <w:tab w:val="left" w:pos="312"/>
        </w:tabs>
      </w:pPr>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审核人">
    <w15:presenceInfo w15:providerId="None" w15:userId="审核人"/>
  </w15:person>
  <w15:person w15:author="  ">
    <w15:presenceInfo w15:providerId="WPS Office" w15:userId="3901400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FF6C4049"/>
    <w:rsid w:val="006F7242"/>
    <w:rsid w:val="007B168A"/>
    <w:rsid w:val="008B2CFE"/>
    <w:rsid w:val="00AB7A64"/>
    <w:rsid w:val="00F26FF6"/>
    <w:rsid w:val="06853540"/>
    <w:rsid w:val="07397B77"/>
    <w:rsid w:val="13471461"/>
    <w:rsid w:val="13B90F01"/>
    <w:rsid w:val="181066D2"/>
    <w:rsid w:val="1C671E73"/>
    <w:rsid w:val="2FE029D7"/>
    <w:rsid w:val="38CA40DD"/>
    <w:rsid w:val="395F2B56"/>
    <w:rsid w:val="3BECE841"/>
    <w:rsid w:val="3FF7797D"/>
    <w:rsid w:val="468E3747"/>
    <w:rsid w:val="5BFF6039"/>
    <w:rsid w:val="5D76A616"/>
    <w:rsid w:val="5D7F20B9"/>
    <w:rsid w:val="5DAC7D0E"/>
    <w:rsid w:val="5DF7CF64"/>
    <w:rsid w:val="5E7FA8E9"/>
    <w:rsid w:val="5F98B5AF"/>
    <w:rsid w:val="5FFE8511"/>
    <w:rsid w:val="5FFEACE2"/>
    <w:rsid w:val="643EE26D"/>
    <w:rsid w:val="6F5C41AC"/>
    <w:rsid w:val="6FAF6C78"/>
    <w:rsid w:val="7317C656"/>
    <w:rsid w:val="734ED73F"/>
    <w:rsid w:val="77FD8BE9"/>
    <w:rsid w:val="79A9BD3F"/>
    <w:rsid w:val="7BFFFDD0"/>
    <w:rsid w:val="7C336E5F"/>
    <w:rsid w:val="7D7A5F86"/>
    <w:rsid w:val="7F37BB4E"/>
    <w:rsid w:val="7FDB5E74"/>
    <w:rsid w:val="7FE7FBD4"/>
    <w:rsid w:val="7FEF918E"/>
    <w:rsid w:val="7FF4FB6F"/>
    <w:rsid w:val="7FF7FF27"/>
    <w:rsid w:val="7FFDF714"/>
    <w:rsid w:val="AF3FCD8C"/>
    <w:rsid w:val="B9FA2A43"/>
    <w:rsid w:val="BF7BA1E4"/>
    <w:rsid w:val="BFDF04FA"/>
    <w:rsid w:val="BFE227EF"/>
    <w:rsid w:val="CF2A1ABD"/>
    <w:rsid w:val="DA7D3CD9"/>
    <w:rsid w:val="DBDC0ADA"/>
    <w:rsid w:val="DEDE2B06"/>
    <w:rsid w:val="EB6F340D"/>
    <w:rsid w:val="EBFA31C2"/>
    <w:rsid w:val="F0BF7FEB"/>
    <w:rsid w:val="F3F4A11B"/>
    <w:rsid w:val="F6EE2F85"/>
    <w:rsid w:val="F9FD7907"/>
    <w:rsid w:val="FAEF933D"/>
    <w:rsid w:val="FB3A4A6A"/>
    <w:rsid w:val="FF6C4049"/>
    <w:rsid w:val="FF78F63F"/>
    <w:rsid w:val="FF8D2000"/>
    <w:rsid w:val="FFF59BC1"/>
    <w:rsid w:val="FFFB9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19"/>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2"/>
    <w:qFormat/>
    <w:uiPriority w:val="0"/>
    <w:rPr>
      <w:b/>
      <w:bCs/>
    </w:rPr>
  </w:style>
  <w:style w:type="paragraph" w:styleId="11">
    <w:name w:val="Body Text First Indent"/>
    <w:basedOn w:val="5"/>
    <w:qFormat/>
    <w:uiPriority w:val="0"/>
    <w:pPr>
      <w:spacing w:after="0"/>
      <w:ind w:firstLine="200" w:firstLineChars="200"/>
    </w:pPr>
  </w:style>
  <w:style w:type="paragraph" w:styleId="12">
    <w:name w:val="Body Text First Indent 2"/>
    <w:basedOn w:val="6"/>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7"/>
    <w:qFormat/>
    <w:uiPriority w:val="0"/>
    <w:rPr>
      <w:rFonts w:ascii="Times New Roman" w:hAnsi="Times New Roman" w:eastAsia="宋体" w:cs="Times New Roman"/>
      <w:kern w:val="2"/>
      <w:sz w:val="18"/>
      <w:szCs w:val="18"/>
    </w:rPr>
  </w:style>
  <w:style w:type="character" w:customStyle="1" w:styleId="20">
    <w:name w:val="页眉 字符"/>
    <w:basedOn w:val="14"/>
    <w:link w:val="9"/>
    <w:qFormat/>
    <w:uiPriority w:val="0"/>
    <w:rPr>
      <w:rFonts w:ascii="Times New Roman" w:hAnsi="Times New Roman" w:eastAsia="宋体" w:cs="Times New Roman"/>
      <w:kern w:val="2"/>
      <w:sz w:val="18"/>
      <w:szCs w:val="18"/>
    </w:rPr>
  </w:style>
  <w:style w:type="character" w:customStyle="1" w:styleId="21">
    <w:name w:val="批注文字 字符"/>
    <w:basedOn w:val="14"/>
    <w:link w:val="4"/>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8747</Words>
  <Characters>9056</Characters>
  <Lines>58</Lines>
  <Paragraphs>16</Paragraphs>
  <TotalTime>2</TotalTime>
  <ScaleCrop>false</ScaleCrop>
  <LinksUpToDate>false</LinksUpToDate>
  <CharactersWithSpaces>9086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2023-03-09T21:13:00Z</dcterms:created>
  <dc:creator>审核人</dc:creator>
  <cp:lastModifiedBy>岁月无痕</cp:lastModifiedBy>
  <dcterms:modified xsi:type="dcterms:W3CDTF">2024-08-16T04:16:00Z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DEB37354E36D40D48F20A3DAB18895C3</vt:lpwstr>
  </property>
</Properties>
</file>