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A0A51">
      <w:pPr>
        <w:spacing w:line="540" w:lineRule="exact"/>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val="en-US" w:eastAsia="zh-CN"/>
        </w:rPr>
        <w:t xml:space="preserve"> </w:t>
      </w:r>
    </w:p>
    <w:p w14:paraId="2EF76289">
      <w:pPr>
        <w:pStyle w:val="2"/>
      </w:pPr>
    </w:p>
    <w:p w14:paraId="71180A33">
      <w:pPr>
        <w:spacing w:line="540" w:lineRule="exact"/>
        <w:jc w:val="center"/>
        <w:rPr>
          <w:rFonts w:eastAsia="华文中宋"/>
          <w:b/>
          <w:kern w:val="0"/>
          <w:sz w:val="52"/>
          <w:szCs w:val="52"/>
        </w:rPr>
      </w:pPr>
    </w:p>
    <w:p w14:paraId="4B869AD1">
      <w:pPr>
        <w:spacing w:line="540" w:lineRule="exact"/>
        <w:jc w:val="center"/>
        <w:rPr>
          <w:rFonts w:eastAsia="华文中宋"/>
          <w:b/>
          <w:kern w:val="0"/>
          <w:sz w:val="52"/>
          <w:szCs w:val="52"/>
        </w:rPr>
      </w:pPr>
    </w:p>
    <w:p w14:paraId="15552FDE">
      <w:pPr>
        <w:spacing w:line="54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南疆乡村工业和信息化能力项目</w:t>
      </w:r>
    </w:p>
    <w:p w14:paraId="0CB91804">
      <w:pPr>
        <w:spacing w:line="540" w:lineRule="exact"/>
        <w:jc w:val="center"/>
        <w:rPr>
          <w:rFonts w:eastAsia="方正小标宋_GBK"/>
          <w:kern w:val="0"/>
          <w:sz w:val="48"/>
          <w:szCs w:val="48"/>
        </w:rPr>
      </w:pPr>
      <w:r>
        <w:rPr>
          <w:rFonts w:eastAsia="方正小标宋_GBK"/>
          <w:kern w:val="0"/>
          <w:sz w:val="48"/>
          <w:szCs w:val="48"/>
        </w:rPr>
        <w:t>支出绩效评价报告</w:t>
      </w:r>
    </w:p>
    <w:p w14:paraId="0038D45C">
      <w:pPr>
        <w:spacing w:line="540" w:lineRule="exact"/>
        <w:jc w:val="center"/>
        <w:rPr>
          <w:rFonts w:eastAsia="华文中宋"/>
          <w:b/>
          <w:kern w:val="0"/>
          <w:sz w:val="52"/>
          <w:szCs w:val="52"/>
        </w:rPr>
      </w:pPr>
    </w:p>
    <w:p w14:paraId="129092D8">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3D8BC536">
      <w:pPr>
        <w:spacing w:line="540" w:lineRule="exact"/>
        <w:jc w:val="center"/>
        <w:rPr>
          <w:rFonts w:eastAsia="仿宋_GB2312"/>
          <w:kern w:val="0"/>
          <w:sz w:val="30"/>
          <w:szCs w:val="30"/>
        </w:rPr>
      </w:pPr>
    </w:p>
    <w:p w14:paraId="47DD2D31">
      <w:pPr>
        <w:spacing w:line="540" w:lineRule="exact"/>
        <w:jc w:val="center"/>
        <w:rPr>
          <w:rFonts w:eastAsia="仿宋_GB2312"/>
          <w:kern w:val="0"/>
          <w:sz w:val="30"/>
          <w:szCs w:val="30"/>
        </w:rPr>
      </w:pPr>
    </w:p>
    <w:p w14:paraId="0392F88B">
      <w:pPr>
        <w:spacing w:line="540" w:lineRule="exact"/>
        <w:jc w:val="center"/>
        <w:rPr>
          <w:rFonts w:eastAsia="仿宋_GB2312"/>
          <w:kern w:val="0"/>
          <w:sz w:val="30"/>
          <w:szCs w:val="30"/>
        </w:rPr>
      </w:pPr>
    </w:p>
    <w:p w14:paraId="2FC76BDE">
      <w:pPr>
        <w:spacing w:line="540" w:lineRule="exact"/>
        <w:jc w:val="center"/>
        <w:rPr>
          <w:rFonts w:eastAsia="仿宋_GB2312"/>
          <w:kern w:val="0"/>
          <w:sz w:val="30"/>
          <w:szCs w:val="30"/>
        </w:rPr>
      </w:pPr>
    </w:p>
    <w:p w14:paraId="24384A49">
      <w:pPr>
        <w:keepNext w:val="0"/>
        <w:keepLines w:val="0"/>
        <w:pageBreakBefore w:val="0"/>
        <w:widowControl w:val="0"/>
        <w:kinsoku/>
        <w:wordWrap/>
        <w:overflowPunct/>
        <w:topLinePunct w:val="0"/>
        <w:autoSpaceDE/>
        <w:autoSpaceDN/>
        <w:bidi w:val="0"/>
        <w:adjustRightInd/>
        <w:snapToGrid/>
        <w:spacing w:line="700" w:lineRule="exact"/>
        <w:textAlignment w:val="auto"/>
        <w:rPr>
          <w:rFonts w:eastAsia="仿宋_GB2312"/>
          <w:kern w:val="0"/>
          <w:sz w:val="30"/>
          <w:szCs w:val="30"/>
        </w:rPr>
      </w:pPr>
    </w:p>
    <w:p w14:paraId="1C59B665">
      <w:pPr>
        <w:keepNext w:val="0"/>
        <w:keepLines w:val="0"/>
        <w:pageBreakBefore w:val="0"/>
        <w:widowControl w:val="0"/>
        <w:kinsoku/>
        <w:wordWrap/>
        <w:overflowPunct/>
        <w:topLinePunct w:val="0"/>
        <w:autoSpaceDE/>
        <w:autoSpaceDN/>
        <w:bidi w:val="0"/>
        <w:adjustRightInd/>
        <w:snapToGrid/>
        <w:spacing w:line="700" w:lineRule="exact"/>
        <w:ind w:firstLine="1440" w:firstLineChars="400"/>
        <w:jc w:val="left"/>
        <w:textAlignment w:val="auto"/>
        <w:rPr>
          <w:rFonts w:eastAsia="仿宋_GB2312"/>
          <w:kern w:val="0"/>
          <w:sz w:val="36"/>
          <w:szCs w:val="36"/>
        </w:rPr>
      </w:pPr>
      <w:r>
        <w:rPr>
          <w:rFonts w:eastAsia="仿宋_GB2312"/>
          <w:kern w:val="0"/>
          <w:sz w:val="36"/>
          <w:szCs w:val="36"/>
        </w:rPr>
        <w:t>项目名称：</w:t>
      </w:r>
      <w:r>
        <w:rPr>
          <w:rFonts w:hint="eastAsia" w:eastAsia="仿宋_GB2312"/>
          <w:kern w:val="0"/>
          <w:sz w:val="36"/>
          <w:szCs w:val="36"/>
          <w:lang w:eastAsia="zh-CN"/>
        </w:rPr>
        <w:t>南疆乡村工业和信息化能力项目</w:t>
      </w:r>
    </w:p>
    <w:p w14:paraId="55ECA719">
      <w:pPr>
        <w:keepNext w:val="0"/>
        <w:keepLines w:val="0"/>
        <w:pageBreakBefore w:val="0"/>
        <w:widowControl w:val="0"/>
        <w:kinsoku/>
        <w:wordWrap/>
        <w:overflowPunct/>
        <w:topLinePunct w:val="0"/>
        <w:autoSpaceDE/>
        <w:autoSpaceDN/>
        <w:bidi w:val="0"/>
        <w:adjustRightInd/>
        <w:snapToGrid/>
        <w:spacing w:line="700" w:lineRule="exact"/>
        <w:ind w:left="1436" w:leftChars="684" w:firstLine="0" w:firstLineChars="0"/>
        <w:jc w:val="left"/>
        <w:textAlignment w:val="auto"/>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自治区工业和信息化厅人事处（驻村办）</w:t>
      </w:r>
    </w:p>
    <w:p w14:paraId="452499F7">
      <w:pPr>
        <w:keepNext w:val="0"/>
        <w:keepLines w:val="0"/>
        <w:pageBreakBefore w:val="0"/>
        <w:widowControl w:val="0"/>
        <w:kinsoku/>
        <w:wordWrap/>
        <w:overflowPunct/>
        <w:topLinePunct w:val="0"/>
        <w:autoSpaceDE/>
        <w:autoSpaceDN/>
        <w:bidi w:val="0"/>
        <w:adjustRightInd/>
        <w:snapToGrid/>
        <w:spacing w:line="700" w:lineRule="exact"/>
        <w:ind w:firstLine="1440" w:firstLineChars="400"/>
        <w:jc w:val="left"/>
        <w:textAlignment w:val="auto"/>
        <w:rPr>
          <w:rFonts w:eastAsia="仿宋_GB2312"/>
          <w:kern w:val="0"/>
          <w:sz w:val="36"/>
          <w:szCs w:val="36"/>
        </w:rPr>
      </w:pPr>
      <w:r>
        <w:rPr>
          <w:rFonts w:eastAsia="仿宋_GB2312"/>
          <w:kern w:val="0"/>
          <w:sz w:val="36"/>
          <w:szCs w:val="36"/>
        </w:rPr>
        <w:t>主管部门（公章）：</w:t>
      </w:r>
      <w:r>
        <w:rPr>
          <w:rFonts w:hint="eastAsia" w:eastAsia="仿宋_GB2312"/>
          <w:kern w:val="0"/>
          <w:sz w:val="36"/>
          <w:szCs w:val="36"/>
          <w:lang w:eastAsia="zh-CN"/>
        </w:rPr>
        <w:t>自治区工业和信息化厅</w:t>
      </w:r>
    </w:p>
    <w:p w14:paraId="50474191">
      <w:pPr>
        <w:keepNext w:val="0"/>
        <w:keepLines w:val="0"/>
        <w:pageBreakBefore w:val="0"/>
        <w:widowControl w:val="0"/>
        <w:kinsoku/>
        <w:wordWrap/>
        <w:overflowPunct/>
        <w:topLinePunct w:val="0"/>
        <w:autoSpaceDE/>
        <w:autoSpaceDN/>
        <w:bidi w:val="0"/>
        <w:adjustRightInd/>
        <w:snapToGrid/>
        <w:spacing w:line="700" w:lineRule="exact"/>
        <w:ind w:firstLine="1440" w:firstLineChars="400"/>
        <w:jc w:val="left"/>
        <w:textAlignment w:val="auto"/>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董永军</w:t>
      </w:r>
    </w:p>
    <w:p w14:paraId="1159099A">
      <w:pPr>
        <w:keepNext w:val="0"/>
        <w:keepLines w:val="0"/>
        <w:pageBreakBefore w:val="0"/>
        <w:widowControl w:val="0"/>
        <w:kinsoku/>
        <w:wordWrap/>
        <w:overflowPunct/>
        <w:topLinePunct w:val="0"/>
        <w:autoSpaceDE/>
        <w:autoSpaceDN/>
        <w:bidi w:val="0"/>
        <w:adjustRightInd/>
        <w:snapToGrid/>
        <w:spacing w:line="700" w:lineRule="exact"/>
        <w:ind w:firstLine="1440" w:firstLineChars="400"/>
        <w:jc w:val="left"/>
        <w:textAlignment w:val="auto"/>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13</w:t>
      </w:r>
      <w:r>
        <w:rPr>
          <w:rFonts w:eastAsia="仿宋_GB2312"/>
          <w:kern w:val="0"/>
          <w:sz w:val="36"/>
          <w:szCs w:val="36"/>
        </w:rPr>
        <w:t>日</w:t>
      </w:r>
    </w:p>
    <w:p w14:paraId="3BABF43C">
      <w:pPr>
        <w:spacing w:line="540" w:lineRule="exact"/>
        <w:jc w:val="center"/>
        <w:rPr>
          <w:rFonts w:eastAsia="仿宋_GB2312"/>
          <w:kern w:val="0"/>
          <w:sz w:val="30"/>
          <w:szCs w:val="30"/>
        </w:rPr>
      </w:pPr>
    </w:p>
    <w:p w14:paraId="3399516A">
      <w:pPr>
        <w:spacing w:line="540" w:lineRule="exact"/>
        <w:rPr>
          <w:rStyle w:val="22"/>
          <w:rFonts w:eastAsia="黑体"/>
          <w:b w:val="0"/>
          <w:spacing w:val="-4"/>
          <w:sz w:val="32"/>
          <w:szCs w:val="32"/>
        </w:rPr>
      </w:pPr>
    </w:p>
    <w:p w14:paraId="68204147">
      <w:pPr>
        <w:spacing w:line="540" w:lineRule="exact"/>
        <w:ind w:firstLine="640"/>
        <w:rPr>
          <w:rStyle w:val="22"/>
          <w:rFonts w:eastAsia="黑体"/>
          <w:b w:val="0"/>
          <w:spacing w:val="-4"/>
          <w:sz w:val="32"/>
          <w:szCs w:val="32"/>
        </w:rPr>
      </w:pPr>
    </w:p>
    <w:p w14:paraId="664779AB">
      <w:pPr>
        <w:spacing w:line="600" w:lineRule="exact"/>
        <w:rPr>
          <w:rFonts w:eastAsia="黑体"/>
          <w:bCs/>
          <w:sz w:val="32"/>
          <w:szCs w:val="32"/>
        </w:rPr>
      </w:pPr>
    </w:p>
    <w:p w14:paraId="26C4911F">
      <w:pPr>
        <w:pageBreakBefore w:val="0"/>
        <w:kinsoku/>
        <w:wordWrap/>
        <w:overflowPunct/>
        <w:topLinePunct w:val="0"/>
        <w:autoSpaceDE/>
        <w:autoSpaceDN/>
        <w:bidi w:val="0"/>
        <w:adjustRightInd/>
        <w:snapToGrid/>
        <w:spacing w:line="540" w:lineRule="exact"/>
        <w:textAlignment w:val="auto"/>
        <w:rPr>
          <w:rFonts w:eastAsia="黑体"/>
          <w:bCs/>
          <w:sz w:val="32"/>
          <w:szCs w:val="32"/>
        </w:rPr>
      </w:pPr>
      <w:r>
        <w:rPr>
          <w:rFonts w:eastAsia="黑体"/>
          <w:bCs/>
          <w:sz w:val="32"/>
          <w:szCs w:val="32"/>
        </w:rPr>
        <w:t>一、基本情况</w:t>
      </w:r>
    </w:p>
    <w:p w14:paraId="2CE2F4B0">
      <w:pPr>
        <w:pageBreakBefore w:val="0"/>
        <w:kinsoku/>
        <w:wordWrap/>
        <w:overflowPunct/>
        <w:topLinePunct w:val="0"/>
        <w:autoSpaceDE/>
        <w:autoSpaceDN/>
        <w:bidi w:val="0"/>
        <w:adjustRightInd/>
        <w:snapToGrid/>
        <w:spacing w:line="540" w:lineRule="exact"/>
        <w:ind w:firstLine="641"/>
        <w:textAlignment w:val="auto"/>
        <w:rPr>
          <w:rFonts w:eastAsia="楷体_GB2312"/>
          <w:b/>
          <w:bCs/>
          <w:sz w:val="32"/>
          <w:szCs w:val="32"/>
        </w:rPr>
      </w:pPr>
      <w:r>
        <w:rPr>
          <w:rFonts w:eastAsia="楷体_GB2312"/>
          <w:b/>
          <w:bCs/>
          <w:sz w:val="32"/>
          <w:szCs w:val="32"/>
        </w:rPr>
        <w:t>（一）项目概况</w:t>
      </w:r>
    </w:p>
    <w:p w14:paraId="0A8C1A6C">
      <w:pPr>
        <w:pageBreakBefore w:val="0"/>
        <w:kinsoku/>
        <w:wordWrap/>
        <w:overflowPunct/>
        <w:topLinePunct w:val="0"/>
        <w:autoSpaceDE/>
        <w:autoSpaceDN/>
        <w:bidi w:val="0"/>
        <w:adjustRightInd/>
        <w:snapToGrid/>
        <w:spacing w:line="540" w:lineRule="exact"/>
        <w:ind w:firstLine="641"/>
        <w:textAlignment w:val="auto"/>
        <w:rPr>
          <w:rFonts w:eastAsia="仿宋_GB2312"/>
          <w:b/>
          <w:bCs/>
          <w:sz w:val="32"/>
          <w:szCs w:val="32"/>
        </w:rPr>
      </w:pPr>
      <w:r>
        <w:rPr>
          <w:rFonts w:eastAsia="仿宋_GB2312"/>
          <w:b/>
          <w:bCs/>
          <w:sz w:val="32"/>
          <w:szCs w:val="32"/>
        </w:rPr>
        <w:t>1、项目背景</w:t>
      </w:r>
    </w:p>
    <w:p w14:paraId="39AD511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为深入贯彻落实习近平总书记视察新疆重要讲话重要指示精神，深入贯彻落实习近平总书记听取自治区和兵团工作汇报时的重要讲话精神，贯彻落实习近平总书记关于推进新型工</w:t>
      </w:r>
      <w:r>
        <w:rPr>
          <w:rFonts w:hint="eastAsia" w:eastAsia="仿宋_GB2312"/>
          <w:sz w:val="32"/>
          <w:szCs w:val="32"/>
          <w:lang w:val="en-US" w:eastAsia="zh-CN"/>
        </w:rPr>
        <w:t>业化的重要指示精神和全国新型工业化推进大会精神，贯彻落实自治区党委、人民政府“访惠聚”驻村工</w:t>
      </w:r>
      <w:r>
        <w:rPr>
          <w:rFonts w:hint="eastAsia" w:ascii="仿宋_GB2312" w:hAnsi="仿宋_GB2312" w:eastAsia="仿宋_GB2312" w:cs="仿宋_GB2312"/>
          <w:sz w:val="32"/>
          <w:szCs w:val="32"/>
          <w:lang w:val="en-US" w:eastAsia="zh-CN"/>
        </w:rPr>
        <w:t>作部署，持续推进喀什地区麦盖提县、莎车县乡村信息化建设，设立南疆乡村工业和信息化能力项目。</w:t>
      </w:r>
    </w:p>
    <w:p w14:paraId="74FAC859">
      <w:pPr>
        <w:pStyle w:val="17"/>
        <w:pageBreakBefore w:val="0"/>
        <w:numPr>
          <w:ilvl w:val="0"/>
          <w:numId w:val="1"/>
        </w:numPr>
        <w:kinsoku/>
        <w:wordWrap/>
        <w:overflowPunct/>
        <w:topLinePunct w:val="0"/>
        <w:autoSpaceDE/>
        <w:autoSpaceDN/>
        <w:bidi w:val="0"/>
        <w:adjustRightInd/>
        <w:snapToGrid/>
        <w:spacing w:before="0" w:after="0" w:line="540" w:lineRule="exact"/>
        <w:ind w:firstLine="643" w:firstLineChars="200"/>
        <w:jc w:val="both"/>
        <w:textAlignment w:val="auto"/>
        <w:rPr>
          <w:rFonts w:ascii="Times New Roman" w:hAnsi="Times New Roman" w:eastAsia="仿宋_GB2312"/>
          <w:kern w:val="2"/>
        </w:rPr>
      </w:pPr>
      <w:r>
        <w:rPr>
          <w:rFonts w:ascii="Times New Roman" w:hAnsi="Times New Roman" w:eastAsia="仿宋_GB2312"/>
          <w:kern w:val="2"/>
        </w:rPr>
        <w:t>项目主要内容：</w:t>
      </w:r>
    </w:p>
    <w:p w14:paraId="4CA1D52A">
      <w:pPr>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sz w:val="32"/>
          <w:szCs w:val="32"/>
        </w:rPr>
      </w:pPr>
      <w:r>
        <w:rPr>
          <w:rFonts w:hint="eastAsia" w:eastAsia="仿宋_GB2312"/>
          <w:sz w:val="32"/>
          <w:szCs w:val="32"/>
        </w:rPr>
        <w:t>全面做好派驻地（喀什地区麦盖提县、莎车县）乡村信息化建设，稳定提升乡村信息化能力，进一步发挥好单位后盾作用，全年保障113人，完成4次资金发放，确保新疆社会全面稳定、长期稳定。</w:t>
      </w:r>
    </w:p>
    <w:p w14:paraId="7163B4D5">
      <w:pPr>
        <w:pageBreakBefore w:val="0"/>
        <w:kinsoku/>
        <w:wordWrap/>
        <w:overflowPunct/>
        <w:topLinePunct w:val="0"/>
        <w:autoSpaceDE/>
        <w:autoSpaceDN/>
        <w:bidi w:val="0"/>
        <w:adjustRightInd/>
        <w:snapToGrid/>
        <w:spacing w:line="540" w:lineRule="exact"/>
        <w:ind w:firstLine="640" w:firstLineChars="200"/>
        <w:textAlignment w:val="auto"/>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7EEDE1FD">
      <w:pPr>
        <w:pageBreakBefore w:val="0"/>
        <w:kinsoku/>
        <w:wordWrap/>
        <w:overflowPunct/>
        <w:topLinePunct w:val="0"/>
        <w:autoSpaceDE/>
        <w:autoSpaceDN/>
        <w:bidi w:val="0"/>
        <w:adjustRightInd/>
        <w:snapToGrid/>
        <w:spacing w:line="540" w:lineRule="exact"/>
        <w:ind w:firstLine="643" w:firstLineChars="200"/>
        <w:textAlignment w:val="auto"/>
        <w:rPr>
          <w:rFonts w:eastAsia="仿宋_GB2312"/>
          <w:b/>
          <w:bCs/>
          <w:sz w:val="32"/>
          <w:szCs w:val="32"/>
        </w:rPr>
      </w:pPr>
      <w:r>
        <w:rPr>
          <w:rFonts w:eastAsia="仿宋_GB2312"/>
          <w:b/>
          <w:bCs/>
          <w:sz w:val="32"/>
          <w:szCs w:val="32"/>
        </w:rPr>
        <w:t>3、资金投入和使用情况</w:t>
      </w:r>
    </w:p>
    <w:p w14:paraId="2B494C19">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20"/>
          <w:szCs w:val="20"/>
        </w:rPr>
      </w:pPr>
      <w:r>
        <w:rPr>
          <w:rFonts w:eastAsia="仿宋_GB2312"/>
          <w:sz w:val="32"/>
          <w:szCs w:val="32"/>
        </w:rPr>
        <w:t>（1）资金安排</w:t>
      </w:r>
    </w:p>
    <w:p w14:paraId="10418185">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本项目总投资</w:t>
      </w:r>
      <w:r>
        <w:rPr>
          <w:rFonts w:hint="eastAsia" w:eastAsia="仿宋_GB2312"/>
          <w:sz w:val="32"/>
          <w:szCs w:val="32"/>
          <w:lang w:val="en-US" w:eastAsia="zh-CN"/>
        </w:rPr>
        <w:t>58.14</w:t>
      </w:r>
      <w:r>
        <w:rPr>
          <w:rFonts w:eastAsia="仿宋_GB2312"/>
          <w:sz w:val="32"/>
          <w:szCs w:val="32"/>
        </w:rPr>
        <w:t>万元，其中：财政本级资金</w:t>
      </w:r>
      <w:r>
        <w:rPr>
          <w:rFonts w:hint="eastAsia" w:eastAsia="仿宋_GB2312"/>
          <w:sz w:val="32"/>
          <w:szCs w:val="32"/>
          <w:lang w:val="en-US" w:eastAsia="zh-CN"/>
        </w:rPr>
        <w:t>0</w:t>
      </w:r>
      <w:r>
        <w:rPr>
          <w:rFonts w:eastAsia="仿宋_GB2312"/>
          <w:sz w:val="32"/>
          <w:szCs w:val="32"/>
        </w:rPr>
        <w:t>万元。</w:t>
      </w:r>
      <w:r>
        <w:rPr>
          <w:rFonts w:hint="eastAsia" w:eastAsia="仿宋_GB2312"/>
          <w:sz w:val="32"/>
          <w:szCs w:val="32"/>
          <w:lang w:eastAsia="zh-CN"/>
        </w:rPr>
        <w:t>其他资金</w:t>
      </w:r>
      <w:r>
        <w:rPr>
          <w:rFonts w:hint="eastAsia" w:eastAsia="仿宋_GB2312"/>
          <w:sz w:val="32"/>
          <w:szCs w:val="32"/>
          <w:lang w:val="en-US" w:eastAsia="zh-CN"/>
        </w:rPr>
        <w:t>58.14万元，</w:t>
      </w:r>
      <w:r>
        <w:rPr>
          <w:rFonts w:eastAsia="仿宋_GB2312"/>
          <w:sz w:val="32"/>
          <w:szCs w:val="32"/>
        </w:rPr>
        <w:t>项目实际支出</w:t>
      </w:r>
      <w:r>
        <w:rPr>
          <w:rFonts w:hint="eastAsia" w:eastAsia="仿宋_GB2312"/>
          <w:sz w:val="32"/>
          <w:szCs w:val="32"/>
          <w:lang w:val="en-US" w:eastAsia="zh-CN"/>
        </w:rPr>
        <w:t>58.14</w:t>
      </w:r>
      <w:r>
        <w:rPr>
          <w:rFonts w:eastAsia="仿宋_GB2312"/>
          <w:sz w:val="32"/>
          <w:szCs w:val="32"/>
        </w:rPr>
        <w:t>万元，支出率为100%。</w:t>
      </w:r>
    </w:p>
    <w:p w14:paraId="15D8ED7A">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（2）预算资金来源及使用情况</w:t>
      </w:r>
      <w:bookmarkStart w:id="0" w:name="page10"/>
      <w:bookmarkEnd w:id="0"/>
    </w:p>
    <w:p w14:paraId="0D2ABFBD">
      <w:pPr>
        <w:pageBreakBefore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eastAsia="仿宋_GB2312"/>
          <w:b w:val="0"/>
          <w:bCs w:val="0"/>
          <w:kern w:val="2"/>
        </w:rPr>
      </w:pPr>
      <w:r>
        <w:rPr>
          <w:rFonts w:eastAsia="仿宋_GB2312"/>
          <w:sz w:val="32"/>
          <w:szCs w:val="32"/>
        </w:rPr>
        <w:t>项目预算资金来源于</w:t>
      </w:r>
      <w:r>
        <w:rPr>
          <w:rFonts w:hint="eastAsia" w:eastAsia="仿宋_GB2312"/>
          <w:sz w:val="32"/>
          <w:szCs w:val="32"/>
          <w:lang w:eastAsia="zh-CN"/>
        </w:rPr>
        <w:t>自治区财政厅下达</w:t>
      </w:r>
      <w:r>
        <w:rPr>
          <w:rFonts w:hint="eastAsia" w:eastAsia="仿宋_GB2312"/>
          <w:sz w:val="32"/>
          <w:szCs w:val="32"/>
          <w:lang w:val="en-US" w:eastAsia="zh-CN"/>
        </w:rPr>
        <w:t>2023年部门预算中单位其他资金收入安排的项目支出“南疆乡村工业和信息化能力项目58.14万元”，均为政府采购</w:t>
      </w:r>
      <w:r>
        <w:rPr>
          <w:rFonts w:hint="eastAsia" w:eastAsia="仿宋_GB2312"/>
          <w:sz w:val="32"/>
          <w:szCs w:val="32"/>
          <w:lang w:eastAsia="zh-CN"/>
        </w:rPr>
        <w:t>预算，部门经济分类科目为委托业务费。</w:t>
      </w:r>
      <w:r>
        <w:rPr>
          <w:rFonts w:eastAsia="仿宋_GB2312"/>
          <w:sz w:val="32"/>
          <w:szCs w:val="32"/>
        </w:rPr>
        <w:t>按照单位财务制度等相关规定，做到了专款专用。在项目资金拨付和使用过程中，为确保项目资金的安全性，提高项目资金使用效率，严格遵循</w:t>
      </w:r>
      <w:r>
        <w:rPr>
          <w:rFonts w:hint="eastAsia" w:eastAsia="仿宋_GB2312"/>
          <w:sz w:val="32"/>
          <w:szCs w:val="32"/>
          <w:lang w:eastAsia="zh-CN"/>
        </w:rPr>
        <w:t>南疆乡村工业和信息化能力项目</w:t>
      </w:r>
      <w:r>
        <w:rPr>
          <w:rFonts w:eastAsia="仿宋_GB2312"/>
          <w:sz w:val="32"/>
          <w:szCs w:val="32"/>
        </w:rPr>
        <w:t>资金的拨付程序，认真审核项目实施各阶段的相关材料和手续，根据项目实施进展情况拨付资金。</w:t>
      </w:r>
    </w:p>
    <w:p w14:paraId="32E75C51">
      <w:pPr>
        <w:pageBreakBefore w:val="0"/>
        <w:kinsoku/>
        <w:wordWrap/>
        <w:overflowPunct/>
        <w:topLinePunct w:val="0"/>
        <w:autoSpaceDE/>
        <w:autoSpaceDN/>
        <w:bidi w:val="0"/>
        <w:adjustRightInd/>
        <w:snapToGrid/>
        <w:spacing w:line="540" w:lineRule="exact"/>
        <w:ind w:firstLine="643" w:firstLineChars="200"/>
        <w:textAlignment w:val="auto"/>
        <w:rPr>
          <w:rFonts w:eastAsia="楷体_GB2312"/>
          <w:b/>
          <w:bCs/>
          <w:sz w:val="32"/>
          <w:szCs w:val="32"/>
        </w:rPr>
      </w:pPr>
      <w:r>
        <w:rPr>
          <w:rFonts w:eastAsia="楷体_GB2312"/>
          <w:b/>
          <w:bCs/>
          <w:sz w:val="32"/>
          <w:szCs w:val="32"/>
        </w:rPr>
        <w:t>（二）项目绩效目标</w:t>
      </w:r>
    </w:p>
    <w:p w14:paraId="594AE9F8">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1、总体目标</w:t>
      </w:r>
    </w:p>
    <w:p w14:paraId="58362E7F">
      <w:pPr>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sz w:val="32"/>
          <w:szCs w:val="32"/>
          <w:lang w:eastAsia="zh-CN"/>
        </w:rPr>
      </w:pPr>
      <w:r>
        <w:rPr>
          <w:rFonts w:hint="eastAsia" w:eastAsia="仿宋_GB2312"/>
          <w:sz w:val="32"/>
          <w:szCs w:val="32"/>
          <w:lang w:eastAsia="zh-CN"/>
        </w:rPr>
        <w:t>严格按照自治区党委、自治区驻村办公室有关文件和会议精神，认真落实自治区工业和信息化厅党组有关驻村工作的指示要求，充分发挥单位后盾作用，全面提升驻村派驻地喀什地区麦盖提县、莎车县乡村信息化建设工作效能，确保新疆社会全面稳定、长期稳定。</w:t>
      </w:r>
    </w:p>
    <w:p w14:paraId="154BA95C">
      <w:pPr>
        <w:pageBreakBefore w:val="0"/>
        <w:kinsoku/>
        <w:wordWrap/>
        <w:overflowPunct/>
        <w:topLinePunct w:val="0"/>
        <w:autoSpaceDE/>
        <w:autoSpaceDN/>
        <w:bidi w:val="0"/>
        <w:adjustRightInd/>
        <w:snapToGrid/>
        <w:spacing w:line="540" w:lineRule="exact"/>
        <w:ind w:firstLine="640" w:firstLineChars="200"/>
        <w:textAlignment w:val="auto"/>
      </w:pPr>
      <w:r>
        <w:rPr>
          <w:rFonts w:eastAsia="仿宋_GB2312"/>
          <w:sz w:val="32"/>
          <w:szCs w:val="32"/>
        </w:rPr>
        <w:t>2、阶段性目标</w:t>
      </w:r>
    </w:p>
    <w:p w14:paraId="20348723">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（1）前期准备：通过制定项目实施方案，经项目负责人审核通过后，有序开展后续工作。</w:t>
      </w:r>
    </w:p>
    <w:p w14:paraId="1277314A">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14:paraId="10C205E7">
      <w:pPr>
        <w:pageBreakBefore w:val="0"/>
        <w:kinsoku/>
        <w:wordWrap/>
        <w:overflowPunct/>
        <w:topLinePunct w:val="0"/>
        <w:autoSpaceDE/>
        <w:autoSpaceDN/>
        <w:bidi w:val="0"/>
        <w:adjustRightInd/>
        <w:snapToGrid/>
        <w:spacing w:line="540" w:lineRule="exact"/>
        <w:ind w:firstLine="640" w:firstLineChars="200"/>
        <w:textAlignment w:val="auto"/>
        <w:rPr>
          <w:rFonts w:eastAsia="黑体"/>
          <w:sz w:val="32"/>
          <w:szCs w:val="32"/>
        </w:rPr>
      </w:pPr>
      <w:r>
        <w:rPr>
          <w:rFonts w:eastAsia="黑体"/>
          <w:sz w:val="32"/>
          <w:szCs w:val="32"/>
        </w:rPr>
        <w:t>二、绩效评价工作开展情况</w:t>
      </w:r>
    </w:p>
    <w:p w14:paraId="2367421B">
      <w:pPr>
        <w:pageBreakBefore w:val="0"/>
        <w:kinsoku/>
        <w:wordWrap/>
        <w:overflowPunct/>
        <w:topLinePunct w:val="0"/>
        <w:autoSpaceDE/>
        <w:autoSpaceDN/>
        <w:bidi w:val="0"/>
        <w:adjustRightInd/>
        <w:snapToGrid/>
        <w:spacing w:line="54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14:paraId="6C49341A">
      <w:pPr>
        <w:pStyle w:val="17"/>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4396C2FA">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ECFBEA2">
      <w:pPr>
        <w:pageBreakBefore w:val="0"/>
        <w:numPr>
          <w:ilvl w:val="0"/>
          <w:numId w:val="2"/>
        </w:numPr>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2493E27C">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（2）项目绩效管理财政支出运行提供及时、有效的信息。</w:t>
      </w:r>
    </w:p>
    <w:p w14:paraId="5986EDD7">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14:paraId="3072157E">
      <w:pPr>
        <w:pStyle w:val="17"/>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04D12492">
      <w:pPr>
        <w:pStyle w:val="17"/>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hint="eastAsia" w:ascii="Times New Roman" w:hAnsi="Times New Roman" w:eastAsia="仿宋_GB2312"/>
          <w:b w:val="0"/>
          <w:bCs w:val="0"/>
        </w:rPr>
      </w:pPr>
      <w:r>
        <w:rPr>
          <w:rFonts w:hint="eastAsia" w:ascii="Times New Roman" w:hAnsi="Times New Roman" w:eastAsia="仿宋_GB2312"/>
          <w:b w:val="0"/>
          <w:bCs w:val="0"/>
        </w:rPr>
        <w:t>自治区工业和信息化厅人事处（驻村办）</w:t>
      </w:r>
    </w:p>
    <w:p w14:paraId="3AC2F5CC">
      <w:pPr>
        <w:pStyle w:val="17"/>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2EFCFD74">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hint="eastAsia" w:eastAsia="仿宋_GB2312"/>
          <w:sz w:val="32"/>
          <w:szCs w:val="32"/>
          <w:lang w:eastAsia="zh-CN"/>
        </w:rPr>
        <w:t>推进南疆乡村工业和信息化能力项目经费的使用及绩效情况。</w:t>
      </w:r>
    </w:p>
    <w:p w14:paraId="6FCAEF19">
      <w:pPr>
        <w:pageBreakBefore w:val="0"/>
        <w:kinsoku/>
        <w:wordWrap/>
        <w:overflowPunct/>
        <w:topLinePunct w:val="0"/>
        <w:autoSpaceDE/>
        <w:autoSpaceDN/>
        <w:bidi w:val="0"/>
        <w:adjustRightInd/>
        <w:snapToGrid/>
        <w:spacing w:line="540" w:lineRule="exact"/>
        <w:ind w:firstLine="643" w:firstLineChars="200"/>
        <w:textAlignment w:val="auto"/>
      </w:pPr>
      <w:r>
        <w:rPr>
          <w:rFonts w:eastAsia="楷体_GB2312"/>
          <w:b/>
          <w:bCs/>
          <w:sz w:val="32"/>
          <w:szCs w:val="32"/>
        </w:rPr>
        <w:t>（二）绩效评价原则、评价指标体系、评价方法、评价标准。</w:t>
      </w:r>
    </w:p>
    <w:p w14:paraId="5FB89FCB">
      <w:pPr>
        <w:pStyle w:val="17"/>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1、绩效评价原则</w:t>
      </w:r>
    </w:p>
    <w:p w14:paraId="69C3BD2E">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color w:val="000000"/>
          <w:sz w:val="32"/>
          <w:szCs w:val="32"/>
        </w:rPr>
      </w:pPr>
      <w:r>
        <w:rPr>
          <w:rFonts w:eastAsia="仿宋_GB2312"/>
          <w:color w:val="000000"/>
          <w:sz w:val="32"/>
          <w:szCs w:val="32"/>
        </w:rPr>
        <w:t>本次项目绩效评价遵循以下基本原则：</w:t>
      </w:r>
    </w:p>
    <w:p w14:paraId="1710A85A">
      <w:pPr>
        <w:pStyle w:val="17"/>
        <w:pageBreakBefore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2EBB69FF">
      <w:pPr>
        <w:pStyle w:val="17"/>
        <w:pageBreakBefore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148EE628">
      <w:pPr>
        <w:pStyle w:val="17"/>
        <w:pageBreakBefore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4F947A3C">
      <w:pPr>
        <w:pStyle w:val="17"/>
        <w:pageBreakBefore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1B0C84FD">
      <w:pPr>
        <w:pStyle w:val="17"/>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2、评价指标体系</w:t>
      </w:r>
    </w:p>
    <w:p w14:paraId="64C05ADD">
      <w:pPr>
        <w:pageBreakBefore w:val="0"/>
        <w:kinsoku/>
        <w:wordWrap/>
        <w:overflowPunct/>
        <w:topLinePunct w:val="0"/>
        <w:autoSpaceDE/>
        <w:autoSpaceDN/>
        <w:bidi w:val="0"/>
        <w:adjustRightInd/>
        <w:snapToGrid/>
        <w:spacing w:line="540" w:lineRule="exact"/>
        <w:ind w:firstLine="708" w:firstLineChars="200"/>
        <w:textAlignment w:val="auto"/>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6BCA7128">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（1）确定评价指标</w:t>
      </w:r>
    </w:p>
    <w:p w14:paraId="2E1B60EB">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2B6226B">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（2）确定权重</w:t>
      </w:r>
    </w:p>
    <w:p w14:paraId="25A4CD3A">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14:paraId="6337D745">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（3）确定指标标准值</w:t>
      </w:r>
    </w:p>
    <w:p w14:paraId="5E067645">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117392A">
      <w:pPr>
        <w:pStyle w:val="17"/>
        <w:pageBreakBefore w:val="0"/>
        <w:kinsoku/>
        <w:wordWrap/>
        <w:overflowPunct/>
        <w:topLinePunct w:val="0"/>
        <w:autoSpaceDE/>
        <w:autoSpaceDN/>
        <w:bidi w:val="0"/>
        <w:adjustRightInd/>
        <w:snapToGrid/>
        <w:spacing w:before="0" w:after="0" w:line="540" w:lineRule="exact"/>
        <w:ind w:firstLine="708" w:firstLineChars="200"/>
        <w:jc w:val="both"/>
        <w:textAlignment w:val="auto"/>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60DEBCD">
      <w:pPr>
        <w:pStyle w:val="17"/>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3、绩效评价方法</w:t>
      </w:r>
    </w:p>
    <w:p w14:paraId="22C6D542">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43DCB0C6">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4DD3C9C">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（1）比较法</w:t>
      </w:r>
    </w:p>
    <w:p w14:paraId="18D99ABE">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5A8A600D">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（2）因素分析法</w:t>
      </w:r>
    </w:p>
    <w:p w14:paraId="572D7697">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41E59212">
      <w:pPr>
        <w:pStyle w:val="17"/>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4、评价标准</w:t>
      </w:r>
    </w:p>
    <w:p w14:paraId="08DCA60E">
      <w:pPr>
        <w:pageBreakBefore w:val="0"/>
        <w:kinsoku/>
        <w:wordWrap/>
        <w:overflowPunct/>
        <w:topLinePunct w:val="0"/>
        <w:autoSpaceDE/>
        <w:autoSpaceDN/>
        <w:bidi w:val="0"/>
        <w:adjustRightInd/>
        <w:snapToGrid/>
        <w:spacing w:line="54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14:paraId="1250B4FB">
      <w:pPr>
        <w:pStyle w:val="17"/>
        <w:pageBreakBefore w:val="0"/>
        <w:numPr>
          <w:ilvl w:val="0"/>
          <w:numId w:val="3"/>
        </w:numPr>
        <w:kinsoku/>
        <w:wordWrap/>
        <w:overflowPunct/>
        <w:topLinePunct w:val="0"/>
        <w:autoSpaceDE/>
        <w:autoSpaceDN/>
        <w:bidi w:val="0"/>
        <w:adjustRightInd/>
        <w:snapToGrid/>
        <w:spacing w:before="0" w:after="0" w:line="540" w:lineRule="exact"/>
        <w:ind w:firstLine="711" w:firstLineChars="200"/>
        <w:jc w:val="both"/>
        <w:textAlignment w:val="auto"/>
        <w:rPr>
          <w:rFonts w:ascii="楷体" w:hAnsi="楷体" w:eastAsia="楷体" w:cs="楷体"/>
          <w:color w:val="000000"/>
          <w:spacing w:val="17"/>
        </w:rPr>
      </w:pPr>
      <w:r>
        <w:rPr>
          <w:rFonts w:hint="eastAsia" w:ascii="楷体" w:hAnsi="楷体" w:eastAsia="楷体" w:cs="楷体"/>
          <w:color w:val="000000"/>
          <w:spacing w:val="17"/>
        </w:rPr>
        <w:t>绩效评价工作过程</w:t>
      </w:r>
    </w:p>
    <w:p w14:paraId="59C0D331">
      <w:pPr>
        <w:pageBreakBefore w:val="0"/>
        <w:numPr>
          <w:ilvl w:val="0"/>
          <w:numId w:val="4"/>
        </w:numPr>
        <w:kinsoku/>
        <w:wordWrap/>
        <w:overflowPunct/>
        <w:topLinePunct w:val="0"/>
        <w:autoSpaceDE/>
        <w:autoSpaceDN/>
        <w:bidi w:val="0"/>
        <w:adjustRightInd/>
        <w:snapToGrid/>
        <w:spacing w:line="540" w:lineRule="exact"/>
        <w:ind w:firstLine="640" w:firstLineChars="200"/>
        <w:textAlignment w:val="auto"/>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27685BF1">
      <w:pPr>
        <w:pageBreakBefore w:val="0"/>
        <w:numPr>
          <w:ilvl w:val="0"/>
          <w:numId w:val="4"/>
        </w:numPr>
        <w:kinsoku/>
        <w:wordWrap/>
        <w:overflowPunct/>
        <w:topLinePunct w:val="0"/>
        <w:autoSpaceDE/>
        <w:autoSpaceDN/>
        <w:bidi w:val="0"/>
        <w:adjustRightInd/>
        <w:snapToGrid/>
        <w:spacing w:line="540" w:lineRule="exact"/>
        <w:ind w:firstLine="640" w:firstLineChars="200"/>
        <w:textAlignment w:val="auto"/>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1A677416">
      <w:pPr>
        <w:pageBreakBefore w:val="0"/>
        <w:numPr>
          <w:ilvl w:val="0"/>
          <w:numId w:val="4"/>
        </w:numPr>
        <w:kinsoku/>
        <w:wordWrap/>
        <w:overflowPunct/>
        <w:topLinePunct w:val="0"/>
        <w:autoSpaceDE/>
        <w:autoSpaceDN/>
        <w:bidi w:val="0"/>
        <w:adjustRightInd/>
        <w:snapToGrid/>
        <w:spacing w:line="540" w:lineRule="exact"/>
        <w:ind w:firstLine="640" w:firstLineChars="200"/>
        <w:textAlignment w:val="auto"/>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013676DF">
      <w:pPr>
        <w:pageBreakBefore w:val="0"/>
        <w:numPr>
          <w:ilvl w:val="0"/>
          <w:numId w:val="5"/>
        </w:numPr>
        <w:kinsoku/>
        <w:wordWrap/>
        <w:overflowPunct/>
        <w:topLinePunct w:val="0"/>
        <w:autoSpaceDE/>
        <w:autoSpaceDN/>
        <w:bidi w:val="0"/>
        <w:adjustRightInd/>
        <w:snapToGrid/>
        <w:spacing w:line="540" w:lineRule="exact"/>
        <w:ind w:firstLine="640" w:firstLineChars="200"/>
        <w:textAlignment w:val="auto"/>
        <w:rPr>
          <w:rFonts w:eastAsia="黑体"/>
          <w:sz w:val="32"/>
          <w:szCs w:val="32"/>
        </w:rPr>
      </w:pPr>
      <w:r>
        <w:rPr>
          <w:rFonts w:eastAsia="黑体"/>
          <w:sz w:val="32"/>
          <w:szCs w:val="32"/>
        </w:rPr>
        <w:t>综合评价情况及评价结论</w:t>
      </w:r>
    </w:p>
    <w:p w14:paraId="01DC82AF">
      <w:pPr>
        <w:pStyle w:val="4"/>
        <w:pageBreakBefore w:val="0"/>
        <w:widowControl w:val="0"/>
        <w:kinsoku/>
        <w:wordWrap/>
        <w:overflowPunct/>
        <w:topLinePunct w:val="0"/>
        <w:autoSpaceDE/>
        <w:autoSpaceDN/>
        <w:bidi w:val="0"/>
        <w:adjustRightInd/>
        <w:snapToGrid/>
        <w:spacing w:before="0" w:beforeAutospacing="0" w:after="0" w:afterAutospacing="0" w:line="540" w:lineRule="exact"/>
        <w:ind w:right="0" w:rightChars="0" w:firstLine="321" w:firstLineChars="100"/>
        <w:textAlignment w:val="auto"/>
        <w:rPr>
          <w:rFonts w:hint="eastAsia" w:ascii="Times New Roman" w:hAnsi="Times New Roman" w:eastAsia="楷体_GB2312" w:cs="Times New Roman"/>
          <w:b/>
          <w:bCs/>
          <w:i w:val="0"/>
          <w:iCs w:val="0"/>
          <w:kern w:val="28"/>
          <w:sz w:val="32"/>
          <w:szCs w:val="32"/>
          <w:lang w:val="en-US" w:eastAsia="zh-CN" w:bidi="ar-SA"/>
        </w:rPr>
      </w:pPr>
      <w:bookmarkStart w:id="1" w:name="_Toc29657"/>
      <w:r>
        <w:rPr>
          <w:rFonts w:hint="eastAsia" w:ascii="Times New Roman" w:hAnsi="Times New Roman" w:eastAsia="楷体_GB2312" w:cs="Times New Roman"/>
          <w:b/>
          <w:bCs/>
          <w:i w:val="0"/>
          <w:iCs w:val="0"/>
          <w:kern w:val="28"/>
          <w:sz w:val="32"/>
          <w:szCs w:val="32"/>
          <w:lang w:val="en-US" w:eastAsia="zh-CN" w:bidi="ar-SA"/>
        </w:rPr>
        <w:t>（一）综合评价情况</w:t>
      </w:r>
      <w:bookmarkEnd w:id="1"/>
    </w:p>
    <w:p w14:paraId="67DE8B8D">
      <w:pPr>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bCs/>
          <w:sz w:val="32"/>
          <w:szCs w:val="32"/>
        </w:rPr>
      </w:pPr>
      <w:r>
        <w:rPr>
          <w:rFonts w:hint="eastAsia" w:ascii="Times New Roman" w:hAnsi="Times New Roman" w:eastAsia="仿宋_GB2312" w:cs="Times New Roman"/>
          <w:bCs/>
          <w:sz w:val="32"/>
          <w:szCs w:val="32"/>
          <w:lang w:val="en-US" w:eastAsia="zh-CN"/>
        </w:rPr>
        <w:t>本项目严格按照科学公正、统筹兼顾、激励约束、公开透明的绩效评价原则，采用定量与定性评价相结合的评价方法，坚持计划、行业、历史等绩效评价标准，对本项目的立项、绩效目标、资金投入、资金管理、组织实施、产出数量、产出质量、产出时效、项目效益进行了综合评价。</w:t>
      </w:r>
    </w:p>
    <w:p w14:paraId="2E4D750C">
      <w:pPr>
        <w:pStyle w:val="4"/>
        <w:pageBreakBefore w:val="0"/>
        <w:kinsoku/>
        <w:wordWrap/>
        <w:overflowPunct/>
        <w:topLinePunct w:val="0"/>
        <w:autoSpaceDE/>
        <w:autoSpaceDN/>
        <w:bidi w:val="0"/>
        <w:adjustRightInd/>
        <w:snapToGrid/>
        <w:spacing w:before="0" w:beforeAutospacing="0" w:after="0" w:afterAutospacing="0" w:line="540" w:lineRule="exact"/>
        <w:ind w:right="0" w:rightChars="0"/>
        <w:textAlignment w:val="auto"/>
        <w:rPr>
          <w:rFonts w:hint="eastAsia" w:ascii="仿宋_GB2312" w:eastAsia="仿宋_GB2312"/>
          <w:b w:val="0"/>
          <w:bCs w:val="0"/>
        </w:rPr>
      </w:pPr>
      <w:r>
        <w:rPr>
          <w:rFonts w:hint="eastAsia" w:ascii="仿宋_GB2312"/>
          <w:sz w:val="32"/>
          <w:szCs w:val="32"/>
          <w:lang w:val="en-US" w:eastAsia="zh-CN"/>
        </w:rPr>
        <w:t>　</w:t>
      </w:r>
      <w:bookmarkStart w:id="2" w:name="_Toc25329"/>
      <w:bookmarkStart w:id="3" w:name="_Toc68702121"/>
      <w:r>
        <w:rPr>
          <w:rFonts w:hint="eastAsia" w:ascii="仿宋_GB2312"/>
          <w:sz w:val="32"/>
          <w:szCs w:val="32"/>
          <w:lang w:val="en-US" w:eastAsia="zh-CN"/>
        </w:rPr>
        <w:t>　</w:t>
      </w:r>
      <w:r>
        <w:rPr>
          <w:rFonts w:hint="eastAsia" w:ascii="Times New Roman" w:hAnsi="Times New Roman" w:eastAsia="楷体_GB2312" w:cs="Times New Roman"/>
          <w:b/>
          <w:bCs/>
          <w:i w:val="0"/>
          <w:iCs w:val="0"/>
          <w:kern w:val="28"/>
          <w:sz w:val="32"/>
          <w:szCs w:val="32"/>
          <w:lang w:val="en-US" w:eastAsia="zh-CN" w:bidi="ar-SA"/>
        </w:rPr>
        <w:t>（二）评价结论</w:t>
      </w:r>
      <w:bookmarkEnd w:id="2"/>
      <w:bookmarkEnd w:id="3"/>
    </w:p>
    <w:p w14:paraId="07A6B7A1">
      <w:pPr>
        <w:pageBreakBefore w:val="0"/>
        <w:numPr>
          <w:ilvl w:val="0"/>
          <w:numId w:val="0"/>
        </w:numPr>
        <w:kinsoku/>
        <w:wordWrap/>
        <w:overflowPunct/>
        <w:topLinePunct w:val="0"/>
        <w:autoSpaceDE/>
        <w:autoSpaceDN/>
        <w:bidi w:val="0"/>
        <w:adjustRightInd/>
        <w:snapToGrid/>
        <w:spacing w:line="540" w:lineRule="exact"/>
        <w:ind w:firstLine="640" w:firstLineChars="200"/>
        <w:textAlignment w:val="auto"/>
      </w:pPr>
      <w:r>
        <w:rPr>
          <w:rFonts w:hint="eastAsia" w:ascii="Times New Roman" w:hAnsi="Times New Roman" w:eastAsia="仿宋_GB2312" w:cs="Times New Roman"/>
          <w:bCs/>
          <w:sz w:val="32"/>
          <w:szCs w:val="32"/>
          <w:lang w:val="en-US" w:eastAsia="zh-CN"/>
        </w:rPr>
        <w:t>本项目的项目决策、项目过程、项目产出、项目效益均达到预期要求，最终得分为100分，完成了项目年度指标。</w:t>
      </w:r>
    </w:p>
    <w:p w14:paraId="095B0ACB">
      <w:pPr>
        <w:pageBreakBefore w:val="0"/>
        <w:kinsoku/>
        <w:wordWrap/>
        <w:overflowPunct/>
        <w:topLinePunct w:val="0"/>
        <w:autoSpaceDE/>
        <w:autoSpaceDN/>
        <w:bidi w:val="0"/>
        <w:adjustRightInd/>
        <w:snapToGrid/>
        <w:spacing w:line="540" w:lineRule="exact"/>
        <w:ind w:firstLine="320" w:firstLineChars="100"/>
        <w:textAlignment w:val="auto"/>
        <w:rPr>
          <w:rFonts w:eastAsia="黑体"/>
          <w:sz w:val="32"/>
          <w:szCs w:val="32"/>
        </w:rPr>
      </w:pPr>
      <w:r>
        <w:rPr>
          <w:rFonts w:eastAsia="黑体"/>
          <w:sz w:val="32"/>
          <w:szCs w:val="32"/>
        </w:rPr>
        <w:t>四、绩效评价指标分析</w:t>
      </w:r>
    </w:p>
    <w:p w14:paraId="7575A0F6">
      <w:pPr>
        <w:pStyle w:val="17"/>
        <w:pageBreakBefore w:val="0"/>
        <w:kinsoku/>
        <w:wordWrap/>
        <w:overflowPunct/>
        <w:topLinePunct w:val="0"/>
        <w:autoSpaceDE/>
        <w:autoSpaceDN/>
        <w:bidi w:val="0"/>
        <w:adjustRightInd/>
        <w:snapToGrid/>
        <w:spacing w:before="0" w:after="0" w:line="540" w:lineRule="exac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14:paraId="2384BC97">
      <w:pPr>
        <w:pageBreakBefore w:val="0"/>
        <w:kinsoku/>
        <w:wordWrap/>
        <w:overflowPunct/>
        <w:topLinePunct w:val="0"/>
        <w:autoSpaceDE/>
        <w:autoSpaceDN/>
        <w:bidi w:val="0"/>
        <w:adjustRightInd/>
        <w:snapToGrid/>
        <w:spacing w:line="540" w:lineRule="exact"/>
        <w:ind w:firstLine="640" w:firstLineChars="200"/>
        <w:textAlignment w:val="auto"/>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468A3A87">
      <w:pPr>
        <w:pStyle w:val="17"/>
        <w:pageBreakBefore w:val="0"/>
        <w:kinsoku/>
        <w:wordWrap/>
        <w:overflowPunct/>
        <w:topLinePunct w:val="0"/>
        <w:autoSpaceDE/>
        <w:autoSpaceDN/>
        <w:bidi w:val="0"/>
        <w:adjustRightInd/>
        <w:snapToGrid/>
        <w:spacing w:before="0" w:after="0" w:line="54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481C1056">
      <w:pPr>
        <w:pageBreakBefore w:val="0"/>
        <w:kinsoku/>
        <w:wordWrap/>
        <w:overflowPunct/>
        <w:topLinePunct w:val="0"/>
        <w:autoSpaceDE/>
        <w:autoSpaceDN/>
        <w:bidi w:val="0"/>
        <w:adjustRightInd/>
        <w:snapToGrid/>
        <w:spacing w:line="540" w:lineRule="exact"/>
        <w:ind w:firstLine="640" w:firstLineChars="200"/>
        <w:textAlignment w:val="auto"/>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7D88C69E">
      <w:pPr>
        <w:pStyle w:val="17"/>
        <w:pageBreakBefore w:val="0"/>
        <w:kinsoku/>
        <w:wordWrap/>
        <w:overflowPunct/>
        <w:topLinePunct w:val="0"/>
        <w:autoSpaceDE/>
        <w:autoSpaceDN/>
        <w:bidi w:val="0"/>
        <w:adjustRightInd/>
        <w:snapToGrid/>
        <w:spacing w:before="0" w:after="0" w:line="54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7B3E18AF">
      <w:pPr>
        <w:pageBreakBefore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数量指标方面：</w:t>
      </w:r>
      <w:r>
        <w:rPr>
          <w:rFonts w:hint="eastAsia" w:ascii="仿宋_GB2312" w:hAnsi="仿宋_GB2312" w:eastAsia="仿宋_GB2312" w:cs="仿宋_GB2312"/>
          <w:sz w:val="32"/>
          <w:szCs w:val="32"/>
          <w:lang w:val="en-US" w:eastAsia="zh-CN"/>
        </w:rPr>
        <w:t>发放指标，指标值为4次，实际完成4次，完成率100%，偏差率0%。</w:t>
      </w:r>
    </w:p>
    <w:p w14:paraId="1D976840">
      <w:pPr>
        <w:pageBreakBefore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质量指标方面：</w:t>
      </w:r>
      <w:r>
        <w:rPr>
          <w:rFonts w:hint="eastAsia" w:ascii="仿宋_GB2312" w:hAnsi="仿宋_GB2312" w:eastAsia="仿宋_GB2312" w:cs="仿宋_GB2312"/>
          <w:sz w:val="32"/>
          <w:szCs w:val="32"/>
          <w:lang w:val="en-US" w:eastAsia="zh-CN"/>
        </w:rPr>
        <w:t>项目指标完成率（%），指标值为100%，实际完成100%，完成率100%，偏差率0%。</w:t>
      </w:r>
    </w:p>
    <w:p w14:paraId="20A87AEF">
      <w:pPr>
        <w:pageBreakBefore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时效指标方面：</w:t>
      </w:r>
      <w:r>
        <w:rPr>
          <w:rFonts w:hint="eastAsia" w:ascii="仿宋_GB2312" w:hAnsi="仿宋_GB2312" w:eastAsia="仿宋_GB2312" w:cs="仿宋_GB2312"/>
          <w:sz w:val="32"/>
          <w:szCs w:val="32"/>
          <w:lang w:val="en-US" w:eastAsia="zh-CN"/>
        </w:rPr>
        <w:t>资金发放及时率（%），指标值为100%，实际完成100%，完成率100%，偏差率0%。</w:t>
      </w:r>
    </w:p>
    <w:p w14:paraId="10DF674D">
      <w:pPr>
        <w:pStyle w:val="17"/>
        <w:pageBreakBefore w:val="0"/>
        <w:kinsoku/>
        <w:wordWrap/>
        <w:overflowPunct/>
        <w:topLinePunct w:val="0"/>
        <w:autoSpaceDE/>
        <w:autoSpaceDN/>
        <w:bidi w:val="0"/>
        <w:adjustRightInd/>
        <w:snapToGrid/>
        <w:spacing w:before="0" w:after="0" w:line="54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14:paraId="1CFA8546">
      <w:pPr>
        <w:pageBreakBefore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经济</w:t>
      </w:r>
      <w:r>
        <w:rPr>
          <w:rFonts w:hint="eastAsia" w:ascii="仿宋_GB2312" w:hAnsi="仿宋_GB2312" w:eastAsia="仿宋_GB2312" w:cs="仿宋_GB2312"/>
          <w:sz w:val="32"/>
          <w:szCs w:val="32"/>
          <w:lang w:eastAsia="zh-CN"/>
        </w:rPr>
        <w:t>成本</w:t>
      </w:r>
      <w:r>
        <w:rPr>
          <w:rFonts w:hint="eastAsia" w:ascii="仿宋_GB2312" w:hAnsi="仿宋_GB2312" w:eastAsia="仿宋_GB2312" w:cs="仿宋_GB2312"/>
          <w:sz w:val="32"/>
          <w:szCs w:val="32"/>
        </w:rPr>
        <w:t>指标方面：</w:t>
      </w:r>
      <w:r>
        <w:rPr>
          <w:rFonts w:hint="eastAsia" w:ascii="仿宋_GB2312" w:hAnsi="仿宋_GB2312" w:eastAsia="仿宋_GB2312" w:cs="仿宋_GB2312"/>
          <w:sz w:val="32"/>
          <w:szCs w:val="32"/>
          <w:lang w:eastAsia="zh-CN"/>
        </w:rPr>
        <w:t>每人每次发放资金数</w:t>
      </w:r>
      <w:r>
        <w:rPr>
          <w:rFonts w:hint="eastAsia" w:ascii="仿宋_GB2312" w:hAnsi="仿宋_GB2312" w:eastAsia="仿宋_GB2312" w:cs="仿宋_GB2312"/>
          <w:sz w:val="32"/>
          <w:szCs w:val="32"/>
          <w:lang w:val="en-US" w:eastAsia="zh-CN"/>
        </w:rPr>
        <w:t>，指标值为1300元，实际完成1300元，完成率100%，偏差率0%。</w:t>
      </w:r>
    </w:p>
    <w:p w14:paraId="1E78977E">
      <w:pPr>
        <w:pageBreakBefore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社会效益指标方面：</w:t>
      </w:r>
      <w:r>
        <w:rPr>
          <w:rFonts w:hint="eastAsia" w:ascii="仿宋_GB2312" w:hAnsi="仿宋_GB2312" w:eastAsia="仿宋_GB2312" w:cs="仿宋_GB2312"/>
          <w:sz w:val="32"/>
          <w:szCs w:val="32"/>
          <w:lang w:eastAsia="zh-CN"/>
        </w:rPr>
        <w:t>保障受益人数（人）</w:t>
      </w:r>
      <w:r>
        <w:rPr>
          <w:rFonts w:hint="eastAsia" w:ascii="仿宋_GB2312" w:hAnsi="仿宋_GB2312" w:eastAsia="仿宋_GB2312" w:cs="仿宋_GB2312"/>
          <w:sz w:val="32"/>
          <w:szCs w:val="32"/>
          <w:lang w:val="en-US" w:eastAsia="zh-CN"/>
        </w:rPr>
        <w:t>，指标值为113人，实际完成113人，完成率100%，偏差率0%。</w:t>
      </w:r>
    </w:p>
    <w:p w14:paraId="6D7D4E33">
      <w:pPr>
        <w:pageBreakBefore w:val="0"/>
        <w:kinsoku/>
        <w:wordWrap/>
        <w:overflowPunct/>
        <w:topLinePunct w:val="0"/>
        <w:autoSpaceDE/>
        <w:autoSpaceDN/>
        <w:bidi w:val="0"/>
        <w:adjustRightInd/>
        <w:snapToGrid/>
        <w:spacing w:line="54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满意度指标方面：</w:t>
      </w:r>
      <w:r>
        <w:rPr>
          <w:rFonts w:hint="eastAsia" w:ascii="仿宋_GB2312" w:hAnsi="仿宋_GB2312" w:eastAsia="仿宋_GB2312" w:cs="仿宋_GB2312"/>
          <w:sz w:val="32"/>
          <w:szCs w:val="32"/>
          <w:lang w:val="en-US" w:eastAsia="zh-CN"/>
        </w:rPr>
        <w:t>满意度指标（%），指标值为100%，实际完成100%，完成率100%，偏差率0%。</w:t>
      </w:r>
    </w:p>
    <w:p w14:paraId="64EE5749">
      <w:pPr>
        <w:pageBreakBefore w:val="0"/>
        <w:kinsoku/>
        <w:wordWrap/>
        <w:overflowPunct/>
        <w:topLinePunct w:val="0"/>
        <w:autoSpaceDE/>
        <w:autoSpaceDN/>
        <w:bidi w:val="0"/>
        <w:adjustRightInd/>
        <w:snapToGrid/>
        <w:spacing w:line="540" w:lineRule="exact"/>
        <w:ind w:firstLine="640" w:firstLineChars="200"/>
        <w:textAlignment w:val="auto"/>
        <w:rPr>
          <w:rStyle w:val="51"/>
          <w:rFonts w:ascii="Times New Roman" w:hAnsi="Times New Roman" w:cs="Times New Roman"/>
          <w:color w:val="auto"/>
        </w:rPr>
      </w:pPr>
      <w:r>
        <w:rPr>
          <w:rFonts w:eastAsia="黑体"/>
          <w:sz w:val="32"/>
          <w:szCs w:val="32"/>
        </w:rPr>
        <w:t>五、主要经验及做法、存在的问题及原因分析</w:t>
      </w:r>
    </w:p>
    <w:p w14:paraId="122AC03A">
      <w:pPr>
        <w:pageBreakBefore w:val="0"/>
        <w:kinsoku/>
        <w:wordWrap/>
        <w:overflowPunct/>
        <w:topLinePunct w:val="0"/>
        <w:autoSpaceDE/>
        <w:autoSpaceDN/>
        <w:bidi w:val="0"/>
        <w:adjustRightInd/>
        <w:snapToGrid/>
        <w:spacing w:line="540" w:lineRule="exact"/>
        <w:ind w:firstLine="627" w:firstLineChars="200"/>
        <w:textAlignment w:val="auto"/>
        <w:rPr>
          <w:rFonts w:eastAsia="楷体"/>
          <w:b/>
          <w:spacing w:val="-4"/>
          <w:sz w:val="32"/>
          <w:szCs w:val="32"/>
        </w:rPr>
      </w:pPr>
      <w:r>
        <w:rPr>
          <w:rFonts w:eastAsia="楷体"/>
          <w:b/>
          <w:spacing w:val="-4"/>
          <w:sz w:val="32"/>
          <w:szCs w:val="32"/>
        </w:rPr>
        <w:t>（一）主要经验及做法</w:t>
      </w:r>
    </w:p>
    <w:p w14:paraId="03F64D83">
      <w:pPr>
        <w:pageBreakBefore w:val="0"/>
        <w:kinsoku/>
        <w:wordWrap/>
        <w:overflowPunct/>
        <w:topLinePunct w:val="0"/>
        <w:autoSpaceDE/>
        <w:autoSpaceDN/>
        <w:bidi w:val="0"/>
        <w:adjustRightInd/>
        <w:snapToGrid/>
        <w:spacing w:line="540" w:lineRule="exact"/>
        <w:ind w:firstLine="640" w:firstLineChars="200"/>
        <w:textAlignment w:val="auto"/>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w:t>
      </w:r>
      <w:bookmarkStart w:id="5" w:name="_GoBack"/>
      <w:bookmarkEnd w:id="5"/>
      <w:r>
        <w:rPr>
          <w:rFonts w:eastAsia="仿宋_GB2312"/>
          <w:sz w:val="32"/>
          <w:szCs w:val="32"/>
        </w:rPr>
        <w:t>众民意调查及项目防范工作。</w:t>
      </w:r>
    </w:p>
    <w:p w14:paraId="521D5189">
      <w:pPr>
        <w:pStyle w:val="17"/>
        <w:pageBreakBefore w:val="0"/>
        <w:kinsoku/>
        <w:wordWrap/>
        <w:overflowPunct/>
        <w:topLinePunct w:val="0"/>
        <w:autoSpaceDE/>
        <w:autoSpaceDN/>
        <w:bidi w:val="0"/>
        <w:adjustRightInd/>
        <w:snapToGrid/>
        <w:spacing w:before="0" w:after="0" w:line="540" w:lineRule="exact"/>
        <w:ind w:firstLine="640" w:firstLineChars="200"/>
        <w:jc w:val="both"/>
        <w:textAlignment w:val="auto"/>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0DE8958">
      <w:pPr>
        <w:keepNext/>
        <w:keepLines/>
        <w:pageBreakBefore w:val="0"/>
        <w:numPr>
          <w:ilvl w:val="0"/>
          <w:numId w:val="6"/>
        </w:numPr>
        <w:kinsoku/>
        <w:wordWrap/>
        <w:overflowPunct/>
        <w:topLinePunct w:val="0"/>
        <w:autoSpaceDE/>
        <w:autoSpaceDN/>
        <w:bidi w:val="0"/>
        <w:adjustRightInd/>
        <w:snapToGrid/>
        <w:spacing w:line="540" w:lineRule="exact"/>
        <w:ind w:firstLine="643" w:firstLineChars="200"/>
        <w:textAlignment w:val="auto"/>
        <w:rPr>
          <w:rFonts w:eastAsia="楷体_GB2312"/>
          <w:b/>
          <w:bCs/>
          <w:sz w:val="32"/>
          <w:szCs w:val="32"/>
        </w:rPr>
      </w:pPr>
      <w:r>
        <w:rPr>
          <w:rFonts w:eastAsia="楷体_GB2312"/>
          <w:b/>
          <w:bCs/>
          <w:sz w:val="32"/>
          <w:szCs w:val="32"/>
        </w:rPr>
        <w:t>存在的问题及原因分析</w:t>
      </w:r>
    </w:p>
    <w:p w14:paraId="570D4DF5">
      <w:pPr>
        <w:pStyle w:val="17"/>
        <w:pageBreakBefore w:val="0"/>
        <w:kinsoku/>
        <w:wordWrap/>
        <w:overflowPunct/>
        <w:topLinePunct w:val="0"/>
        <w:autoSpaceDE/>
        <w:autoSpaceDN/>
        <w:bidi w:val="0"/>
        <w:adjustRightInd/>
        <w:snapToGrid/>
        <w:spacing w:before="0" w:after="0" w:line="540" w:lineRule="exact"/>
        <w:ind w:firstLine="640" w:firstLineChars="200"/>
        <w:jc w:val="both"/>
        <w:textAlignment w:val="auto"/>
      </w:pPr>
      <w:r>
        <w:rPr>
          <w:rFonts w:hint="eastAsia" w:ascii="Times New Roman" w:hAnsi="Times New Roman" w:eastAsia="仿宋_GB2312"/>
          <w:b w:val="0"/>
          <w:bCs w:val="0"/>
          <w:kern w:val="2"/>
          <w:highlight w:val="none"/>
          <w:lang w:eastAsia="zh-CN"/>
        </w:rPr>
        <w:t>无</w:t>
      </w:r>
      <w:r>
        <w:rPr>
          <w:rFonts w:hint="eastAsia" w:ascii="Times New Roman" w:hAnsi="Times New Roman" w:eastAsia="仿宋_GB2312"/>
          <w:b w:val="0"/>
          <w:bCs w:val="0"/>
          <w:kern w:val="2"/>
          <w:highlight w:val="none"/>
          <w:lang w:val="en-US" w:eastAsia="zh-CN"/>
        </w:rPr>
        <w:t xml:space="preserve"> </w:t>
      </w:r>
    </w:p>
    <w:p w14:paraId="062BD00D">
      <w:pPr>
        <w:pageBreakBefore w:val="0"/>
        <w:numPr>
          <w:ilvl w:val="0"/>
          <w:numId w:val="7"/>
        </w:numPr>
        <w:kinsoku/>
        <w:wordWrap/>
        <w:overflowPunct/>
        <w:topLinePunct w:val="0"/>
        <w:autoSpaceDE/>
        <w:autoSpaceDN/>
        <w:bidi w:val="0"/>
        <w:adjustRightInd/>
        <w:snapToGrid/>
        <w:spacing w:line="540" w:lineRule="exact"/>
        <w:ind w:firstLine="640" w:firstLineChars="200"/>
        <w:textAlignment w:val="auto"/>
        <w:rPr>
          <w:rFonts w:eastAsia="黑体"/>
          <w:sz w:val="32"/>
          <w:szCs w:val="32"/>
        </w:rPr>
      </w:pPr>
      <w:r>
        <w:rPr>
          <w:rFonts w:eastAsia="黑体"/>
          <w:sz w:val="32"/>
          <w:szCs w:val="32"/>
        </w:rPr>
        <w:t>有关建议</w:t>
      </w:r>
    </w:p>
    <w:p w14:paraId="71594786">
      <w:pPr>
        <w:pStyle w:val="17"/>
        <w:pageBreakBefore w:val="0"/>
        <w:kinsoku/>
        <w:wordWrap/>
        <w:overflowPunct/>
        <w:topLinePunct w:val="0"/>
        <w:autoSpaceDE/>
        <w:autoSpaceDN/>
        <w:bidi w:val="0"/>
        <w:adjustRightInd/>
        <w:snapToGrid/>
        <w:spacing w:before="0" w:after="0" w:line="540" w:lineRule="exact"/>
        <w:ind w:firstLine="640" w:firstLineChars="200"/>
        <w:jc w:val="both"/>
        <w:textAlignment w:val="auto"/>
      </w:pPr>
      <w:r>
        <w:rPr>
          <w:rFonts w:hint="eastAsia" w:ascii="Times New Roman" w:hAnsi="Times New Roman" w:eastAsia="仿宋_GB2312"/>
          <w:b w:val="0"/>
          <w:bCs w:val="0"/>
          <w:kern w:val="2"/>
          <w:highlight w:val="none"/>
          <w:lang w:eastAsia="zh-CN"/>
        </w:rPr>
        <w:t>无</w:t>
      </w:r>
      <w:r>
        <w:rPr>
          <w:rFonts w:hint="eastAsia" w:ascii="Times New Roman" w:hAnsi="Times New Roman" w:eastAsia="仿宋_GB2312"/>
          <w:b w:val="0"/>
          <w:bCs w:val="0"/>
          <w:kern w:val="2"/>
          <w:highlight w:val="none"/>
          <w:lang w:val="en-US" w:eastAsia="zh-CN"/>
        </w:rPr>
        <w:t xml:space="preserve"> </w:t>
      </w:r>
    </w:p>
    <w:p w14:paraId="42E9351D">
      <w:pPr>
        <w:pageBreakBefore w:val="0"/>
        <w:numPr>
          <w:ilvl w:val="0"/>
          <w:numId w:val="7"/>
        </w:numPr>
        <w:kinsoku/>
        <w:wordWrap/>
        <w:overflowPunct/>
        <w:topLinePunct w:val="0"/>
        <w:autoSpaceDE/>
        <w:autoSpaceDN/>
        <w:bidi w:val="0"/>
        <w:adjustRightInd/>
        <w:snapToGrid/>
        <w:spacing w:line="540" w:lineRule="exact"/>
        <w:ind w:firstLine="640" w:firstLineChars="200"/>
        <w:textAlignment w:val="auto"/>
        <w:rPr>
          <w:rFonts w:eastAsia="黑体"/>
          <w:sz w:val="32"/>
          <w:szCs w:val="32"/>
        </w:rPr>
      </w:pPr>
      <w:r>
        <w:rPr>
          <w:rFonts w:eastAsia="黑体"/>
          <w:sz w:val="32"/>
          <w:szCs w:val="32"/>
        </w:rPr>
        <w:t>其他需要说</w:t>
      </w:r>
      <w:bookmarkStart w:id="4" w:name="page8"/>
      <w:bookmarkEnd w:id="4"/>
      <w:r>
        <w:rPr>
          <w:rFonts w:eastAsia="黑体"/>
          <w:sz w:val="32"/>
          <w:szCs w:val="32"/>
        </w:rPr>
        <w:t>明的问题</w:t>
      </w:r>
    </w:p>
    <w:p w14:paraId="31358724">
      <w:pPr>
        <w:pStyle w:val="19"/>
        <w:pageBreakBefore w:val="0"/>
        <w:kinsoku/>
        <w:wordWrap/>
        <w:overflowPunct/>
        <w:topLinePunct w:val="0"/>
        <w:autoSpaceDE/>
        <w:autoSpaceDN/>
        <w:bidi w:val="0"/>
        <w:adjustRightInd/>
        <w:snapToGrid/>
        <w:spacing w:after="0" w:line="54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435B9597">
      <w:pPr>
        <w:pStyle w:val="19"/>
        <w:pageBreakBefore w:val="0"/>
        <w:kinsoku/>
        <w:wordWrap/>
        <w:overflowPunct/>
        <w:topLinePunct w:val="0"/>
        <w:autoSpaceDE/>
        <w:autoSpaceDN/>
        <w:bidi w:val="0"/>
        <w:adjustRightInd/>
        <w:snapToGrid/>
        <w:spacing w:after="0" w:line="540" w:lineRule="exact"/>
        <w:ind w:left="0" w:leftChars="0" w:firstLine="640" w:firstLineChars="200"/>
        <w:textAlignment w:val="auto"/>
        <w:rPr>
          <w:rFonts w:hint="eastAsia" w:ascii="仿宋_GB2312" w:hAnsi="仿宋_GB2312" w:eastAsia="仿宋_GB2312" w:cs="仿宋_GB2312"/>
          <w:sz w:val="32"/>
          <w:szCs w:val="32"/>
          <w:lang w:val="en-US" w:eastAsia="zh-CN"/>
        </w:rPr>
      </w:pPr>
    </w:p>
    <w:p w14:paraId="3A5F5680">
      <w:pPr>
        <w:pageBreakBefore w:val="0"/>
        <w:kinsoku/>
        <w:wordWrap/>
        <w:overflowPunct/>
        <w:topLinePunct w:val="0"/>
        <w:autoSpaceDE/>
        <w:autoSpaceDN/>
        <w:bidi w:val="0"/>
        <w:adjustRightInd/>
        <w:snapToGrid/>
        <w:spacing w:line="540" w:lineRule="exact"/>
        <w:textAlignment w:val="auto"/>
        <w:rPr>
          <w:rStyle w:val="22"/>
          <w:rFonts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577E966">
        <w:pPr>
          <w:pStyle w:val="14"/>
          <w:jc w:val="center"/>
        </w:pPr>
        <w:r>
          <w:fldChar w:fldCharType="begin"/>
        </w:r>
        <w:r>
          <w:instrText xml:space="preserve">PAGE   \* MERGEFORMAT</w:instrText>
        </w:r>
        <w:r>
          <w:fldChar w:fldCharType="separate"/>
        </w:r>
        <w:r>
          <w:rPr>
            <w:lang w:val="zh-CN"/>
          </w:rPr>
          <w:t>17</w:t>
        </w:r>
        <w:r>
          <w:fldChar w:fldCharType="end"/>
        </w:r>
      </w:p>
    </w:sdtContent>
  </w:sdt>
  <w:p w14:paraId="5F869678">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C75270"/>
    <w:rsid w:val="12637CC3"/>
    <w:rsid w:val="12D33F06"/>
    <w:rsid w:val="12E657C5"/>
    <w:rsid w:val="133C6E2A"/>
    <w:rsid w:val="167C7687"/>
    <w:rsid w:val="168B3546"/>
    <w:rsid w:val="1A2374E0"/>
    <w:rsid w:val="1C317CE2"/>
    <w:rsid w:val="1DD45808"/>
    <w:rsid w:val="1DED42AC"/>
    <w:rsid w:val="20005763"/>
    <w:rsid w:val="20FB313D"/>
    <w:rsid w:val="220B4804"/>
    <w:rsid w:val="278B653F"/>
    <w:rsid w:val="282475E3"/>
    <w:rsid w:val="29E421D9"/>
    <w:rsid w:val="2C6100C1"/>
    <w:rsid w:val="3235157C"/>
    <w:rsid w:val="3264220D"/>
    <w:rsid w:val="32A83563"/>
    <w:rsid w:val="38872456"/>
    <w:rsid w:val="3963178C"/>
    <w:rsid w:val="39C74B49"/>
    <w:rsid w:val="3BA5236D"/>
    <w:rsid w:val="3CED0699"/>
    <w:rsid w:val="3EB02FD6"/>
    <w:rsid w:val="3EEF6DA1"/>
    <w:rsid w:val="41CC2676"/>
    <w:rsid w:val="46B21672"/>
    <w:rsid w:val="4F552460"/>
    <w:rsid w:val="4FCC6863"/>
    <w:rsid w:val="500A214A"/>
    <w:rsid w:val="522D604D"/>
    <w:rsid w:val="5297585E"/>
    <w:rsid w:val="52AD7D6F"/>
    <w:rsid w:val="545D78A2"/>
    <w:rsid w:val="5549519D"/>
    <w:rsid w:val="5557596B"/>
    <w:rsid w:val="572A7F10"/>
    <w:rsid w:val="5B596DFC"/>
    <w:rsid w:val="5DAE6D00"/>
    <w:rsid w:val="5DF03945"/>
    <w:rsid w:val="5F03526B"/>
    <w:rsid w:val="62E515AF"/>
    <w:rsid w:val="637C2815"/>
    <w:rsid w:val="666B4FDC"/>
    <w:rsid w:val="67FF13C8"/>
    <w:rsid w:val="682144B7"/>
    <w:rsid w:val="6B503F77"/>
    <w:rsid w:val="6E311968"/>
    <w:rsid w:val="7A353D0B"/>
    <w:rsid w:val="7CB927D8"/>
    <w:rsid w:val="7D3A5E2F"/>
    <w:rsid w:val="7EFDAF99"/>
    <w:rsid w:val="7F2CC987"/>
    <w:rsid w:val="9FDE7435"/>
    <w:rsid w:val="BF7AC313"/>
    <w:rsid w:val="E7A537E1"/>
    <w:rsid w:val="EB9B32F7"/>
    <w:rsid w:val="F3B7055E"/>
    <w:rsid w:val="F7FF0871"/>
    <w:rsid w:val="FBFF9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12">
    <w:name w:val="Body Text Indent"/>
    <w:basedOn w:val="1"/>
    <w:qFormat/>
    <w:uiPriority w:val="0"/>
    <w:pPr>
      <w:spacing w:after="120"/>
      <w:ind w:left="420" w:leftChars="200"/>
    </w:pPr>
    <w:rPr>
      <w:rFonts w:ascii="Calibri" w:hAnsi="Calibri"/>
    </w:r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w:basedOn w:val="2"/>
    <w:qFormat/>
    <w:uiPriority w:val="0"/>
    <w:pPr>
      <w:spacing w:after="0"/>
      <w:ind w:firstLine="200" w:firstLineChars="200"/>
    </w:pPr>
  </w:style>
  <w:style w:type="paragraph" w:styleId="19">
    <w:name w:val="Body Text First Indent 2"/>
    <w:basedOn w:val="12"/>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17"/>
    <w:qFormat/>
    <w:uiPriority w:val="10"/>
    <w:rPr>
      <w:rFonts w:asciiTheme="majorHAnsi" w:hAnsiTheme="majorHAnsi" w:eastAsiaTheme="majorEastAsia"/>
      <w:b/>
      <w:bCs/>
      <w:kern w:val="28"/>
      <w:sz w:val="32"/>
      <w:szCs w:val="32"/>
    </w:rPr>
  </w:style>
  <w:style w:type="character" w:customStyle="1" w:styleId="34">
    <w:name w:val="副标题 字符"/>
    <w:basedOn w:val="21"/>
    <w:link w:val="16"/>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5"/>
    <w:qFormat/>
    <w:uiPriority w:val="99"/>
    <w:rPr>
      <w:rFonts w:ascii="Calibri" w:hAnsi="Calibri" w:eastAsia="宋体"/>
      <w:kern w:val="2"/>
      <w:sz w:val="18"/>
      <w:szCs w:val="18"/>
    </w:rPr>
  </w:style>
  <w:style w:type="character" w:customStyle="1" w:styleId="48">
    <w:name w:val="页脚 字符"/>
    <w:basedOn w:val="21"/>
    <w:link w:val="14"/>
    <w:qFormat/>
    <w:uiPriority w:val="99"/>
    <w:rPr>
      <w:rFonts w:ascii="Calibri" w:hAnsi="Calibri" w:eastAsia="宋体"/>
      <w:kern w:val="2"/>
      <w:sz w:val="18"/>
      <w:szCs w:val="18"/>
    </w:rPr>
  </w:style>
  <w:style w:type="character" w:customStyle="1" w:styleId="49">
    <w:name w:val="批注框文本 字符"/>
    <w:basedOn w:val="21"/>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3875</Words>
  <Characters>3980</Characters>
  <Lines>50</Lines>
  <Paragraphs>14</Paragraphs>
  <TotalTime>16</TotalTime>
  <ScaleCrop>false</ScaleCrop>
  <LinksUpToDate>false</LinksUpToDate>
  <CharactersWithSpaces>3987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2020-07-05T16:35:00Z</dcterms:created>
  <dc:creator>赵 恺（预算处）</dc:creator>
  <cp:lastModifiedBy>岁月无痕</cp:lastModifiedBy>
  <cp:lastPrinted>2020-01-01T16:02:00Z</cp:lastPrinted>
  <dcterms:modified xsi:type="dcterms:W3CDTF">2024-08-16T04:50:25Z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