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A5CF">
      <w:pPr>
        <w:spacing w:line="540" w:lineRule="exact"/>
        <w:jc w:val="center"/>
        <w:rPr>
          <w:rFonts w:hint="eastAsia" w:ascii="新宋体" w:hAnsi="新宋体" w:eastAsia="新宋体" w:cs="新宋体"/>
          <w:b/>
          <w:kern w:val="0"/>
          <w:sz w:val="28"/>
          <w:szCs w:val="28"/>
        </w:rPr>
      </w:pPr>
    </w:p>
    <w:p w14:paraId="029610D9">
      <w:pPr>
        <w:spacing w:line="540" w:lineRule="exact"/>
        <w:jc w:val="center"/>
        <w:rPr>
          <w:rFonts w:hint="eastAsia" w:ascii="新宋体" w:hAnsi="新宋体" w:eastAsia="新宋体" w:cs="新宋体"/>
          <w:b/>
          <w:kern w:val="0"/>
          <w:sz w:val="28"/>
          <w:szCs w:val="28"/>
        </w:rPr>
      </w:pPr>
    </w:p>
    <w:p w14:paraId="2735EDFB">
      <w:pPr>
        <w:spacing w:line="540" w:lineRule="exact"/>
        <w:jc w:val="center"/>
        <w:rPr>
          <w:rFonts w:hint="eastAsia" w:ascii="新宋体" w:hAnsi="新宋体" w:eastAsia="新宋体" w:cs="新宋体"/>
          <w:b/>
          <w:kern w:val="0"/>
          <w:sz w:val="28"/>
          <w:szCs w:val="28"/>
        </w:rPr>
      </w:pPr>
    </w:p>
    <w:p w14:paraId="1328E81E">
      <w:pPr>
        <w:spacing w:line="540" w:lineRule="exact"/>
        <w:jc w:val="center"/>
        <w:outlineLvl w:val="0"/>
        <w:rPr>
          <w:rFonts w:hint="eastAsia" w:ascii="新宋体" w:hAnsi="新宋体" w:eastAsia="新宋体" w:cs="新宋体"/>
          <w:b/>
          <w:kern w:val="0"/>
          <w:sz w:val="44"/>
          <w:szCs w:val="44"/>
        </w:rPr>
      </w:pPr>
      <w:bookmarkStart w:id="0" w:name="_Toc15826"/>
      <w:r>
        <w:rPr>
          <w:rFonts w:hint="eastAsia" w:ascii="方正小标宋简体" w:hAnsi="方正小标宋简体" w:eastAsia="方正小标宋简体" w:cs="方正小标宋简体"/>
          <w:b w:val="0"/>
          <w:bCs/>
          <w:kern w:val="0"/>
          <w:sz w:val="44"/>
          <w:szCs w:val="44"/>
        </w:rPr>
        <w:t>项</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目</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支</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出</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绩</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效</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lang w:eastAsia="zh-CN"/>
        </w:rPr>
        <w:t>评</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lang w:eastAsia="zh-CN"/>
        </w:rPr>
        <w:t>价</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报</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告</w:t>
      </w:r>
      <w:bookmarkEnd w:id="0"/>
    </w:p>
    <w:p w14:paraId="77C113BF">
      <w:pPr>
        <w:spacing w:line="540" w:lineRule="exact"/>
        <w:jc w:val="center"/>
        <w:rPr>
          <w:rFonts w:hint="eastAsia" w:ascii="新宋体" w:hAnsi="新宋体" w:eastAsia="新宋体" w:cs="新宋体"/>
          <w:b/>
          <w:kern w:val="0"/>
          <w:sz w:val="36"/>
          <w:szCs w:val="36"/>
        </w:rPr>
      </w:pPr>
    </w:p>
    <w:p w14:paraId="2CB753A5">
      <w:pPr>
        <w:spacing w:line="54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23</w:t>
      </w:r>
      <w:r>
        <w:rPr>
          <w:rFonts w:hint="eastAsia" w:ascii="仿宋_GB2312" w:hAnsi="仿宋_GB2312" w:eastAsia="仿宋_GB2312" w:cs="仿宋_GB2312"/>
          <w:kern w:val="0"/>
          <w:sz w:val="32"/>
          <w:szCs w:val="32"/>
        </w:rPr>
        <w:t>年度）</w:t>
      </w:r>
    </w:p>
    <w:p w14:paraId="008B0BBB">
      <w:pPr>
        <w:spacing w:line="540" w:lineRule="exact"/>
        <w:jc w:val="center"/>
        <w:rPr>
          <w:rFonts w:hint="eastAsia" w:ascii="仿宋_GB2312" w:hAnsi="仿宋_GB2312" w:eastAsia="仿宋_GB2312" w:cs="仿宋_GB2312"/>
          <w:kern w:val="0"/>
          <w:sz w:val="32"/>
          <w:szCs w:val="32"/>
        </w:rPr>
      </w:pPr>
    </w:p>
    <w:p w14:paraId="578A3494">
      <w:pPr>
        <w:tabs>
          <w:tab w:val="left" w:pos="6897"/>
        </w:tabs>
        <w:spacing w:line="540" w:lineRule="exact"/>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ab/>
      </w:r>
    </w:p>
    <w:p w14:paraId="0C8B702E">
      <w:pPr>
        <w:spacing w:line="540" w:lineRule="exact"/>
        <w:jc w:val="center"/>
        <w:rPr>
          <w:rFonts w:hint="eastAsia" w:ascii="仿宋_GB2312" w:hAnsi="仿宋_GB2312" w:eastAsia="仿宋_GB2312" w:cs="仿宋_GB2312"/>
          <w:kern w:val="0"/>
          <w:sz w:val="32"/>
          <w:szCs w:val="32"/>
        </w:rPr>
      </w:pPr>
    </w:p>
    <w:p w14:paraId="1B00719C">
      <w:pPr>
        <w:spacing w:line="540" w:lineRule="exact"/>
        <w:jc w:val="center"/>
        <w:rPr>
          <w:rFonts w:hint="eastAsia" w:ascii="仿宋_GB2312" w:hAnsi="仿宋_GB2312" w:eastAsia="仿宋_GB2312" w:cs="仿宋_GB2312"/>
          <w:kern w:val="0"/>
          <w:sz w:val="32"/>
          <w:szCs w:val="32"/>
        </w:rPr>
      </w:pPr>
    </w:p>
    <w:p w14:paraId="15D19B7B">
      <w:pPr>
        <w:spacing w:line="540" w:lineRule="exact"/>
        <w:jc w:val="center"/>
        <w:rPr>
          <w:rFonts w:hint="eastAsia" w:ascii="仿宋_GB2312" w:hAnsi="仿宋_GB2312" w:eastAsia="仿宋_GB2312" w:cs="仿宋_GB2312"/>
          <w:b/>
          <w:kern w:val="0"/>
          <w:sz w:val="32"/>
          <w:szCs w:val="32"/>
        </w:rPr>
      </w:pPr>
    </w:p>
    <w:p w14:paraId="6D208529">
      <w:pPr>
        <w:spacing w:line="540" w:lineRule="exact"/>
        <w:jc w:val="center"/>
        <w:rPr>
          <w:rFonts w:hint="eastAsia" w:ascii="仿宋_GB2312" w:hAnsi="仿宋_GB2312" w:eastAsia="仿宋_GB2312" w:cs="仿宋_GB2312"/>
          <w:kern w:val="0"/>
          <w:sz w:val="32"/>
          <w:szCs w:val="32"/>
        </w:rPr>
      </w:pPr>
    </w:p>
    <w:p w14:paraId="4FF9BD17">
      <w:pPr>
        <w:keepNext w:val="0"/>
        <w:keepLines w:val="0"/>
        <w:pageBreakBefore w:val="0"/>
        <w:widowControl w:val="0"/>
        <w:kinsoku/>
        <w:wordWrap/>
        <w:overflowPunct/>
        <w:topLinePunct w:val="0"/>
        <w:autoSpaceDE/>
        <w:autoSpaceDN/>
        <w:bidi w:val="0"/>
        <w:adjustRightInd/>
        <w:snapToGrid/>
        <w:spacing w:line="740" w:lineRule="exact"/>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val="en-US" w:eastAsia="zh-CN"/>
        </w:rPr>
        <w:t xml:space="preserve">  原新疆建材陶瓷厂55户平房拆迁</w:t>
      </w:r>
    </w:p>
    <w:p w14:paraId="56FAA7B7">
      <w:pPr>
        <w:keepNext w:val="0"/>
        <w:keepLines w:val="0"/>
        <w:pageBreakBefore w:val="0"/>
        <w:widowControl w:val="0"/>
        <w:kinsoku/>
        <w:wordWrap/>
        <w:overflowPunct/>
        <w:topLinePunct w:val="0"/>
        <w:autoSpaceDE/>
        <w:autoSpaceDN/>
        <w:bidi w:val="0"/>
        <w:adjustRightInd/>
        <w:snapToGrid/>
        <w:spacing w:line="740" w:lineRule="exact"/>
        <w:ind w:left="2880" w:hanging="2880" w:hangingChars="900"/>
        <w:jc w:val="both"/>
        <w:textAlignment w:val="auto"/>
        <w:rPr>
          <w:rFonts w:hint="eastAsia" w:ascii="仿宋_GB2312" w:hAnsi="仿宋_GB2312" w:eastAsia="仿宋_GB2312" w:cs="仿宋_GB2312"/>
          <w:kern w:val="0"/>
          <w:sz w:val="32"/>
          <w:szCs w:val="32"/>
          <w:highlight w:val="yellow"/>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spacing w:val="-34"/>
          <w:kern w:val="0"/>
          <w:sz w:val="32"/>
          <w:szCs w:val="32"/>
          <w:lang w:eastAsia="zh-CN"/>
        </w:rPr>
        <w:t>新</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疆</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维</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吾</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尔</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自</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治</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区</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工</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业</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和</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信</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息</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化</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厅</w:t>
      </w:r>
      <w:r>
        <w:rPr>
          <w:rFonts w:hint="eastAsia" w:ascii="仿宋_GB2312" w:hAnsi="仿宋_GB2312" w:eastAsia="仿宋_GB2312" w:cs="仿宋_GB2312"/>
          <w:spacing w:val="-34"/>
          <w:kern w:val="0"/>
          <w:sz w:val="32"/>
          <w:szCs w:val="32"/>
          <w:lang w:val="en-US" w:eastAsia="zh-CN"/>
        </w:rPr>
        <w:t xml:space="preserve"> 建 材 </w:t>
      </w:r>
      <w:r>
        <w:rPr>
          <w:rFonts w:hint="eastAsia" w:ascii="仿宋_GB2312" w:hAnsi="仿宋_GB2312" w:eastAsia="仿宋_GB2312" w:cs="仿宋_GB2312"/>
          <w:spacing w:val="-34"/>
          <w:kern w:val="0"/>
          <w:sz w:val="32"/>
          <w:szCs w:val="32"/>
          <w:lang w:eastAsia="zh-CN"/>
        </w:rPr>
        <w:t>处</w:t>
      </w:r>
    </w:p>
    <w:p w14:paraId="748B050A">
      <w:pPr>
        <w:keepNext w:val="0"/>
        <w:keepLines w:val="0"/>
        <w:pageBreakBefore w:val="0"/>
        <w:widowControl w:val="0"/>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spacing w:val="-34"/>
          <w:kern w:val="0"/>
          <w:sz w:val="32"/>
          <w:szCs w:val="32"/>
          <w:lang w:eastAsia="zh-CN"/>
        </w:rPr>
        <w:t>新</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疆</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维</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吾</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lang w:eastAsia="zh-CN"/>
        </w:rPr>
        <w:t>尔</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自</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治</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区</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工</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业</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和</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信</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息</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化</w:t>
      </w:r>
      <w:r>
        <w:rPr>
          <w:rFonts w:hint="eastAsia" w:ascii="仿宋_GB2312" w:hAnsi="仿宋_GB2312" w:eastAsia="仿宋_GB2312" w:cs="仿宋_GB2312"/>
          <w:spacing w:val="-34"/>
          <w:kern w:val="0"/>
          <w:sz w:val="32"/>
          <w:szCs w:val="32"/>
          <w:lang w:val="en-US" w:eastAsia="zh-CN"/>
        </w:rPr>
        <w:t xml:space="preserve"> </w:t>
      </w:r>
      <w:r>
        <w:rPr>
          <w:rFonts w:hint="eastAsia" w:ascii="仿宋_GB2312" w:hAnsi="仿宋_GB2312" w:eastAsia="仿宋_GB2312" w:cs="仿宋_GB2312"/>
          <w:spacing w:val="-34"/>
          <w:kern w:val="0"/>
          <w:sz w:val="32"/>
          <w:szCs w:val="32"/>
        </w:rPr>
        <w:t>厅</w:t>
      </w:r>
    </w:p>
    <w:p w14:paraId="395FE77C">
      <w:pPr>
        <w:keepNext w:val="0"/>
        <w:keepLines w:val="0"/>
        <w:pageBreakBefore w:val="0"/>
        <w:widowControl w:val="0"/>
        <w:tabs>
          <w:tab w:val="center" w:pos="3940"/>
        </w:tabs>
        <w:kinsoku/>
        <w:wordWrap/>
        <w:overflowPunct/>
        <w:topLinePunct w:val="0"/>
        <w:autoSpaceDE/>
        <w:autoSpaceDN/>
        <w:bidi w:val="0"/>
        <w:adjustRightInd/>
        <w:snapToGrid/>
        <w:spacing w:line="740" w:lineRule="exact"/>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高建华</w:t>
      </w:r>
    </w:p>
    <w:p w14:paraId="55EDA2D7">
      <w:pPr>
        <w:keepNext w:val="0"/>
        <w:keepLines w:val="0"/>
        <w:pageBreakBefore w:val="0"/>
        <w:widowControl w:val="0"/>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lang w:eastAsia="zh-CN"/>
        </w:rPr>
      </w:pPr>
    </w:p>
    <w:p w14:paraId="0876829C">
      <w:pPr>
        <w:keepNext w:val="0"/>
        <w:keepLines w:val="0"/>
        <w:pageBreakBefore w:val="0"/>
        <w:widowControl w:val="0"/>
        <w:kinsoku/>
        <w:wordWrap/>
        <w:overflowPunct/>
        <w:topLinePunct w:val="0"/>
        <w:autoSpaceDE/>
        <w:autoSpaceDN/>
        <w:bidi w:val="0"/>
        <w:adjustRightInd/>
        <w:snapToGrid/>
        <w:spacing w:line="74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填报</w:t>
      </w:r>
      <w:r>
        <w:rPr>
          <w:rFonts w:hint="eastAsia" w:ascii="仿宋_GB2312" w:hAnsi="仿宋_GB2312" w:eastAsia="仿宋_GB2312" w:cs="仿宋_GB2312"/>
          <w:kern w:val="0"/>
          <w:sz w:val="32"/>
          <w:szCs w:val="32"/>
        </w:rPr>
        <w:t>时间：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日</w:t>
      </w:r>
    </w:p>
    <w:p w14:paraId="1BEF31E7">
      <w:pPr>
        <w:keepNext w:val="0"/>
        <w:keepLines w:val="0"/>
        <w:pageBreakBefore w:val="0"/>
        <w:widowControl/>
        <w:kinsoku/>
        <w:wordWrap/>
        <w:overflowPunct/>
        <w:topLinePunct w:val="0"/>
        <w:autoSpaceDE/>
        <w:autoSpaceDN/>
        <w:bidi w:val="0"/>
        <w:adjustRightInd/>
        <w:snapToGrid/>
        <w:spacing w:line="620" w:lineRule="exact"/>
        <w:jc w:val="left"/>
        <w:textAlignment w:val="auto"/>
        <w:rPr>
          <w:rFonts w:hint="eastAsia" w:ascii="新宋体" w:hAnsi="新宋体" w:eastAsia="新宋体" w:cs="新宋体"/>
          <w:kern w:val="0"/>
          <w:sz w:val="28"/>
          <w:szCs w:val="28"/>
        </w:rPr>
      </w:pPr>
    </w:p>
    <w:p w14:paraId="5886259E">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新宋体" w:hAnsi="新宋体" w:eastAsia="新宋体" w:cs="新宋体"/>
          <w:sz w:val="28"/>
          <w:szCs w:val="28"/>
          <w:lang w:eastAsia="zh-CN"/>
        </w:rPr>
      </w:pPr>
    </w:p>
    <w:p w14:paraId="5EE4B54F">
      <w:pPr>
        <w:pStyle w:val="2"/>
        <w:rPr>
          <w:rFonts w:hint="eastAsia" w:ascii="新宋体" w:hAnsi="新宋体" w:eastAsia="新宋体" w:cs="新宋体"/>
          <w:lang w:eastAsia="zh-CN"/>
        </w:rPr>
      </w:pPr>
    </w:p>
    <w:p w14:paraId="54DEF2B4">
      <w:pPr>
        <w:pStyle w:val="9"/>
        <w:pageBreakBefore w:val="0"/>
        <w:widowControl/>
        <w:tabs>
          <w:tab w:val="right" w:leader="dot" w:pos="8834"/>
        </w:tabs>
        <w:kinsoku/>
        <w:wordWrap/>
        <w:overflowPunct/>
        <w:topLinePunct w:val="0"/>
        <w:autoSpaceDE/>
        <w:autoSpaceDN/>
        <w:bidi w:val="0"/>
        <w:adjustRightInd/>
        <w:snapToGrid/>
        <w:spacing w:line="520" w:lineRule="exact"/>
        <w:ind w:firstLine="3520" w:firstLineChars="1100"/>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目 录</w:t>
      </w:r>
    </w:p>
    <w:p w14:paraId="0651C593">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TOC \o "1-3" \h \z \u </w:instrText>
      </w:r>
      <w:r>
        <w:rPr>
          <w:rFonts w:hint="eastAsia" w:ascii="新宋体" w:hAnsi="新宋体" w:eastAsia="新宋体" w:cs="新宋体"/>
          <w:sz w:val="24"/>
          <w:szCs w:val="24"/>
        </w:rPr>
        <w:fldChar w:fldCharType="separate"/>
      </w: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"_Toc68702112"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一、基本情况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3</w:t>
      </w:r>
      <w:r>
        <w:rPr>
          <w:rFonts w:hint="eastAsia" w:ascii="新宋体" w:hAnsi="新宋体" w:eastAsia="新宋体" w:cs="新宋体"/>
          <w:sz w:val="24"/>
          <w:szCs w:val="24"/>
        </w:rPr>
        <w:fldChar w:fldCharType="end"/>
      </w:r>
    </w:p>
    <w:p w14:paraId="0DFE55D4">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"_Toc68702113"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（一）项目概况。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3</w:t>
      </w:r>
      <w:r>
        <w:rPr>
          <w:rFonts w:hint="eastAsia" w:ascii="新宋体" w:hAnsi="新宋体" w:eastAsia="新宋体" w:cs="新宋体"/>
          <w:sz w:val="24"/>
          <w:szCs w:val="24"/>
        </w:rPr>
        <w:fldChar w:fldCharType="end"/>
      </w:r>
    </w:p>
    <w:p w14:paraId="46D200FD">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"_Toc68702114"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（二）项目绩效目标。</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4</w:t>
      </w:r>
      <w:r>
        <w:rPr>
          <w:rFonts w:hint="eastAsia" w:ascii="新宋体" w:hAnsi="新宋体" w:eastAsia="新宋体" w:cs="新宋体"/>
          <w:sz w:val="24"/>
          <w:szCs w:val="24"/>
        </w:rPr>
        <w:fldChar w:fldCharType="end"/>
      </w:r>
    </w:p>
    <w:p w14:paraId="5AD3748C">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"_Toc68702115"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二、绩效评价工作开展情况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4</w:t>
      </w:r>
      <w:r>
        <w:rPr>
          <w:rFonts w:hint="eastAsia" w:ascii="新宋体" w:hAnsi="新宋体" w:eastAsia="新宋体" w:cs="新宋体"/>
          <w:sz w:val="24"/>
          <w:szCs w:val="24"/>
        </w:rPr>
        <w:fldChar w:fldCharType="end"/>
      </w:r>
    </w:p>
    <w:p w14:paraId="2B4012B4">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"_Toc68702116"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（一）绩效评价目的、对象和范围。</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5</w:t>
      </w:r>
      <w:r>
        <w:rPr>
          <w:rFonts w:hint="eastAsia" w:ascii="新宋体" w:hAnsi="新宋体" w:eastAsia="新宋体" w:cs="新宋体"/>
          <w:sz w:val="24"/>
          <w:szCs w:val="24"/>
        </w:rPr>
        <w:fldChar w:fldCharType="end"/>
      </w:r>
    </w:p>
    <w:p w14:paraId="6E6B493B">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"_Toc68702117"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（二）绩效评价原则、评价指标体系、评价方法、评价标准等。</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0</w:t>
      </w:r>
    </w:p>
    <w:p w14:paraId="42C3E037">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"_Toc68702118"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（三）绩效评价工作过程。</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0</w:t>
      </w:r>
    </w:p>
    <w:p w14:paraId="6F22E74D">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"_Toc68702119"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三、综合评价情况及评价结论</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1</w:t>
      </w:r>
    </w:p>
    <w:p w14:paraId="46E61B51">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"_Toc68702120"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（一）综合评价情况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1</w:t>
      </w:r>
    </w:p>
    <w:p w14:paraId="408C0F1B">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"_Toc68702121"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（二）评价结论</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2</w:t>
      </w:r>
    </w:p>
    <w:p w14:paraId="5F06CC18">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"_Toc68702122"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四、绩效评价指标分析</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2</w:t>
      </w:r>
    </w:p>
    <w:p w14:paraId="7E56AA23">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"_Toc68702123"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（一）项目决策情况。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2</w:t>
      </w:r>
    </w:p>
    <w:p w14:paraId="4BD18995">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"_Toc68702124"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（二）项目过程情况。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3</w:t>
      </w:r>
    </w:p>
    <w:p w14:paraId="70900EC2">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"_Toc68702125"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（三）项目产出情况。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3</w:t>
      </w:r>
    </w:p>
    <w:p w14:paraId="147154BA">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"_Toc68702126"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（四）项目效益情况。</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4</w:t>
      </w:r>
    </w:p>
    <w:p w14:paraId="178DC3E3">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"_Toc68702127"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五、主要经验及做法、存在的问题及原因分析</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4</w:t>
      </w:r>
    </w:p>
    <w:p w14:paraId="70CD17C0">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"_Toc68702128"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（一）主要经验及做法</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4</w:t>
      </w:r>
    </w:p>
    <w:p w14:paraId="23F1A2E1">
      <w:pPr>
        <w:pStyle w:val="10"/>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"_Toc68702129"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（二）存在的问题及原因分析</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5</w:t>
      </w:r>
    </w:p>
    <w:p w14:paraId="0504241E">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"_Toc68702130"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六、有关建议</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6</w:t>
      </w:r>
    </w:p>
    <w:p w14:paraId="7C0165E4">
      <w:pPr>
        <w:pStyle w:val="9"/>
        <w:pageBreakBefore w:val="0"/>
        <w:widowControl/>
        <w:tabs>
          <w:tab w:val="right" w:leader="dot" w:pos="8834"/>
        </w:tabs>
        <w:kinsoku/>
        <w:wordWrap/>
        <w:overflowPunct/>
        <w:topLinePunct w:val="0"/>
        <w:autoSpaceDE/>
        <w:autoSpaceDN/>
        <w:bidi w:val="0"/>
        <w:adjustRightInd/>
        <w:snapToGrid/>
        <w:spacing w:line="520" w:lineRule="exact"/>
        <w:textAlignment w:val="auto"/>
        <w:rPr>
          <w:rFonts w:hint="eastAsia" w:ascii="新宋体" w:hAnsi="新宋体" w:eastAsia="新宋体" w:cs="新宋体"/>
          <w:kern w:val="2"/>
          <w:sz w:val="24"/>
          <w:szCs w:val="24"/>
          <w:lang w:val="en-US" w:eastAsia="zh-CN"/>
        </w:rPr>
      </w:pPr>
      <w:r>
        <w:rPr>
          <w:rFonts w:hint="eastAsia" w:ascii="新宋体" w:hAnsi="新宋体" w:eastAsia="新宋体" w:cs="新宋体"/>
          <w:sz w:val="24"/>
          <w:szCs w:val="24"/>
        </w:rPr>
        <w:fldChar w:fldCharType="begin"/>
      </w:r>
      <w:r>
        <w:rPr>
          <w:rFonts w:hint="eastAsia" w:ascii="新宋体" w:hAnsi="新宋体" w:eastAsia="新宋体" w:cs="新宋体"/>
          <w:sz w:val="24"/>
          <w:szCs w:val="24"/>
        </w:rPr>
        <w:instrText xml:space="preserve"> HYPERLINK \l "_Toc68702131" </w:instrText>
      </w:r>
      <w:r>
        <w:rPr>
          <w:rFonts w:hint="eastAsia" w:ascii="新宋体" w:hAnsi="新宋体" w:eastAsia="新宋体" w:cs="新宋体"/>
          <w:sz w:val="24"/>
          <w:szCs w:val="24"/>
        </w:rPr>
        <w:fldChar w:fldCharType="separate"/>
      </w:r>
      <w:r>
        <w:rPr>
          <w:rStyle w:val="17"/>
          <w:rFonts w:hint="eastAsia" w:ascii="新宋体" w:hAnsi="新宋体" w:eastAsia="新宋体" w:cs="新宋体"/>
          <w:sz w:val="24"/>
          <w:szCs w:val="24"/>
        </w:rPr>
        <w:t>七、其他需要说明的问题</w:t>
      </w:r>
      <w:r>
        <w:rPr>
          <w:rFonts w:hint="eastAsia" w:ascii="新宋体" w:hAnsi="新宋体" w:eastAsia="新宋体" w:cs="新宋体"/>
          <w:sz w:val="24"/>
          <w:szCs w:val="24"/>
        </w:rPr>
        <w:tab/>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fldChar w:fldCharType="end"/>
      </w:r>
      <w:r>
        <w:rPr>
          <w:rFonts w:hint="eastAsia" w:ascii="新宋体" w:hAnsi="新宋体" w:eastAsia="新宋体" w:cs="新宋体"/>
          <w:sz w:val="24"/>
          <w:szCs w:val="24"/>
          <w:lang w:val="en-US" w:eastAsia="zh-CN"/>
        </w:rPr>
        <w:t>5</w:t>
      </w:r>
    </w:p>
    <w:p w14:paraId="65C7A4C9">
      <w:r>
        <w:rPr>
          <w:rFonts w:hint="eastAsia" w:ascii="新宋体" w:hAnsi="新宋体" w:eastAsia="新宋体" w:cs="新宋体"/>
          <w:b/>
          <w:bCs/>
          <w:sz w:val="24"/>
          <w:szCs w:val="24"/>
          <w:lang w:val="zh-CN"/>
        </w:rPr>
        <w:fldChar w:fldCharType="end"/>
      </w:r>
    </w:p>
    <w:p w14:paraId="2828EBFD">
      <w:pPr>
        <w:pStyle w:val="2"/>
        <w:rPr>
          <w:rFonts w:hint="eastAsia" w:ascii="新宋体" w:hAnsi="新宋体" w:eastAsia="新宋体" w:cs="新宋体"/>
          <w:sz w:val="24"/>
          <w:szCs w:val="24"/>
          <w:lang w:eastAsia="zh-CN"/>
        </w:rPr>
      </w:pPr>
    </w:p>
    <w:p w14:paraId="63336853">
      <w:pPr>
        <w:keepNext w:val="0"/>
        <w:keepLines w:val="0"/>
        <w:pageBreakBefore w:val="0"/>
        <w:kinsoku/>
        <w:wordWrap/>
        <w:overflowPunct/>
        <w:topLinePunct w:val="0"/>
        <w:autoSpaceDE/>
        <w:autoSpaceDN/>
        <w:bidi w:val="0"/>
        <w:adjustRightInd/>
        <w:snapToGrid/>
        <w:spacing w:line="600" w:lineRule="exact"/>
        <w:ind w:firstLine="880" w:firstLineChars="200"/>
        <w:jc w:val="both"/>
        <w:textAlignment w:val="auto"/>
        <w:rPr>
          <w:rFonts w:hint="eastAsia" w:ascii="方正小标宋简体" w:hAnsi="方正小标宋简体" w:eastAsia="方正小标宋简体" w:cs="方正小标宋简体"/>
          <w:b w:val="0"/>
          <w:bCs w:val="0"/>
          <w:kern w:val="0"/>
          <w:sz w:val="44"/>
          <w:szCs w:val="44"/>
          <w:lang w:val="en-US" w:eastAsia="zh-CN"/>
        </w:rPr>
      </w:pPr>
      <w:r>
        <w:rPr>
          <w:rFonts w:hint="eastAsia" w:ascii="方正小标宋简体" w:hAnsi="方正小标宋简体" w:eastAsia="方正小标宋简体" w:cs="方正小标宋简体"/>
          <w:b w:val="0"/>
          <w:bCs w:val="0"/>
          <w:kern w:val="0"/>
          <w:sz w:val="44"/>
          <w:szCs w:val="44"/>
          <w:lang w:val="en-US" w:eastAsia="zh-CN"/>
        </w:rPr>
        <w:t>原新疆建材陶瓷厂55户平房拆迁</w:t>
      </w:r>
    </w:p>
    <w:p w14:paraId="7C243E23">
      <w:pPr>
        <w:keepNext w:val="0"/>
        <w:keepLines w:val="0"/>
        <w:pageBreakBefore w:val="0"/>
        <w:kinsoku/>
        <w:wordWrap/>
        <w:overflowPunct/>
        <w:topLinePunct w:val="0"/>
        <w:autoSpaceDE/>
        <w:autoSpaceDN/>
        <w:bidi w:val="0"/>
        <w:adjustRightInd/>
        <w:snapToGrid/>
        <w:spacing w:after="0" w:line="600" w:lineRule="exact"/>
        <w:ind w:left="0" w:leftChars="0" w:right="0" w:rightChars="0" w:firstLine="640"/>
        <w:textAlignment w:val="auto"/>
        <w:outlineLvl w:val="0"/>
        <w:rPr>
          <w:rStyle w:val="16"/>
          <w:rFonts w:hint="eastAsia" w:ascii="黑体" w:hAnsi="黑体" w:eastAsia="黑体" w:cs="黑体"/>
          <w:b w:val="0"/>
          <w:spacing w:val="-4"/>
          <w:sz w:val="32"/>
          <w:szCs w:val="32"/>
          <w:lang w:eastAsia="zh-CN"/>
        </w:rPr>
      </w:pPr>
      <w:bookmarkStart w:id="1" w:name="_Toc7644"/>
      <w:r>
        <w:rPr>
          <w:rStyle w:val="16"/>
          <w:rFonts w:hint="eastAsia" w:ascii="黑体" w:hAnsi="黑体" w:eastAsia="黑体" w:cs="黑体"/>
          <w:b w:val="0"/>
          <w:spacing w:val="-4"/>
          <w:sz w:val="32"/>
          <w:szCs w:val="32"/>
          <w:lang w:eastAsia="zh-CN"/>
        </w:rPr>
        <w:t>一、基本情况</w:t>
      </w:r>
      <w:bookmarkEnd w:id="1"/>
    </w:p>
    <w:p w14:paraId="2A93C86D">
      <w:pPr>
        <w:keepNext w:val="0"/>
        <w:keepLines w:val="0"/>
        <w:pageBreakBefore w:val="0"/>
        <w:kinsoku/>
        <w:wordWrap/>
        <w:overflowPunct/>
        <w:topLinePunct w:val="0"/>
        <w:autoSpaceDE/>
        <w:autoSpaceDN/>
        <w:bidi w:val="0"/>
        <w:adjustRightInd/>
        <w:snapToGrid/>
        <w:spacing w:after="0" w:line="600" w:lineRule="exact"/>
        <w:ind w:left="0" w:leftChars="0" w:right="0" w:rightChars="0" w:firstLine="567" w:firstLineChars="181"/>
        <w:textAlignment w:val="auto"/>
        <w:rPr>
          <w:rStyle w:val="16"/>
          <w:rFonts w:hint="eastAsia" w:ascii="仿宋_GB2312" w:hAnsi="仿宋_GB2312" w:eastAsia="仿宋_GB2312" w:cs="仿宋_GB2312"/>
          <w:spacing w:val="-4"/>
          <w:sz w:val="32"/>
          <w:szCs w:val="32"/>
          <w:lang w:val="en-US" w:eastAsia="zh-CN"/>
        </w:rPr>
      </w:pPr>
      <w:r>
        <w:rPr>
          <w:rStyle w:val="16"/>
          <w:rFonts w:hint="eastAsia" w:ascii="仿宋_GB2312" w:hAnsi="仿宋_GB2312" w:eastAsia="仿宋_GB2312" w:cs="仿宋_GB2312"/>
          <w:spacing w:val="-4"/>
          <w:sz w:val="32"/>
          <w:szCs w:val="32"/>
          <w:lang w:eastAsia="zh-CN"/>
        </w:rPr>
        <w:t>（</w:t>
      </w:r>
      <w:r>
        <w:rPr>
          <w:rStyle w:val="16"/>
          <w:rFonts w:hint="eastAsia" w:ascii="仿宋_GB2312" w:hAnsi="仿宋_GB2312" w:eastAsia="仿宋_GB2312" w:cs="仿宋_GB2312"/>
          <w:spacing w:val="-4"/>
          <w:sz w:val="32"/>
          <w:szCs w:val="32"/>
        </w:rPr>
        <w:t>一</w:t>
      </w:r>
      <w:r>
        <w:rPr>
          <w:rStyle w:val="16"/>
          <w:rFonts w:hint="eastAsia" w:ascii="仿宋_GB2312" w:hAnsi="仿宋_GB2312" w:eastAsia="仿宋_GB2312" w:cs="仿宋_GB2312"/>
          <w:spacing w:val="-4"/>
          <w:sz w:val="32"/>
          <w:szCs w:val="32"/>
          <w:lang w:eastAsia="zh-CN"/>
        </w:rPr>
        <w:t>）</w:t>
      </w:r>
      <w:r>
        <w:rPr>
          <w:rStyle w:val="16"/>
          <w:rFonts w:hint="eastAsia" w:ascii="仿宋_GB2312" w:hAnsi="仿宋_GB2312" w:eastAsia="仿宋_GB2312" w:cs="仿宋_GB2312"/>
          <w:spacing w:val="-4"/>
          <w:sz w:val="32"/>
          <w:szCs w:val="32"/>
        </w:rPr>
        <w:t>项目概况</w:t>
      </w:r>
      <w:r>
        <w:rPr>
          <w:rStyle w:val="16"/>
          <w:rFonts w:hint="eastAsia" w:ascii="仿宋_GB2312" w:hAnsi="仿宋_GB2312" w:eastAsia="仿宋_GB2312" w:cs="仿宋_GB2312"/>
          <w:spacing w:val="-4"/>
          <w:sz w:val="32"/>
          <w:szCs w:val="32"/>
          <w:lang w:val="en-US" w:eastAsia="zh-CN"/>
        </w:rPr>
        <w:t>:</w:t>
      </w:r>
    </w:p>
    <w:p w14:paraId="0D44AFE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546" w:firstLineChars="200"/>
        <w:jc w:val="left"/>
        <w:textAlignment w:val="auto"/>
        <w:outlineLvl w:val="9"/>
        <w:rPr>
          <w:rFonts w:hint="eastAsia" w:ascii="仿宋_GB2312" w:hAnsi="仿宋_GB2312" w:eastAsia="仿宋_GB2312" w:cs="仿宋_GB2312"/>
          <w:kern w:val="10"/>
          <w:sz w:val="28"/>
          <w:szCs w:val="28"/>
        </w:rPr>
      </w:pPr>
      <w:bookmarkStart w:id="2" w:name="_Toc13198"/>
      <w:r>
        <w:rPr>
          <w:rStyle w:val="16"/>
          <w:rFonts w:hint="eastAsia" w:ascii="仿宋_GB2312" w:hAnsi="仿宋_GB2312" w:eastAsia="仿宋_GB2312" w:cs="仿宋_GB2312"/>
          <w:b/>
          <w:bCs w:val="0"/>
          <w:spacing w:val="-4"/>
          <w:sz w:val="28"/>
          <w:szCs w:val="28"/>
          <w:highlight w:val="none"/>
          <w:lang w:val="en-US" w:eastAsia="zh-CN"/>
        </w:rPr>
        <w:t>1.</w:t>
      </w:r>
      <w:r>
        <w:rPr>
          <w:rStyle w:val="16"/>
          <w:rFonts w:hint="eastAsia" w:ascii="仿宋_GB2312" w:hAnsi="仿宋_GB2312" w:eastAsia="仿宋_GB2312" w:cs="仿宋_GB2312"/>
          <w:b/>
          <w:bCs w:val="0"/>
          <w:spacing w:val="-4"/>
          <w:sz w:val="28"/>
          <w:szCs w:val="28"/>
          <w:highlight w:val="none"/>
          <w:lang w:eastAsia="zh-CN"/>
        </w:rPr>
        <w:t>项目背景：</w:t>
      </w:r>
      <w:r>
        <w:rPr>
          <w:rFonts w:hint="eastAsia" w:ascii="仿宋_GB2312" w:hAnsi="仿宋_GB2312" w:eastAsia="仿宋_GB2312" w:cs="仿宋_GB2312"/>
          <w:kern w:val="10"/>
          <w:sz w:val="28"/>
          <w:szCs w:val="28"/>
          <w:lang w:val="en-US" w:eastAsia="zh-CN"/>
        </w:rPr>
        <w:t>新疆新疆建材陶瓷厂于2005年9月26日经乌鲁木齐市中级人民法院宣告破产，2007年破产终结。根据当时遗留的部分平房押金没有发放，为体现党的温暖和关心，尽快拆迁，使职工</w:t>
      </w:r>
      <w:r>
        <w:rPr>
          <w:rFonts w:hint="eastAsia" w:ascii="仿宋_GB2312" w:hAnsi="仿宋_GB2312" w:eastAsia="仿宋_GB2312" w:cs="仿宋_GB2312"/>
          <w:kern w:val="10"/>
          <w:sz w:val="28"/>
          <w:szCs w:val="28"/>
        </w:rPr>
        <w:t>感受到党和政府的关怀，维护了社会大局稳定。</w:t>
      </w:r>
      <w:bookmarkEnd w:id="2"/>
    </w:p>
    <w:p w14:paraId="61CD7EDB">
      <w:pPr>
        <w:pStyle w:val="4"/>
        <w:pageBreakBefore w:val="0"/>
        <w:widowControl w:val="0"/>
        <w:kinsoku/>
        <w:wordWrap/>
        <w:overflowPunct/>
        <w:topLinePunct w:val="0"/>
        <w:autoSpaceDE/>
        <w:autoSpaceDN/>
        <w:bidi w:val="0"/>
        <w:adjustRightInd/>
        <w:snapToGrid/>
        <w:spacing w:line="600" w:lineRule="exact"/>
        <w:ind w:firstLine="819" w:firstLineChars="300"/>
        <w:jc w:val="left"/>
        <w:textAlignment w:val="auto"/>
        <w:rPr>
          <w:rFonts w:hint="eastAsia" w:ascii="仿宋_GB2312" w:hAnsi="仿宋_GB2312" w:eastAsia="仿宋_GB2312" w:cs="仿宋_GB2312"/>
          <w:b w:val="0"/>
          <w:bCs w:val="0"/>
          <w:sz w:val="28"/>
          <w:szCs w:val="28"/>
        </w:rPr>
      </w:pPr>
      <w:bookmarkStart w:id="3" w:name="_Toc11006"/>
      <w:r>
        <w:rPr>
          <w:rStyle w:val="16"/>
          <w:rFonts w:hint="eastAsia" w:ascii="仿宋_GB2312" w:hAnsi="仿宋_GB2312" w:eastAsia="仿宋_GB2312" w:cs="仿宋_GB2312"/>
          <w:b/>
          <w:bCs w:val="0"/>
          <w:spacing w:val="-4"/>
          <w:kern w:val="10"/>
          <w:sz w:val="28"/>
          <w:szCs w:val="28"/>
          <w:highlight w:val="none"/>
          <w:lang w:val="en-US" w:eastAsia="zh-CN"/>
        </w:rPr>
        <w:t>2.</w:t>
      </w:r>
      <w:r>
        <w:rPr>
          <w:rStyle w:val="16"/>
          <w:rFonts w:hint="eastAsia" w:ascii="仿宋_GB2312" w:hAnsi="仿宋_GB2312" w:eastAsia="仿宋_GB2312" w:cs="仿宋_GB2312"/>
          <w:b/>
          <w:bCs w:val="0"/>
          <w:spacing w:val="-4"/>
          <w:kern w:val="10"/>
          <w:sz w:val="28"/>
          <w:szCs w:val="28"/>
          <w:highlight w:val="none"/>
          <w:lang w:eastAsia="zh-CN"/>
        </w:rPr>
        <w:t>项目主要内容：</w:t>
      </w:r>
      <w:r>
        <w:rPr>
          <w:rFonts w:hint="eastAsia" w:ascii="仿宋_GB2312" w:hAnsi="仿宋_GB2312" w:eastAsia="仿宋_GB2312" w:cs="仿宋_GB2312"/>
          <w:kern w:val="10"/>
          <w:sz w:val="28"/>
          <w:szCs w:val="28"/>
        </w:rPr>
        <w:t>经</w:t>
      </w:r>
      <w:r>
        <w:rPr>
          <w:rFonts w:hint="eastAsia" w:ascii="仿宋_GB2312" w:hAnsi="仿宋_GB2312" w:eastAsia="仿宋_GB2312" w:cs="仿宋_GB2312"/>
          <w:kern w:val="10"/>
          <w:sz w:val="28"/>
          <w:szCs w:val="28"/>
          <w:lang w:eastAsia="zh-CN"/>
        </w:rPr>
        <w:t>过核查测算</w:t>
      </w:r>
      <w:r>
        <w:rPr>
          <w:rFonts w:hint="eastAsia" w:ascii="仿宋_GB2312" w:hAnsi="仿宋_GB2312" w:eastAsia="仿宋_GB2312" w:cs="仿宋_GB2312"/>
          <w:kern w:val="10"/>
          <w:sz w:val="28"/>
          <w:szCs w:val="28"/>
          <w:lang w:val="en-US" w:eastAsia="zh-CN"/>
        </w:rPr>
        <w:t>，原破产企业职工55户平房拆迁17</w:t>
      </w:r>
      <w:r>
        <w:rPr>
          <w:rFonts w:hint="eastAsia" w:ascii="仿宋_GB2312" w:hAnsi="仿宋_GB2312" w:eastAsia="仿宋_GB2312" w:cs="仿宋_GB2312"/>
          <w:kern w:val="10"/>
          <w:sz w:val="28"/>
          <w:szCs w:val="28"/>
          <w:lang w:val="en-US" w:eastAsia="zh"/>
        </w:rPr>
        <w:t>.</w:t>
      </w:r>
      <w:r>
        <w:rPr>
          <w:rFonts w:hint="eastAsia" w:ascii="仿宋_GB2312" w:hAnsi="仿宋_GB2312" w:eastAsia="仿宋_GB2312" w:cs="仿宋_GB2312"/>
          <w:kern w:val="10"/>
          <w:sz w:val="28"/>
          <w:szCs w:val="28"/>
          <w:lang w:val="en-US" w:eastAsia="zh-CN"/>
        </w:rPr>
        <w:t>1万元。</w:t>
      </w:r>
      <w:bookmarkEnd w:id="3"/>
    </w:p>
    <w:p w14:paraId="709A2C94">
      <w:pPr>
        <w:pageBreakBefore w:val="0"/>
        <w:kinsoku/>
        <w:wordWrap/>
        <w:overflowPunct/>
        <w:topLinePunct w:val="0"/>
        <w:autoSpaceDE/>
        <w:autoSpaceDN/>
        <w:bidi w:val="0"/>
        <w:adjustRightInd/>
        <w:snapToGrid/>
        <w:spacing w:line="540" w:lineRule="exact"/>
        <w:ind w:firstLine="819" w:firstLineChars="300"/>
        <w:jc w:val="left"/>
        <w:textAlignment w:val="auto"/>
        <w:rPr>
          <w:rStyle w:val="16"/>
          <w:rFonts w:hint="eastAsia" w:ascii="仿宋_GB2312" w:hAnsi="仿宋_GB2312" w:eastAsia="仿宋_GB2312" w:cs="仿宋_GB2312"/>
          <w:b/>
          <w:bCs w:val="0"/>
          <w:spacing w:val="-4"/>
          <w:sz w:val="28"/>
          <w:szCs w:val="28"/>
          <w:highlight w:val="none"/>
          <w:lang w:val="en-US" w:eastAsia="zh-CN"/>
        </w:rPr>
      </w:pPr>
      <w:r>
        <w:rPr>
          <w:rStyle w:val="16"/>
          <w:rFonts w:hint="eastAsia" w:ascii="仿宋_GB2312" w:hAnsi="仿宋_GB2312" w:eastAsia="仿宋_GB2312" w:cs="仿宋_GB2312"/>
          <w:b/>
          <w:bCs w:val="0"/>
          <w:spacing w:val="-4"/>
          <w:sz w:val="28"/>
          <w:szCs w:val="28"/>
          <w:highlight w:val="none"/>
          <w:lang w:val="en-US" w:eastAsia="zh-CN"/>
        </w:rPr>
        <w:t>3.项目实施情况：</w:t>
      </w:r>
    </w:p>
    <w:p w14:paraId="02D24173">
      <w:pPr>
        <w:pageBreakBefore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val="0"/>
          <w:sz w:val="28"/>
          <w:szCs w:val="28"/>
          <w:lang w:val="en-US" w:eastAsia="zh-CN"/>
        </w:rPr>
        <w:t>原破产企业55户职工拆迁17</w:t>
      </w:r>
      <w:r>
        <w:rPr>
          <w:rFonts w:hint="eastAsia" w:ascii="仿宋_GB2312" w:hAnsi="仿宋_GB2312" w:eastAsia="仿宋_GB2312" w:cs="仿宋_GB2312"/>
          <w:b w:val="0"/>
          <w:bCs w:val="0"/>
          <w:sz w:val="28"/>
          <w:szCs w:val="28"/>
          <w:lang w:val="en-US" w:eastAsia="zh"/>
        </w:rPr>
        <w:t>.</w:t>
      </w:r>
      <w:r>
        <w:rPr>
          <w:rFonts w:hint="eastAsia" w:ascii="仿宋_GB2312" w:hAnsi="仿宋_GB2312" w:eastAsia="仿宋_GB2312" w:cs="仿宋_GB2312"/>
          <w:b w:val="0"/>
          <w:bCs w:val="0"/>
          <w:sz w:val="28"/>
          <w:szCs w:val="28"/>
          <w:lang w:val="en-US" w:eastAsia="zh-CN"/>
        </w:rPr>
        <w:t>1万元。确保原破产企业平房职工及时拆迁，指标完成率100%。让原破产企业职工切感受到党和政府的关怀，效果显著满意度100%。</w:t>
      </w:r>
    </w:p>
    <w:p w14:paraId="2FA6351A">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546" w:firstLineChars="200"/>
        <w:jc w:val="both"/>
        <w:textAlignment w:val="auto"/>
        <w:rPr>
          <w:rStyle w:val="16"/>
          <w:rFonts w:hint="eastAsia" w:ascii="仿宋_GB2312" w:hAnsi="仿宋_GB2312" w:eastAsia="仿宋_GB2312" w:cs="仿宋_GB2312"/>
          <w:b/>
          <w:bCs w:val="0"/>
          <w:spacing w:val="-4"/>
          <w:sz w:val="28"/>
          <w:szCs w:val="28"/>
          <w:highlight w:val="none"/>
          <w:lang w:eastAsia="zh-CN"/>
        </w:rPr>
      </w:pPr>
      <w:r>
        <w:rPr>
          <w:rStyle w:val="16"/>
          <w:rFonts w:hint="eastAsia" w:ascii="仿宋_GB2312" w:hAnsi="仿宋_GB2312" w:eastAsia="仿宋_GB2312" w:cs="仿宋_GB2312"/>
          <w:b/>
          <w:bCs w:val="0"/>
          <w:spacing w:val="-4"/>
          <w:sz w:val="28"/>
          <w:szCs w:val="28"/>
          <w:highlight w:val="none"/>
          <w:lang w:val="en-US" w:eastAsia="zh-CN"/>
        </w:rPr>
        <w:t>4.</w:t>
      </w:r>
      <w:r>
        <w:rPr>
          <w:rStyle w:val="16"/>
          <w:rFonts w:hint="eastAsia" w:ascii="仿宋_GB2312" w:hAnsi="仿宋_GB2312" w:eastAsia="仿宋_GB2312" w:cs="仿宋_GB2312"/>
          <w:b/>
          <w:bCs w:val="0"/>
          <w:spacing w:val="-4"/>
          <w:sz w:val="28"/>
          <w:szCs w:val="28"/>
          <w:highlight w:val="none"/>
          <w:lang w:eastAsia="zh-CN"/>
        </w:rPr>
        <w:t>资金投入和使用情况：</w:t>
      </w:r>
    </w:p>
    <w:p w14:paraId="4B4A808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rightChars="0" w:firstLine="560" w:firstLineChars="200"/>
        <w:jc w:val="both"/>
        <w:textAlignment w:val="auto"/>
        <w:rPr>
          <w:rFonts w:hint="eastAsia" w:ascii="仿宋_GB2312" w:hAnsi="仿宋_GB2312" w:eastAsia="仿宋_GB2312" w:cs="仿宋_GB2312"/>
          <w:sz w:val="28"/>
          <w:szCs w:val="28"/>
          <w:lang w:val="en-US" w:eastAsia="zh-CN"/>
        </w:rPr>
      </w:pPr>
      <w:r>
        <w:rPr>
          <w:rStyle w:val="16"/>
          <w:rFonts w:hint="eastAsia" w:ascii="仿宋_GB2312" w:hAnsi="仿宋_GB2312" w:eastAsia="仿宋_GB2312" w:cs="仿宋_GB2312"/>
          <w:b w:val="0"/>
          <w:bCs/>
          <w:i w:val="0"/>
          <w:caps w:val="0"/>
          <w:color w:val="030303"/>
          <w:spacing w:val="0"/>
          <w:sz w:val="28"/>
          <w:szCs w:val="28"/>
          <w:shd w:val="clear" w:color="auto" w:fill="FFFFFF"/>
          <w:lang w:val="en-US" w:eastAsia="zh-CN"/>
        </w:rPr>
        <w:t>资金</w:t>
      </w:r>
      <w:r>
        <w:rPr>
          <w:rStyle w:val="16"/>
          <w:rFonts w:hint="eastAsia" w:ascii="仿宋_GB2312" w:hAnsi="仿宋_GB2312" w:eastAsia="仿宋_GB2312" w:cs="仿宋_GB2312"/>
          <w:b w:val="0"/>
          <w:bCs w:val="0"/>
          <w:spacing w:val="-4"/>
          <w:sz w:val="28"/>
          <w:szCs w:val="28"/>
          <w:lang w:eastAsia="zh-CN"/>
        </w:rPr>
        <w:t>投入情况：该项目年初预算数</w:t>
      </w:r>
      <w:r>
        <w:rPr>
          <w:rStyle w:val="16"/>
          <w:rFonts w:hint="eastAsia" w:ascii="仿宋_GB2312" w:hAnsi="仿宋_GB2312" w:eastAsia="仿宋_GB2312" w:cs="仿宋_GB2312"/>
          <w:b w:val="0"/>
          <w:bCs w:val="0"/>
          <w:spacing w:val="-4"/>
          <w:sz w:val="28"/>
          <w:szCs w:val="28"/>
          <w:lang w:val="en-US" w:eastAsia="zh-CN"/>
        </w:rPr>
        <w:t>17</w:t>
      </w:r>
      <w:r>
        <w:rPr>
          <w:rStyle w:val="16"/>
          <w:rFonts w:hint="eastAsia" w:ascii="仿宋_GB2312" w:hAnsi="仿宋_GB2312" w:eastAsia="仿宋_GB2312" w:cs="仿宋_GB2312"/>
          <w:b w:val="0"/>
          <w:bCs w:val="0"/>
          <w:spacing w:val="-4"/>
          <w:sz w:val="28"/>
          <w:szCs w:val="28"/>
          <w:lang w:val="en-US" w:eastAsia="zh"/>
        </w:rPr>
        <w:t>.</w:t>
      </w:r>
      <w:r>
        <w:rPr>
          <w:rStyle w:val="16"/>
          <w:rFonts w:hint="eastAsia" w:ascii="仿宋_GB2312" w:hAnsi="仿宋_GB2312" w:eastAsia="仿宋_GB2312" w:cs="仿宋_GB2312"/>
          <w:b w:val="0"/>
          <w:bCs w:val="0"/>
          <w:spacing w:val="-4"/>
          <w:sz w:val="28"/>
          <w:szCs w:val="28"/>
          <w:lang w:val="en-US" w:eastAsia="zh-CN"/>
        </w:rPr>
        <w:t>1万元，</w:t>
      </w:r>
      <w:r>
        <w:rPr>
          <w:rStyle w:val="16"/>
          <w:rFonts w:hint="eastAsia" w:ascii="仿宋_GB2312" w:hAnsi="仿宋_GB2312" w:eastAsia="仿宋_GB2312" w:cs="仿宋_GB2312"/>
          <w:b w:val="0"/>
          <w:bCs w:val="0"/>
          <w:spacing w:val="-4"/>
          <w:sz w:val="28"/>
          <w:szCs w:val="28"/>
          <w:lang w:eastAsia="zh-CN"/>
        </w:rPr>
        <w:t>全年预算数</w:t>
      </w:r>
      <w:r>
        <w:rPr>
          <w:rStyle w:val="16"/>
          <w:rFonts w:hint="eastAsia" w:ascii="仿宋_GB2312" w:hAnsi="仿宋_GB2312" w:eastAsia="仿宋_GB2312" w:cs="仿宋_GB2312"/>
          <w:b w:val="0"/>
          <w:bCs w:val="0"/>
          <w:i w:val="0"/>
          <w:caps w:val="0"/>
          <w:color w:val="030303"/>
          <w:spacing w:val="0"/>
          <w:sz w:val="28"/>
          <w:szCs w:val="28"/>
          <w:shd w:val="clear" w:color="auto" w:fill="FFFFFF"/>
          <w:lang w:val="en-US" w:eastAsia="zh-CN"/>
        </w:rPr>
        <w:t>17</w:t>
      </w:r>
      <w:r>
        <w:rPr>
          <w:rStyle w:val="16"/>
          <w:rFonts w:hint="eastAsia" w:ascii="仿宋_GB2312" w:hAnsi="仿宋_GB2312" w:eastAsia="仿宋_GB2312" w:cs="仿宋_GB2312"/>
          <w:b w:val="0"/>
          <w:bCs w:val="0"/>
          <w:i w:val="0"/>
          <w:caps w:val="0"/>
          <w:color w:val="030303"/>
          <w:spacing w:val="0"/>
          <w:sz w:val="28"/>
          <w:szCs w:val="28"/>
          <w:shd w:val="clear" w:color="auto" w:fill="FFFFFF"/>
          <w:lang w:val="en-US" w:eastAsia="zh"/>
        </w:rPr>
        <w:t>.</w:t>
      </w:r>
      <w:r>
        <w:rPr>
          <w:rStyle w:val="16"/>
          <w:rFonts w:hint="eastAsia" w:ascii="仿宋_GB2312" w:hAnsi="仿宋_GB2312" w:eastAsia="仿宋_GB2312" w:cs="仿宋_GB2312"/>
          <w:b w:val="0"/>
          <w:bCs w:val="0"/>
          <w:i w:val="0"/>
          <w:caps w:val="0"/>
          <w:color w:val="030303"/>
          <w:spacing w:val="0"/>
          <w:sz w:val="28"/>
          <w:szCs w:val="28"/>
          <w:shd w:val="clear" w:color="auto" w:fill="FFFFFF"/>
          <w:lang w:val="en-US" w:eastAsia="zh-CN"/>
        </w:rPr>
        <w:t>1</w:t>
      </w:r>
      <w:r>
        <w:rPr>
          <w:rStyle w:val="16"/>
          <w:rFonts w:hint="eastAsia" w:ascii="仿宋_GB2312" w:hAnsi="仿宋_GB2312" w:eastAsia="仿宋_GB2312" w:cs="仿宋_GB2312"/>
          <w:b w:val="0"/>
          <w:bCs w:val="0"/>
          <w:spacing w:val="-4"/>
          <w:sz w:val="28"/>
          <w:szCs w:val="28"/>
          <w:lang w:eastAsia="zh-CN"/>
        </w:rPr>
        <w:t>万元，实际总投入</w:t>
      </w:r>
      <w:r>
        <w:rPr>
          <w:rStyle w:val="16"/>
          <w:rFonts w:hint="eastAsia" w:ascii="仿宋_GB2312" w:hAnsi="仿宋_GB2312" w:eastAsia="仿宋_GB2312" w:cs="仿宋_GB2312"/>
          <w:b w:val="0"/>
          <w:bCs w:val="0"/>
          <w:spacing w:val="-4"/>
          <w:sz w:val="28"/>
          <w:szCs w:val="28"/>
          <w:lang w:val="en-US" w:eastAsia="zh-CN"/>
        </w:rPr>
        <w:t>13</w:t>
      </w:r>
      <w:r>
        <w:rPr>
          <w:rStyle w:val="16"/>
          <w:rFonts w:hint="eastAsia" w:ascii="仿宋_GB2312" w:hAnsi="仿宋_GB2312" w:eastAsia="仿宋_GB2312" w:cs="仿宋_GB2312"/>
          <w:b w:val="0"/>
          <w:bCs w:val="0"/>
          <w:spacing w:val="-4"/>
          <w:sz w:val="28"/>
          <w:szCs w:val="28"/>
          <w:lang w:val="en-US" w:eastAsia="zh"/>
        </w:rPr>
        <w:t>.0</w:t>
      </w:r>
      <w:r>
        <w:rPr>
          <w:rStyle w:val="16"/>
          <w:rFonts w:hint="eastAsia" w:ascii="仿宋_GB2312" w:hAnsi="仿宋_GB2312" w:eastAsia="仿宋_GB2312" w:cs="仿宋_GB2312"/>
          <w:b w:val="0"/>
          <w:bCs w:val="0"/>
          <w:spacing w:val="-4"/>
          <w:sz w:val="28"/>
          <w:szCs w:val="28"/>
          <w:lang w:val="en-US" w:eastAsia="zh-CN"/>
        </w:rPr>
        <w:t>814</w:t>
      </w:r>
      <w:r>
        <w:rPr>
          <w:rStyle w:val="16"/>
          <w:rFonts w:hint="eastAsia" w:ascii="仿宋_GB2312" w:hAnsi="仿宋_GB2312" w:eastAsia="仿宋_GB2312" w:cs="仿宋_GB2312"/>
          <w:b w:val="0"/>
          <w:bCs w:val="0"/>
          <w:spacing w:val="-4"/>
          <w:sz w:val="28"/>
          <w:szCs w:val="28"/>
          <w:lang w:eastAsia="zh-CN"/>
        </w:rPr>
        <w:t>万元，资金来源为</w:t>
      </w:r>
      <w:r>
        <w:rPr>
          <w:rStyle w:val="16"/>
          <w:rFonts w:hint="eastAsia" w:ascii="仿宋_GB2312" w:hAnsi="仿宋_GB2312" w:eastAsia="仿宋_GB2312" w:cs="仿宋_GB2312"/>
          <w:b w:val="0"/>
          <w:bCs w:val="0"/>
          <w:spacing w:val="-4"/>
          <w:sz w:val="28"/>
          <w:szCs w:val="28"/>
          <w:lang w:val="en-US" w:eastAsia="zh-CN"/>
        </w:rPr>
        <w:t>破产企业遗留问题账户其他结余资金（非财政资金）</w:t>
      </w:r>
      <w:r>
        <w:rPr>
          <w:rStyle w:val="16"/>
          <w:rFonts w:hint="eastAsia" w:ascii="仿宋_GB2312" w:hAnsi="仿宋_GB2312" w:eastAsia="仿宋_GB2312" w:cs="仿宋_GB2312"/>
          <w:b w:val="0"/>
          <w:bCs w:val="0"/>
          <w:spacing w:val="-4"/>
          <w:sz w:val="28"/>
          <w:szCs w:val="28"/>
          <w:lang w:eastAsia="zh-CN"/>
        </w:rPr>
        <w:t>。</w:t>
      </w:r>
      <w:r>
        <w:rPr>
          <w:rFonts w:hint="eastAsia" w:ascii="仿宋_GB2312" w:hAnsi="仿宋_GB2312" w:eastAsia="仿宋_GB2312" w:cs="仿宋_GB2312"/>
          <w:b w:val="0"/>
          <w:bCs w:val="0"/>
          <w:sz w:val="28"/>
          <w:szCs w:val="28"/>
          <w:lang w:val="en-US" w:eastAsia="zh-CN"/>
        </w:rPr>
        <w:t>原新疆建材陶瓷厂需向55户，计55人发放17</w:t>
      </w:r>
      <w:r>
        <w:rPr>
          <w:rFonts w:hint="eastAsia" w:ascii="仿宋_GB2312" w:hAnsi="仿宋_GB2312" w:eastAsia="仿宋_GB2312" w:cs="仿宋_GB2312"/>
          <w:b w:val="0"/>
          <w:bCs w:val="0"/>
          <w:sz w:val="28"/>
          <w:szCs w:val="28"/>
          <w:lang w:val="en-US" w:eastAsia="zh"/>
        </w:rPr>
        <w:t>.</w:t>
      </w:r>
      <w:r>
        <w:rPr>
          <w:rFonts w:hint="eastAsia" w:ascii="仿宋_GB2312" w:hAnsi="仿宋_GB2312" w:eastAsia="仿宋_GB2312" w:cs="仿宋_GB2312"/>
          <w:b w:val="0"/>
          <w:bCs w:val="0"/>
          <w:sz w:val="28"/>
          <w:szCs w:val="28"/>
          <w:lang w:val="en-US" w:eastAsia="zh-CN"/>
        </w:rPr>
        <w:t>1万元房屋拆迁款。</w:t>
      </w:r>
    </w:p>
    <w:p w14:paraId="2A3CA0CA">
      <w:pPr>
        <w:keepNext w:val="0"/>
        <w:keepLines w:val="0"/>
        <w:pageBreakBefore w:val="0"/>
        <w:numPr>
          <w:ilvl w:val="0"/>
          <w:numId w:val="1"/>
        </w:numPr>
        <w:kinsoku/>
        <w:wordWrap/>
        <w:overflowPunct/>
        <w:topLinePunct w:val="0"/>
        <w:autoSpaceDE/>
        <w:autoSpaceDN/>
        <w:bidi w:val="0"/>
        <w:adjustRightInd/>
        <w:snapToGrid/>
        <w:spacing w:after="0" w:line="600" w:lineRule="exact"/>
        <w:ind w:right="0" w:rightChars="0" w:firstLine="313" w:firstLineChars="100"/>
        <w:textAlignment w:val="auto"/>
        <w:outlineLvl w:val="9"/>
        <w:rPr>
          <w:rStyle w:val="16"/>
          <w:rFonts w:hint="eastAsia" w:ascii="仿宋_GB2312" w:hAnsi="仿宋_GB2312" w:eastAsia="仿宋_GB2312" w:cs="仿宋_GB2312"/>
          <w:b/>
          <w:bCs/>
          <w:spacing w:val="-4"/>
          <w:sz w:val="32"/>
          <w:szCs w:val="32"/>
          <w:lang w:eastAsia="zh-CN"/>
        </w:rPr>
      </w:pPr>
      <w:r>
        <w:rPr>
          <w:rStyle w:val="16"/>
          <w:rFonts w:hint="eastAsia" w:ascii="仿宋_GB2312" w:hAnsi="仿宋_GB2312" w:eastAsia="仿宋_GB2312" w:cs="仿宋_GB2312"/>
          <w:b/>
          <w:bCs/>
          <w:spacing w:val="-4"/>
          <w:sz w:val="32"/>
          <w:szCs w:val="32"/>
        </w:rPr>
        <w:t>项目</w:t>
      </w:r>
      <w:r>
        <w:rPr>
          <w:rStyle w:val="16"/>
          <w:rFonts w:hint="eastAsia" w:ascii="仿宋_GB2312" w:hAnsi="仿宋_GB2312" w:eastAsia="仿宋_GB2312" w:cs="仿宋_GB2312"/>
          <w:b/>
          <w:bCs/>
          <w:spacing w:val="-4"/>
          <w:sz w:val="32"/>
          <w:szCs w:val="32"/>
          <w:lang w:eastAsia="zh-CN"/>
        </w:rPr>
        <w:t>绩效目标</w:t>
      </w:r>
    </w:p>
    <w:p w14:paraId="4A6B3349">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1.总</w:t>
      </w:r>
      <w:r>
        <w:rPr>
          <w:rFonts w:hint="eastAsia" w:ascii="仿宋_GB2312" w:hAnsi="仿宋_GB2312" w:eastAsia="仿宋_GB2312" w:cs="仿宋_GB2312"/>
          <w:sz w:val="28"/>
          <w:szCs w:val="28"/>
          <w:lang w:val="en-US" w:eastAsia="zh-CN"/>
        </w:rPr>
        <w:t>体</w:t>
      </w:r>
      <w:r>
        <w:rPr>
          <w:rFonts w:hint="eastAsia" w:ascii="仿宋_GB2312" w:hAnsi="仿宋_GB2312" w:eastAsia="仿宋_GB2312" w:cs="仿宋_GB2312"/>
          <w:sz w:val="28"/>
          <w:szCs w:val="28"/>
        </w:rPr>
        <w:t>目标</w:t>
      </w:r>
    </w:p>
    <w:p w14:paraId="6D37D5D1">
      <w:pPr>
        <w:spacing w:line="600" w:lineRule="exact"/>
        <w:ind w:firstLine="280" w:firstLineChars="100"/>
        <w:jc w:val="left"/>
        <w:outlineLvl w:val="0"/>
        <w:rPr>
          <w:rFonts w:hint="eastAsia" w:ascii="仿宋_GB2312" w:hAnsi="仿宋_GB2312" w:eastAsia="仿宋_GB2312" w:cs="仿宋_GB2312"/>
          <w:sz w:val="28"/>
          <w:szCs w:val="28"/>
        </w:rPr>
      </w:pPr>
      <w:bookmarkStart w:id="4" w:name="_Toc19783"/>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lang w:val="en-US" w:eastAsia="zh-CN"/>
        </w:rPr>
        <w:t>1</w:t>
      </w:r>
      <w:r>
        <w:rPr>
          <w:rFonts w:hint="eastAsia" w:ascii="仿宋_GB2312" w:hAnsi="仿宋_GB2312" w:eastAsia="仿宋_GB2312" w:cs="仿宋_GB2312"/>
          <w:i w:val="0"/>
          <w:caps w:val="0"/>
          <w:color w:val="030303"/>
          <w:spacing w:val="0"/>
          <w:sz w:val="28"/>
          <w:szCs w:val="28"/>
          <w:shd w:val="clear" w:color="auto" w:fill="FFFFFF"/>
          <w:lang w:eastAsia="zh-CN"/>
        </w:rPr>
        <w:t>）</w:t>
      </w:r>
      <w:r>
        <w:rPr>
          <w:rStyle w:val="16"/>
          <w:rFonts w:hint="eastAsia" w:ascii="仿宋_GB2312" w:hAnsi="仿宋_GB2312" w:eastAsia="仿宋_GB2312" w:cs="仿宋_GB2312"/>
          <w:b w:val="0"/>
          <w:bCs/>
          <w:spacing w:val="-4"/>
          <w:sz w:val="28"/>
          <w:szCs w:val="28"/>
          <w:lang w:val="en-US" w:eastAsia="zh-CN"/>
        </w:rPr>
        <w:t>认真贯彻落实好党和政府给予破产企业退休职工遗留问题相关政策，做好</w:t>
      </w:r>
      <w:r>
        <w:rPr>
          <w:rFonts w:hint="eastAsia" w:ascii="仿宋_GB2312" w:hAnsi="仿宋_GB2312" w:eastAsia="仿宋_GB2312" w:cs="仿宋_GB2312"/>
          <w:sz w:val="28"/>
          <w:szCs w:val="28"/>
        </w:rPr>
        <w:t>破产企业退休</w:t>
      </w:r>
      <w:r>
        <w:rPr>
          <w:rFonts w:hint="eastAsia" w:ascii="仿宋_GB2312" w:hAnsi="仿宋_GB2312" w:eastAsia="仿宋_GB2312" w:cs="仿宋_GB2312"/>
          <w:sz w:val="28"/>
          <w:szCs w:val="28"/>
          <w:lang w:eastAsia="zh-CN"/>
        </w:rPr>
        <w:t>职工房屋押金退还工作，让</w:t>
      </w:r>
      <w:r>
        <w:rPr>
          <w:rFonts w:hint="eastAsia" w:ascii="仿宋_GB2312" w:hAnsi="仿宋_GB2312" w:eastAsia="仿宋_GB2312" w:cs="仿宋_GB2312"/>
          <w:sz w:val="28"/>
          <w:szCs w:val="28"/>
        </w:rPr>
        <w:t>破产企业退休职工感受到党和政府的关怀，使他们能安度晚年，维护了社会大局稳定。</w:t>
      </w:r>
      <w:bookmarkEnd w:id="4"/>
    </w:p>
    <w:p w14:paraId="4BAB9C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280" w:firstLineChars="1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rPr>
        <w:t>2</w:t>
      </w:r>
      <w:r>
        <w:rPr>
          <w:rFonts w:hint="eastAsia" w:ascii="仿宋_GB2312" w:hAnsi="仿宋_GB2312" w:eastAsia="仿宋_GB2312" w:cs="仿宋_GB2312"/>
          <w:i w:val="0"/>
          <w:caps w:val="0"/>
          <w:color w:val="030303"/>
          <w:spacing w:val="0"/>
          <w:sz w:val="28"/>
          <w:szCs w:val="28"/>
          <w:shd w:val="clear" w:color="auto" w:fill="FFFFFF"/>
          <w:lang w:eastAsia="zh-CN"/>
        </w:rPr>
        <w:t>）</w:t>
      </w:r>
      <w:r>
        <w:rPr>
          <w:rFonts w:hint="eastAsia" w:ascii="仿宋_GB2312" w:hAnsi="仿宋_GB2312" w:eastAsia="仿宋_GB2312" w:cs="仿宋_GB2312"/>
          <w:i w:val="0"/>
          <w:caps w:val="0"/>
          <w:color w:val="030303"/>
          <w:spacing w:val="0"/>
          <w:sz w:val="28"/>
          <w:szCs w:val="28"/>
          <w:shd w:val="clear" w:color="auto" w:fill="FFFFFF"/>
        </w:rPr>
        <w:t>建立健全对</w:t>
      </w:r>
      <w:r>
        <w:rPr>
          <w:rFonts w:hint="eastAsia" w:ascii="仿宋_GB2312" w:hAnsi="仿宋_GB2312" w:eastAsia="仿宋_GB2312" w:cs="仿宋_GB2312"/>
          <w:i w:val="0"/>
          <w:caps w:val="0"/>
          <w:color w:val="030303"/>
          <w:spacing w:val="0"/>
          <w:sz w:val="28"/>
          <w:szCs w:val="28"/>
          <w:shd w:val="clear" w:color="auto" w:fill="FFFFFF"/>
          <w:lang w:eastAsia="zh-CN"/>
        </w:rPr>
        <w:t>原自治区区属国有</w:t>
      </w:r>
      <w:r>
        <w:rPr>
          <w:rStyle w:val="16"/>
          <w:rFonts w:hint="eastAsia" w:ascii="仿宋_GB2312" w:hAnsi="仿宋_GB2312" w:eastAsia="仿宋_GB2312" w:cs="仿宋_GB2312"/>
          <w:b w:val="0"/>
          <w:bCs/>
          <w:spacing w:val="-4"/>
          <w:sz w:val="28"/>
          <w:szCs w:val="28"/>
          <w:lang w:val="en-US" w:eastAsia="zh-CN"/>
        </w:rPr>
        <w:t>破产遗留问题</w:t>
      </w:r>
      <w:r>
        <w:rPr>
          <w:rFonts w:hint="eastAsia" w:ascii="仿宋_GB2312" w:hAnsi="仿宋_GB2312" w:eastAsia="仿宋_GB2312" w:cs="仿宋_GB2312"/>
          <w:i w:val="0"/>
          <w:caps w:val="0"/>
          <w:color w:val="030303"/>
          <w:spacing w:val="0"/>
          <w:sz w:val="28"/>
          <w:szCs w:val="28"/>
          <w:shd w:val="clear" w:color="auto" w:fill="FFFFFF"/>
        </w:rPr>
        <w:t>管理、监督机制，提高规范化管理水平和服务质量。</w:t>
      </w:r>
    </w:p>
    <w:p w14:paraId="5D0E11EB">
      <w:pPr>
        <w:keepNext w:val="0"/>
        <w:keepLines w:val="0"/>
        <w:pageBreakBefore w:val="0"/>
        <w:kinsoku/>
        <w:wordWrap/>
        <w:overflowPunct/>
        <w:topLinePunct w:val="0"/>
        <w:autoSpaceDE/>
        <w:autoSpaceDN/>
        <w:bidi w:val="0"/>
        <w:adjustRightInd/>
        <w:snapToGrid/>
        <w:spacing w:after="0" w:line="600" w:lineRule="exact"/>
        <w:ind w:right="0" w:rightChars="0"/>
        <w:textAlignment w:val="auto"/>
        <w:outlineLvl w:val="0"/>
        <w:rPr>
          <w:rStyle w:val="16"/>
          <w:rFonts w:hint="eastAsia" w:ascii="仿宋_GB2312" w:hAnsi="仿宋_GB2312" w:eastAsia="仿宋_GB2312" w:cs="仿宋_GB2312"/>
          <w:b w:val="0"/>
          <w:spacing w:val="-4"/>
          <w:sz w:val="32"/>
          <w:szCs w:val="32"/>
          <w:lang w:eastAsia="zh-CN"/>
        </w:rPr>
      </w:pPr>
      <w:bookmarkStart w:id="5" w:name="_Toc30217"/>
      <w:r>
        <w:rPr>
          <w:rStyle w:val="16"/>
          <w:rFonts w:hint="eastAsia" w:ascii="仿宋_GB2312" w:hAnsi="仿宋_GB2312" w:eastAsia="仿宋_GB2312" w:cs="仿宋_GB2312"/>
          <w:b w:val="0"/>
          <w:spacing w:val="-4"/>
          <w:sz w:val="32"/>
          <w:szCs w:val="32"/>
          <w:lang w:eastAsia="zh-CN"/>
        </w:rPr>
        <w:t>二、绩效评价工作开展情况</w:t>
      </w:r>
      <w:bookmarkEnd w:id="5"/>
    </w:p>
    <w:p w14:paraId="1A1E8B22">
      <w:pPr>
        <w:keepNext w:val="0"/>
        <w:keepLines w:val="0"/>
        <w:pageBreakBefore w:val="0"/>
        <w:widowControl/>
        <w:kinsoku/>
        <w:wordWrap/>
        <w:overflowPunct/>
        <w:topLinePunct w:val="0"/>
        <w:autoSpaceDE/>
        <w:autoSpaceDN/>
        <w:bidi w:val="0"/>
        <w:adjustRightInd/>
        <w:snapToGrid/>
        <w:spacing w:after="0" w:line="600" w:lineRule="exact"/>
        <w:ind w:right="0" w:rightChars="0"/>
        <w:jc w:val="left"/>
        <w:textAlignment w:val="auto"/>
        <w:outlineLvl w:val="9"/>
        <w:rPr>
          <w:rStyle w:val="16"/>
          <w:rFonts w:hint="eastAsia" w:ascii="仿宋_GB2312" w:hAnsi="仿宋_GB2312" w:eastAsia="仿宋_GB2312" w:cs="仿宋_GB2312"/>
          <w:b/>
          <w:bCs w:val="0"/>
          <w:spacing w:val="-4"/>
          <w:sz w:val="28"/>
          <w:szCs w:val="28"/>
          <w:lang w:val="en-US" w:eastAsia="zh-CN"/>
        </w:rPr>
      </w:pPr>
      <w:r>
        <w:rPr>
          <w:rStyle w:val="16"/>
          <w:rFonts w:hint="eastAsia" w:ascii="仿宋_GB2312" w:hAnsi="仿宋_GB2312" w:eastAsia="仿宋_GB2312" w:cs="仿宋_GB2312"/>
          <w:b w:val="0"/>
          <w:bCs/>
          <w:spacing w:val="-4"/>
          <w:sz w:val="28"/>
          <w:szCs w:val="28"/>
        </w:rPr>
        <w:t>（一）绩效评价目的</w:t>
      </w:r>
      <w:r>
        <w:rPr>
          <w:rStyle w:val="16"/>
          <w:rFonts w:hint="eastAsia" w:ascii="仿宋_GB2312" w:hAnsi="仿宋_GB2312" w:eastAsia="仿宋_GB2312" w:cs="仿宋_GB2312"/>
          <w:b w:val="0"/>
          <w:bCs/>
          <w:spacing w:val="-4"/>
          <w:sz w:val="28"/>
          <w:szCs w:val="28"/>
          <w:lang w:eastAsia="zh-CN"/>
        </w:rPr>
        <w:t>、对象和范围</w:t>
      </w:r>
      <w:r>
        <w:rPr>
          <w:rStyle w:val="16"/>
          <w:rFonts w:hint="eastAsia" w:ascii="仿宋_GB2312" w:hAnsi="仿宋_GB2312" w:eastAsia="仿宋_GB2312" w:cs="仿宋_GB2312"/>
          <w:b w:val="0"/>
          <w:bCs/>
          <w:spacing w:val="-4"/>
          <w:sz w:val="28"/>
          <w:szCs w:val="28"/>
        </w:rPr>
        <w:t>。</w:t>
      </w:r>
    </w:p>
    <w:p w14:paraId="523C322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46" w:firstLineChars="200"/>
        <w:jc w:val="both"/>
        <w:textAlignment w:val="auto"/>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bCs w:val="0"/>
          <w:spacing w:val="-4"/>
          <w:sz w:val="28"/>
          <w:szCs w:val="28"/>
          <w:lang w:eastAsia="zh-CN"/>
        </w:rPr>
        <w:t>绩效评价目的：</w:t>
      </w:r>
      <w:r>
        <w:rPr>
          <w:rFonts w:hint="eastAsia" w:ascii="仿宋_GB2312" w:hAnsi="仿宋_GB2312" w:eastAsia="仿宋_GB2312" w:cs="仿宋_GB2312"/>
          <w:b w:val="0"/>
          <w:bCs w:val="0"/>
          <w:sz w:val="28"/>
          <w:szCs w:val="28"/>
          <w:lang w:val="en-US" w:eastAsia="zh-CN"/>
        </w:rPr>
        <w:t>本次评价目的是客观反映破产企业原新疆陶瓷厂房屋押金</w:t>
      </w:r>
      <w:r>
        <w:rPr>
          <w:rStyle w:val="16"/>
          <w:rFonts w:hint="eastAsia" w:ascii="仿宋_GB2312" w:hAnsi="仿宋_GB2312" w:eastAsia="仿宋_GB2312" w:cs="仿宋_GB2312"/>
          <w:b w:val="0"/>
          <w:bCs/>
          <w:spacing w:val="-4"/>
          <w:sz w:val="28"/>
          <w:szCs w:val="28"/>
          <w:lang w:val="en-US" w:eastAsia="zh-CN"/>
        </w:rPr>
        <w:t>资金</w:t>
      </w:r>
      <w:r>
        <w:rPr>
          <w:rStyle w:val="16"/>
          <w:rFonts w:hint="eastAsia" w:ascii="仿宋_GB2312" w:hAnsi="仿宋_GB2312" w:eastAsia="仿宋_GB2312" w:cs="仿宋_GB2312"/>
          <w:b w:val="0"/>
          <w:bCs/>
          <w:spacing w:val="-4"/>
          <w:sz w:val="28"/>
          <w:szCs w:val="28"/>
          <w:lang w:eastAsia="zh-CN"/>
        </w:rPr>
        <w:t>项目的</w:t>
      </w:r>
      <w:r>
        <w:rPr>
          <w:rStyle w:val="16"/>
          <w:rFonts w:hint="eastAsia" w:ascii="仿宋_GB2312" w:hAnsi="仿宋_GB2312" w:eastAsia="仿宋_GB2312" w:cs="仿宋_GB2312"/>
          <w:b w:val="0"/>
          <w:bCs/>
          <w:spacing w:val="-4"/>
          <w:sz w:val="28"/>
          <w:szCs w:val="28"/>
          <w:lang w:val="en-US" w:eastAsia="zh-CN"/>
        </w:rPr>
        <w:t>管理情况、项目完成情况、职工满意度、取得的成绩，进而分析在政策制定、预算资金安排、</w:t>
      </w:r>
      <w:r>
        <w:rPr>
          <w:rStyle w:val="16"/>
          <w:rFonts w:hint="eastAsia" w:ascii="仿宋_GB2312" w:hAnsi="仿宋_GB2312" w:eastAsia="仿宋_GB2312" w:cs="仿宋_GB2312"/>
          <w:b w:val="0"/>
          <w:bCs/>
          <w:spacing w:val="-4"/>
          <w:sz w:val="28"/>
          <w:szCs w:val="28"/>
          <w:lang w:eastAsia="zh-CN"/>
        </w:rPr>
        <w:t>项目</w:t>
      </w:r>
      <w:r>
        <w:rPr>
          <w:rStyle w:val="16"/>
          <w:rFonts w:hint="eastAsia" w:ascii="仿宋_GB2312" w:hAnsi="仿宋_GB2312" w:eastAsia="仿宋_GB2312" w:cs="仿宋_GB2312"/>
          <w:b w:val="0"/>
          <w:bCs/>
          <w:spacing w:val="-4"/>
          <w:sz w:val="28"/>
          <w:szCs w:val="28"/>
          <w:lang w:val="en-US" w:eastAsia="zh-CN"/>
        </w:rPr>
        <w:t>管理等方面</w:t>
      </w:r>
      <w:r>
        <w:rPr>
          <w:rFonts w:hint="eastAsia" w:ascii="仿宋_GB2312" w:hAnsi="仿宋_GB2312" w:eastAsia="仿宋_GB2312" w:cs="仿宋_GB2312"/>
          <w:b w:val="0"/>
          <w:bCs w:val="0"/>
          <w:sz w:val="28"/>
          <w:szCs w:val="28"/>
          <w:lang w:val="en-US" w:eastAsia="zh-CN"/>
        </w:rPr>
        <w:t>存在的问题并提出针对性建议。</w:t>
      </w:r>
    </w:p>
    <w:p w14:paraId="4C917978">
      <w:pPr>
        <w:keepNext w:val="0"/>
        <w:keepLines w:val="0"/>
        <w:pageBreakBefore w:val="0"/>
        <w:widowControl w:val="0"/>
        <w:kinsoku/>
        <w:wordWrap/>
        <w:overflowPunct/>
        <w:topLinePunct w:val="0"/>
        <w:autoSpaceDE/>
        <w:autoSpaceDN/>
        <w:bidi w:val="0"/>
        <w:adjustRightInd/>
        <w:snapToGrid/>
        <w:spacing w:line="480" w:lineRule="auto"/>
        <w:ind w:firstLine="273" w:firstLineChars="100"/>
        <w:jc w:val="both"/>
        <w:textAlignment w:val="auto"/>
        <w:rPr>
          <w:rFonts w:hint="eastAsia" w:ascii="仿宋_GB2312" w:hAnsi="仿宋_GB2312" w:eastAsia="仿宋_GB2312" w:cs="仿宋_GB2312"/>
          <w:kern w:val="0"/>
          <w:sz w:val="28"/>
          <w:szCs w:val="28"/>
          <w:lang w:val="en-US" w:eastAsia="zh-CN"/>
        </w:rPr>
      </w:pPr>
      <w:r>
        <w:rPr>
          <w:rStyle w:val="16"/>
          <w:rFonts w:hint="eastAsia" w:ascii="仿宋_GB2312" w:hAnsi="仿宋_GB2312" w:eastAsia="仿宋_GB2312" w:cs="仿宋_GB2312"/>
          <w:b/>
          <w:bCs w:val="0"/>
          <w:spacing w:val="-4"/>
          <w:sz w:val="28"/>
          <w:szCs w:val="28"/>
          <w:lang w:eastAsia="zh-CN"/>
        </w:rPr>
        <w:t>绩效评价对象：</w:t>
      </w:r>
      <w:r>
        <w:rPr>
          <w:rFonts w:hint="eastAsia" w:ascii="仿宋_GB2312" w:hAnsi="仿宋_GB2312" w:eastAsia="仿宋_GB2312" w:cs="仿宋_GB2312"/>
          <w:kern w:val="0"/>
          <w:sz w:val="28"/>
          <w:szCs w:val="28"/>
          <w:lang w:val="en-US" w:eastAsia="zh-CN"/>
        </w:rPr>
        <w:t>原破产企业职工平房拆除补助</w:t>
      </w:r>
    </w:p>
    <w:p w14:paraId="065B427B">
      <w:pPr>
        <w:keepNext w:val="0"/>
        <w:keepLines w:val="0"/>
        <w:pageBreakBefore w:val="0"/>
        <w:widowControl w:val="0"/>
        <w:kinsoku/>
        <w:wordWrap/>
        <w:overflowPunct/>
        <w:topLinePunct w:val="0"/>
        <w:autoSpaceDE/>
        <w:autoSpaceDN/>
        <w:bidi w:val="0"/>
        <w:adjustRightInd/>
        <w:snapToGrid/>
        <w:spacing w:line="480" w:lineRule="auto"/>
        <w:ind w:firstLine="273" w:firstLineChars="100"/>
        <w:jc w:val="both"/>
        <w:textAlignment w:val="auto"/>
        <w:rPr>
          <w:rFonts w:hint="eastAsia" w:ascii="仿宋_GB2312" w:hAnsi="仿宋_GB2312" w:eastAsia="仿宋_GB2312" w:cs="仿宋_GB2312"/>
          <w:i w:val="0"/>
          <w:caps w:val="0"/>
          <w:color w:val="030303"/>
          <w:spacing w:val="0"/>
          <w:sz w:val="28"/>
          <w:szCs w:val="28"/>
          <w:shd w:val="clear" w:color="auto" w:fill="FFFFFF"/>
          <w:lang w:eastAsia="zh-CN"/>
        </w:rPr>
      </w:pPr>
      <w:r>
        <w:rPr>
          <w:rStyle w:val="16"/>
          <w:rFonts w:hint="eastAsia" w:ascii="仿宋_GB2312" w:hAnsi="仿宋_GB2312" w:eastAsia="仿宋_GB2312" w:cs="仿宋_GB2312"/>
          <w:b/>
          <w:bCs w:val="0"/>
          <w:spacing w:val="-4"/>
          <w:sz w:val="28"/>
          <w:szCs w:val="28"/>
          <w:lang w:eastAsia="zh-CN"/>
        </w:rPr>
        <w:t>绩效评价范围：</w:t>
      </w:r>
      <w:r>
        <w:rPr>
          <w:rStyle w:val="16"/>
          <w:rFonts w:hint="eastAsia" w:ascii="仿宋_GB2312" w:hAnsi="仿宋_GB2312" w:eastAsia="仿宋_GB2312" w:cs="仿宋_GB2312"/>
          <w:b w:val="0"/>
          <w:bCs/>
          <w:spacing w:val="-4"/>
          <w:sz w:val="28"/>
          <w:szCs w:val="28"/>
          <w:lang w:eastAsia="zh-CN"/>
        </w:rPr>
        <w:t>《</w:t>
      </w:r>
      <w:r>
        <w:rPr>
          <w:rFonts w:hint="eastAsia" w:ascii="仿宋_GB2312" w:hAnsi="仿宋_GB2312" w:eastAsia="仿宋_GB2312" w:cs="仿宋_GB2312"/>
          <w:kern w:val="0"/>
          <w:sz w:val="28"/>
          <w:szCs w:val="28"/>
          <w:lang w:val="en-US" w:eastAsia="zh-CN"/>
        </w:rPr>
        <w:t>原新疆陶瓷厂55户破产企业职工平房拆迁拆》</w:t>
      </w:r>
      <w:r>
        <w:rPr>
          <w:rFonts w:hint="eastAsia" w:ascii="仿宋_GB2312" w:hAnsi="仿宋_GB2312" w:eastAsia="仿宋_GB2312" w:cs="仿宋_GB2312"/>
          <w:i w:val="0"/>
          <w:caps w:val="0"/>
          <w:color w:val="030303"/>
          <w:spacing w:val="0"/>
          <w:sz w:val="28"/>
          <w:szCs w:val="28"/>
          <w:shd w:val="clear" w:color="auto" w:fill="FFFFFF"/>
          <w:lang w:eastAsia="zh-CN"/>
        </w:rPr>
        <w:t>项目决策（包括绩效目标、决策过程）、项目管理（包括项目资金、项目实施）、项目产出（包括项目产出数量、产出质量、产出时效和产出成本）项目效益四个维度进行评价，评价核心为专项资金的支出完成情况和效果。</w:t>
      </w:r>
    </w:p>
    <w:p w14:paraId="2382F1A3">
      <w:pPr>
        <w:keepNext w:val="0"/>
        <w:keepLines w:val="0"/>
        <w:pageBreakBefore w:val="0"/>
        <w:widowControl/>
        <w:numPr>
          <w:ilvl w:val="0"/>
          <w:numId w:val="1"/>
        </w:numPr>
        <w:kinsoku/>
        <w:wordWrap/>
        <w:overflowPunct/>
        <w:topLinePunct w:val="0"/>
        <w:autoSpaceDE/>
        <w:autoSpaceDN/>
        <w:bidi w:val="0"/>
        <w:adjustRightInd/>
        <w:snapToGrid/>
        <w:spacing w:after="0" w:line="600" w:lineRule="exact"/>
        <w:ind w:left="0" w:leftChars="0" w:right="0" w:rightChars="0" w:firstLine="272" w:firstLineChars="100"/>
        <w:jc w:val="left"/>
        <w:textAlignment w:val="auto"/>
        <w:outlineLvl w:val="9"/>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val="0"/>
          <w:bCs/>
          <w:spacing w:val="-4"/>
          <w:sz w:val="28"/>
          <w:szCs w:val="28"/>
        </w:rPr>
        <w:t>绩效评价原则、评价指标体系、评价方法。</w:t>
      </w:r>
    </w:p>
    <w:p w14:paraId="7446805B">
      <w:pPr>
        <w:keepNext w:val="0"/>
        <w:keepLines w:val="0"/>
        <w:pageBreakBefore w:val="0"/>
        <w:numPr>
          <w:ilvl w:val="0"/>
          <w:numId w:val="0"/>
        </w:numPr>
        <w:kinsoku/>
        <w:wordWrap/>
        <w:overflowPunct/>
        <w:topLinePunct w:val="0"/>
        <w:autoSpaceDE/>
        <w:autoSpaceDN/>
        <w:bidi w:val="0"/>
        <w:adjustRightInd/>
        <w:snapToGrid/>
        <w:spacing w:line="540" w:lineRule="exact"/>
        <w:ind w:firstLine="546" w:firstLineChars="200"/>
        <w:jc w:val="both"/>
        <w:textAlignment w:val="auto"/>
        <w:rPr>
          <w:rStyle w:val="16"/>
          <w:rFonts w:hint="eastAsia" w:ascii="仿宋_GB2312" w:hAnsi="仿宋_GB2312" w:eastAsia="仿宋_GB2312" w:cs="仿宋_GB2312"/>
          <w:b/>
          <w:bCs w:val="0"/>
          <w:spacing w:val="-4"/>
          <w:sz w:val="28"/>
          <w:szCs w:val="28"/>
        </w:rPr>
      </w:pPr>
      <w:r>
        <w:rPr>
          <w:rStyle w:val="16"/>
          <w:rFonts w:hint="eastAsia" w:ascii="仿宋_GB2312" w:hAnsi="仿宋_GB2312" w:eastAsia="仿宋_GB2312" w:cs="仿宋_GB2312"/>
          <w:b/>
          <w:bCs w:val="0"/>
          <w:spacing w:val="-4"/>
          <w:sz w:val="28"/>
          <w:szCs w:val="28"/>
          <w:lang w:val="en-US" w:eastAsia="zh-CN"/>
        </w:rPr>
        <w:t>1、</w:t>
      </w:r>
      <w:r>
        <w:rPr>
          <w:rStyle w:val="16"/>
          <w:rFonts w:hint="eastAsia" w:ascii="仿宋_GB2312" w:hAnsi="仿宋_GB2312" w:eastAsia="仿宋_GB2312" w:cs="仿宋_GB2312"/>
          <w:b/>
          <w:bCs w:val="0"/>
          <w:spacing w:val="-4"/>
          <w:sz w:val="28"/>
          <w:szCs w:val="28"/>
        </w:rPr>
        <w:t>绩效评价原则</w:t>
      </w:r>
    </w:p>
    <w:p w14:paraId="581FAC23">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（一）科学公正。绩效评价应当运用科学合理的方法，按照规范的程序，对项目绩效进行客观、公正的反映。</w:t>
      </w:r>
    </w:p>
    <w:p w14:paraId="3C2975FC">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2A1627D9">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（三）激励约束。绩效评价结果应与预算安排、政策调整、改进管理实质性挂钩，体现奖优罚劣和激励相容导向，有效要安排、低效要压减、无效要问责。</w:t>
      </w:r>
    </w:p>
    <w:p w14:paraId="1933A8D7">
      <w:pPr>
        <w:keepNext w:val="0"/>
        <w:keepLines w:val="0"/>
        <w:pageBreakBefore w:val="0"/>
        <w:kinsoku/>
        <w:wordWrap/>
        <w:overflowPunct/>
        <w:topLinePunct w:val="0"/>
        <w:autoSpaceDE/>
        <w:autoSpaceDN/>
        <w:bidi w:val="0"/>
        <w:adjustRightInd/>
        <w:snapToGrid/>
        <w:spacing w:after="0" w:line="540" w:lineRule="exact"/>
        <w:ind w:left="0" w:leftChars="0" w:right="0" w:rightChars="0" w:firstLine="640"/>
        <w:textAlignment w:val="auto"/>
        <w:outlineLvl w:val="9"/>
        <w:rPr>
          <w:rFonts w:hint="eastAsia" w:ascii="仿宋_GB2312" w:hAnsi="仿宋_GB2312" w:eastAsia="仿宋_GB2312" w:cs="仿宋_GB2312"/>
          <w:i w:val="0"/>
          <w:caps w:val="0"/>
          <w:color w:val="030303"/>
          <w:spacing w:val="0"/>
          <w:sz w:val="28"/>
          <w:szCs w:val="28"/>
          <w:shd w:val="clear" w:color="auto" w:fill="FFFFFF"/>
          <w:lang w:val="en-US" w:eastAsia="zh-CN"/>
        </w:rPr>
      </w:pPr>
      <w:r>
        <w:rPr>
          <w:rFonts w:hint="eastAsia" w:ascii="仿宋_GB2312" w:hAnsi="仿宋_GB2312" w:eastAsia="仿宋_GB2312" w:cs="仿宋_GB2312"/>
          <w:i w:val="0"/>
          <w:caps w:val="0"/>
          <w:color w:val="030303"/>
          <w:spacing w:val="0"/>
          <w:sz w:val="28"/>
          <w:szCs w:val="28"/>
          <w:shd w:val="clear" w:color="auto" w:fill="FFFFFF"/>
          <w:lang w:val="en-US" w:eastAsia="zh-CN"/>
        </w:rPr>
        <w:t>（四）公开透明。绩效评价结果应依法依规公开，并自觉接受社会监督。</w:t>
      </w:r>
    </w:p>
    <w:p w14:paraId="2BAE1349">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7" w:firstLineChars="200"/>
        <w:jc w:val="left"/>
        <w:textAlignment w:val="auto"/>
        <w:outlineLvl w:val="9"/>
        <w:rPr>
          <w:rStyle w:val="16"/>
          <w:rFonts w:hint="eastAsia" w:ascii="仿宋_GB2312" w:hAnsi="仿宋_GB2312" w:eastAsia="仿宋_GB2312" w:cs="仿宋_GB2312"/>
          <w:b/>
          <w:bCs w:val="0"/>
          <w:spacing w:val="-4"/>
          <w:sz w:val="32"/>
          <w:szCs w:val="32"/>
          <w:lang w:eastAsia="zh-CN"/>
        </w:rPr>
      </w:pPr>
      <w:r>
        <w:rPr>
          <w:rStyle w:val="16"/>
          <w:rFonts w:hint="eastAsia" w:ascii="仿宋_GB2312" w:hAnsi="仿宋_GB2312" w:eastAsia="仿宋_GB2312" w:cs="仿宋_GB2312"/>
          <w:b/>
          <w:bCs w:val="0"/>
          <w:spacing w:val="-4"/>
          <w:sz w:val="32"/>
          <w:szCs w:val="32"/>
          <w:lang w:val="en-US" w:eastAsia="zh-CN"/>
        </w:rPr>
        <w:t>2、</w:t>
      </w:r>
      <w:r>
        <w:rPr>
          <w:rStyle w:val="16"/>
          <w:rFonts w:hint="eastAsia" w:ascii="仿宋_GB2312" w:hAnsi="仿宋_GB2312" w:eastAsia="仿宋_GB2312" w:cs="仿宋_GB2312"/>
          <w:b/>
          <w:bCs w:val="0"/>
          <w:spacing w:val="-4"/>
          <w:sz w:val="32"/>
          <w:szCs w:val="32"/>
        </w:rPr>
        <w:t>评价指标体系（附表说明）</w:t>
      </w:r>
    </w:p>
    <w:p w14:paraId="0BFB16E1">
      <w:pPr>
        <w:keepNext w:val="0"/>
        <w:keepLines w:val="0"/>
        <w:pageBreakBefore w:val="0"/>
        <w:kinsoku/>
        <w:wordWrap/>
        <w:overflowPunct/>
        <w:topLinePunct w:val="0"/>
        <w:autoSpaceDE/>
        <w:autoSpaceDN/>
        <w:bidi w:val="0"/>
        <w:adjustRightInd/>
        <w:spacing w:line="560" w:lineRule="exact"/>
        <w:ind w:firstLine="640"/>
        <w:rPr>
          <w:rStyle w:val="16"/>
          <w:rFonts w:hint="eastAsia" w:ascii="仿宋_GB2312" w:hAnsi="仿宋_GB2312" w:eastAsia="仿宋_GB2312" w:cs="仿宋_GB2312"/>
          <w:b/>
          <w:bCs w:val="0"/>
          <w:spacing w:val="-4"/>
          <w:sz w:val="32"/>
          <w:szCs w:val="32"/>
        </w:rPr>
        <w:sectPr>
          <w:footerReference r:id="rId5" w:type="default"/>
          <w:pgSz w:w="11906" w:h="16838"/>
          <w:pgMar w:top="1587" w:right="1984" w:bottom="1361" w:left="2041"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070AB0B4">
      <w:pPr>
        <w:ind w:firstLine="5060" w:firstLineChars="18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项目支出绩效评价指标体系框架</w:t>
      </w:r>
    </w:p>
    <w:p w14:paraId="3AED087B">
      <w:pPr>
        <w:pStyle w:val="5"/>
        <w:spacing w:before="0" w:after="0" w:line="240" w:lineRule="auto"/>
        <w:jc w:val="center"/>
        <w:outlineLvl w:val="9"/>
        <w:rPr>
          <w:rFonts w:hint="eastAsia" w:ascii="新宋体" w:hAnsi="新宋体" w:eastAsia="新宋体" w:cs="新宋体"/>
          <w:bCs w:val="0"/>
          <w:color w:val="000000"/>
        </w:rPr>
      </w:pP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07"/>
        <w:gridCol w:w="1013"/>
        <w:gridCol w:w="1112"/>
        <w:gridCol w:w="2850"/>
        <w:gridCol w:w="4743"/>
        <w:gridCol w:w="699"/>
        <w:gridCol w:w="699"/>
      </w:tblGrid>
      <w:tr w14:paraId="3AF58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207" w:type="dxa"/>
            <w:shd w:val="clear" w:color="auto" w:fill="FFFFFF"/>
            <w:noWrap w:val="0"/>
            <w:vAlign w:val="center"/>
          </w:tcPr>
          <w:p w14:paraId="1AA84AA9">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一级指标</w:t>
            </w:r>
          </w:p>
        </w:tc>
        <w:tc>
          <w:tcPr>
            <w:tcW w:w="1013" w:type="dxa"/>
            <w:shd w:val="clear" w:color="auto" w:fill="FFFFFF"/>
            <w:noWrap w:val="0"/>
            <w:vAlign w:val="center"/>
          </w:tcPr>
          <w:p w14:paraId="17391DAD">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二级指标</w:t>
            </w:r>
          </w:p>
        </w:tc>
        <w:tc>
          <w:tcPr>
            <w:tcW w:w="1112" w:type="dxa"/>
            <w:shd w:val="clear" w:color="auto" w:fill="FFFFFF"/>
            <w:noWrap w:val="0"/>
            <w:vAlign w:val="center"/>
          </w:tcPr>
          <w:p w14:paraId="44AF64BC">
            <w:pPr>
              <w:rPr>
                <w:rFonts w:hint="eastAsia" w:ascii="黑体" w:hAnsi="黑体" w:eastAsia="黑体" w:cs="黑体"/>
              </w:rPr>
            </w:pPr>
            <w:r>
              <w:rPr>
                <w:rFonts w:hint="eastAsia" w:ascii="黑体" w:hAnsi="黑体" w:eastAsia="黑体" w:cs="黑体"/>
              </w:rPr>
              <w:t>三级指标</w:t>
            </w:r>
          </w:p>
        </w:tc>
        <w:tc>
          <w:tcPr>
            <w:tcW w:w="2850" w:type="dxa"/>
            <w:shd w:val="clear" w:color="auto" w:fill="FFFFFF"/>
            <w:noWrap w:val="0"/>
            <w:vAlign w:val="center"/>
          </w:tcPr>
          <w:p w14:paraId="1E221B79">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指标解释</w:t>
            </w:r>
          </w:p>
        </w:tc>
        <w:tc>
          <w:tcPr>
            <w:tcW w:w="4743" w:type="dxa"/>
            <w:shd w:val="clear" w:color="auto" w:fill="FFFFFF"/>
            <w:noWrap w:val="0"/>
            <w:vAlign w:val="center"/>
          </w:tcPr>
          <w:p w14:paraId="74EFA15F">
            <w:pPr>
              <w:widowControl/>
              <w:spacing w:line="0" w:lineRule="atLeast"/>
              <w:jc w:val="center"/>
              <w:rPr>
                <w:rFonts w:hint="eastAsia" w:ascii="黑体" w:hAnsi="黑体" w:eastAsia="黑体" w:cs="黑体"/>
                <w:b/>
                <w:bCs/>
                <w:color w:val="000000"/>
                <w:kern w:val="0"/>
                <w:sz w:val="21"/>
                <w:szCs w:val="21"/>
              </w:rPr>
            </w:pPr>
            <w:r>
              <w:rPr>
                <w:rFonts w:hint="eastAsia" w:ascii="黑体" w:hAnsi="黑体" w:eastAsia="黑体" w:cs="黑体"/>
                <w:b/>
                <w:bCs/>
                <w:color w:val="000000"/>
                <w:kern w:val="0"/>
                <w:sz w:val="21"/>
                <w:szCs w:val="21"/>
              </w:rPr>
              <w:t>指标说明</w:t>
            </w:r>
          </w:p>
        </w:tc>
        <w:tc>
          <w:tcPr>
            <w:tcW w:w="699" w:type="dxa"/>
            <w:shd w:val="clear" w:color="auto" w:fill="FFFFFF"/>
            <w:noWrap w:val="0"/>
            <w:vAlign w:val="center"/>
          </w:tcPr>
          <w:p w14:paraId="1FD7C7F2">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权重</w:t>
            </w:r>
          </w:p>
        </w:tc>
        <w:tc>
          <w:tcPr>
            <w:tcW w:w="699" w:type="dxa"/>
            <w:shd w:val="clear" w:color="auto" w:fill="FFFFFF"/>
            <w:noWrap w:val="0"/>
            <w:vAlign w:val="center"/>
          </w:tcPr>
          <w:p w14:paraId="4E34DBDF">
            <w:pPr>
              <w:widowControl/>
              <w:spacing w:line="0" w:lineRule="atLeast"/>
              <w:jc w:val="center"/>
              <w:rPr>
                <w:rFonts w:hint="eastAsia" w:ascii="黑体" w:hAnsi="黑体" w:eastAsia="黑体" w:cs="黑体"/>
                <w:b/>
                <w:bCs/>
                <w:color w:val="000000"/>
                <w:kern w:val="0"/>
                <w:sz w:val="21"/>
                <w:szCs w:val="21"/>
                <w:lang w:eastAsia="zh-CN"/>
              </w:rPr>
            </w:pPr>
            <w:r>
              <w:rPr>
                <w:rFonts w:hint="eastAsia" w:ascii="黑体" w:hAnsi="黑体" w:eastAsia="黑体" w:cs="黑体"/>
                <w:b/>
                <w:bCs/>
                <w:color w:val="000000"/>
                <w:kern w:val="0"/>
                <w:sz w:val="21"/>
                <w:szCs w:val="21"/>
                <w:lang w:eastAsia="zh-CN"/>
              </w:rPr>
              <w:t>得分</w:t>
            </w:r>
          </w:p>
        </w:tc>
      </w:tr>
      <w:tr w14:paraId="0CC89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207" w:type="dxa"/>
            <w:vMerge w:val="restart"/>
            <w:shd w:val="clear" w:color="auto" w:fill="FFFFFF"/>
            <w:noWrap w:val="0"/>
            <w:vAlign w:val="center"/>
          </w:tcPr>
          <w:p w14:paraId="1DBC005B">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决策　</w:t>
            </w:r>
          </w:p>
          <w:p w14:paraId="7E321394">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p w14:paraId="5B738288">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013" w:type="dxa"/>
            <w:vMerge w:val="restart"/>
            <w:shd w:val="clear" w:color="auto" w:fill="FFFFFF"/>
            <w:noWrap w:val="0"/>
            <w:vAlign w:val="center"/>
          </w:tcPr>
          <w:p w14:paraId="36D8AB6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项目立项　</w:t>
            </w:r>
          </w:p>
        </w:tc>
        <w:tc>
          <w:tcPr>
            <w:tcW w:w="1112" w:type="dxa"/>
            <w:shd w:val="clear" w:color="auto" w:fill="FFFFFF"/>
            <w:noWrap w:val="0"/>
            <w:vAlign w:val="center"/>
          </w:tcPr>
          <w:p w14:paraId="4E373AD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立项依据</w:t>
            </w:r>
          </w:p>
          <w:p w14:paraId="46D941F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充分性</w:t>
            </w:r>
          </w:p>
        </w:tc>
        <w:tc>
          <w:tcPr>
            <w:tcW w:w="2850" w:type="dxa"/>
            <w:shd w:val="clear" w:color="auto" w:fill="FFFFFF"/>
            <w:noWrap w:val="0"/>
            <w:vAlign w:val="center"/>
          </w:tcPr>
          <w:p w14:paraId="5D8E482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项目立项是否符合法律法规、相关政策、发展规划以及部门职责，用以反映和考核项目立项依据情况。</w:t>
            </w:r>
          </w:p>
        </w:tc>
        <w:tc>
          <w:tcPr>
            <w:tcW w:w="4743" w:type="dxa"/>
            <w:shd w:val="clear" w:color="auto" w:fill="FFFFFF"/>
            <w:noWrap w:val="0"/>
            <w:vAlign w:val="center"/>
          </w:tcPr>
          <w:p w14:paraId="6027FBCA">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①项目立项是否符合国家法律法规、国民经济发展规划和相关政策；</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②项目立项是否符合行业发展规划和政策要求；</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③项目立项是否与部门职责范围相符，属于部门履职所需；</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④项目是否属于公共财政支持范围，是否符合中央、地方事权支出责任划分原则；</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⑤项目是否与相关部门同类项目或部门内部相关项目重复。</w:t>
            </w:r>
          </w:p>
        </w:tc>
        <w:tc>
          <w:tcPr>
            <w:tcW w:w="699" w:type="dxa"/>
            <w:shd w:val="clear" w:color="auto" w:fill="FFFFFF"/>
            <w:noWrap w:val="0"/>
            <w:vAlign w:val="center"/>
          </w:tcPr>
          <w:p w14:paraId="20BA095B">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c>
          <w:tcPr>
            <w:tcW w:w="699" w:type="dxa"/>
            <w:shd w:val="clear" w:color="auto" w:fill="FFFFFF"/>
            <w:noWrap w:val="0"/>
            <w:vAlign w:val="center"/>
          </w:tcPr>
          <w:p w14:paraId="3EB19048">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r>
      <w:tr w14:paraId="2506E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207" w:type="dxa"/>
            <w:vMerge w:val="continue"/>
            <w:shd w:val="clear" w:color="auto" w:fill="FFFFFF"/>
            <w:noWrap w:val="0"/>
            <w:vAlign w:val="center"/>
          </w:tcPr>
          <w:p w14:paraId="78C0ABF2">
            <w:pPr>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2E30C716">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3C557B93">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立项程序</w:t>
            </w:r>
          </w:p>
          <w:p w14:paraId="1944F45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规范性</w:t>
            </w:r>
          </w:p>
        </w:tc>
        <w:tc>
          <w:tcPr>
            <w:tcW w:w="2850" w:type="dxa"/>
            <w:shd w:val="clear" w:color="auto" w:fill="FFFFFF"/>
            <w:noWrap w:val="0"/>
            <w:vAlign w:val="center"/>
          </w:tcPr>
          <w:p w14:paraId="521B6871">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项目申请、设立过程是否符合相关要求，用以反映和考核项目立项的规范情况。</w:t>
            </w:r>
          </w:p>
        </w:tc>
        <w:tc>
          <w:tcPr>
            <w:tcW w:w="4743" w:type="dxa"/>
            <w:shd w:val="clear" w:color="auto" w:fill="FFFFFF"/>
            <w:noWrap w:val="0"/>
            <w:vAlign w:val="center"/>
          </w:tcPr>
          <w:p w14:paraId="1DFB016B">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①项目是否按照规定的程序申请设立；</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②审批文件、材料是否符合相关要求；</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③事前是否已经过必要的可行性研究、专家论证、风险评估、绩效评估、集体决策。</w:t>
            </w:r>
          </w:p>
        </w:tc>
        <w:tc>
          <w:tcPr>
            <w:tcW w:w="699" w:type="dxa"/>
            <w:shd w:val="clear" w:color="auto" w:fill="FFFFFF"/>
            <w:noWrap w:val="0"/>
            <w:vAlign w:val="center"/>
          </w:tcPr>
          <w:p w14:paraId="054185A6">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c>
          <w:tcPr>
            <w:tcW w:w="699" w:type="dxa"/>
            <w:shd w:val="clear" w:color="auto" w:fill="FFFFFF"/>
            <w:noWrap w:val="0"/>
            <w:vAlign w:val="center"/>
          </w:tcPr>
          <w:p w14:paraId="34911DE5">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3</w:t>
            </w:r>
          </w:p>
        </w:tc>
      </w:tr>
      <w:tr w14:paraId="4A972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207" w:type="dxa"/>
            <w:vMerge w:val="continue"/>
            <w:shd w:val="clear" w:color="auto" w:fill="FFFFFF"/>
            <w:noWrap w:val="0"/>
            <w:vAlign w:val="center"/>
          </w:tcPr>
          <w:p w14:paraId="2B02775A">
            <w:pPr>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449259C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绩效目标　</w:t>
            </w:r>
          </w:p>
        </w:tc>
        <w:tc>
          <w:tcPr>
            <w:tcW w:w="1112" w:type="dxa"/>
            <w:shd w:val="clear" w:color="auto" w:fill="FFFFFF"/>
            <w:noWrap w:val="0"/>
            <w:vAlign w:val="center"/>
          </w:tcPr>
          <w:p w14:paraId="380F63A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绩效目标</w:t>
            </w:r>
          </w:p>
          <w:p w14:paraId="4251DD9E">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合理性</w:t>
            </w:r>
          </w:p>
        </w:tc>
        <w:tc>
          <w:tcPr>
            <w:tcW w:w="2850" w:type="dxa"/>
            <w:shd w:val="clear" w:color="000000" w:fill="FFFFFF"/>
            <w:noWrap w:val="0"/>
            <w:vAlign w:val="center"/>
          </w:tcPr>
          <w:p w14:paraId="6C718EB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项目所设定的绩效目标是否依据充分，是否符合客观实际，用以反映和考核项目绩效目标与项目实施的相符情况。</w:t>
            </w:r>
          </w:p>
        </w:tc>
        <w:tc>
          <w:tcPr>
            <w:tcW w:w="4743" w:type="dxa"/>
            <w:shd w:val="clear" w:color="000000" w:fill="FFFFFF"/>
            <w:noWrap w:val="0"/>
            <w:vAlign w:val="center"/>
          </w:tcPr>
          <w:p w14:paraId="5A7331F1">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（如未设定预算绩效目标，也可考核其他工作任务目标）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①项目是否有绩效目标；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②项目绩效目标与实际工作内容是否具有相关性；</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③项目预期产出效益和效果是否符合正常的业绩水平；</w:t>
            </w:r>
          </w:p>
          <w:p w14:paraId="33BA2D63">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④是否与预算确定的项目投资额或资金量相匹配。</w:t>
            </w:r>
          </w:p>
        </w:tc>
        <w:tc>
          <w:tcPr>
            <w:tcW w:w="699" w:type="dxa"/>
            <w:shd w:val="clear" w:color="000000" w:fill="FFFFFF"/>
            <w:noWrap w:val="0"/>
            <w:vAlign w:val="center"/>
          </w:tcPr>
          <w:p w14:paraId="7E782752">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48202D7F">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33FF1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207" w:type="dxa"/>
            <w:vMerge w:val="restart"/>
            <w:shd w:val="clear" w:color="auto" w:fill="FFFFFF"/>
            <w:noWrap w:val="0"/>
            <w:vAlign w:val="center"/>
          </w:tcPr>
          <w:p w14:paraId="737F77C7">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决策　</w:t>
            </w:r>
          </w:p>
        </w:tc>
        <w:tc>
          <w:tcPr>
            <w:tcW w:w="1013" w:type="dxa"/>
            <w:shd w:val="clear" w:color="auto" w:fill="FFFFFF"/>
            <w:noWrap w:val="0"/>
            <w:vAlign w:val="center"/>
          </w:tcPr>
          <w:p w14:paraId="05C6A6C8">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绩效目标</w:t>
            </w:r>
          </w:p>
        </w:tc>
        <w:tc>
          <w:tcPr>
            <w:tcW w:w="1112" w:type="dxa"/>
            <w:shd w:val="clear" w:color="auto" w:fill="FFFFFF"/>
            <w:noWrap w:val="0"/>
            <w:vAlign w:val="center"/>
          </w:tcPr>
          <w:p w14:paraId="342E0E3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绩效指标</w:t>
            </w:r>
          </w:p>
          <w:p w14:paraId="049BD11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明确性</w:t>
            </w:r>
          </w:p>
        </w:tc>
        <w:tc>
          <w:tcPr>
            <w:tcW w:w="2850" w:type="dxa"/>
            <w:shd w:val="clear" w:color="000000" w:fill="FFFFFF"/>
            <w:noWrap w:val="0"/>
            <w:vAlign w:val="center"/>
          </w:tcPr>
          <w:p w14:paraId="6F1DCFED">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依据绩效目标设定的绩效指标是否清晰、细化、可衡量等，用以反映和考核项目绩效目标的明细化情况。</w:t>
            </w:r>
          </w:p>
        </w:tc>
        <w:tc>
          <w:tcPr>
            <w:tcW w:w="4743" w:type="dxa"/>
            <w:shd w:val="clear" w:color="000000" w:fill="FFFFFF"/>
            <w:noWrap w:val="0"/>
            <w:vAlign w:val="center"/>
          </w:tcPr>
          <w:p w14:paraId="61FAF65C">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①是否将项目绩效目标细化分解为具体的绩效指标；</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②是否通过清晰、可衡量的指标值予以体现；</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③是否与项目目标任务数或计划数相对应。</w:t>
            </w:r>
            <w:r>
              <w:rPr>
                <w:rFonts w:hint="eastAsia" w:ascii="仿宋_GB2312" w:hAnsi="仿宋_GB2312" w:eastAsia="仿宋_GB2312" w:cs="仿宋_GB2312"/>
                <w:color w:val="000000"/>
                <w:kern w:val="0"/>
                <w:sz w:val="21"/>
                <w:szCs w:val="21"/>
              </w:rPr>
              <w:br w:type="textWrapping"/>
            </w:r>
          </w:p>
        </w:tc>
        <w:tc>
          <w:tcPr>
            <w:tcW w:w="699" w:type="dxa"/>
            <w:shd w:val="clear" w:color="000000" w:fill="FFFFFF"/>
            <w:noWrap w:val="0"/>
            <w:vAlign w:val="center"/>
          </w:tcPr>
          <w:p w14:paraId="7AB97A0A">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699" w:type="dxa"/>
            <w:shd w:val="clear" w:color="000000" w:fill="FFFFFF"/>
            <w:noWrap w:val="0"/>
            <w:vAlign w:val="center"/>
          </w:tcPr>
          <w:p w14:paraId="7046EBBD">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r>
      <w:tr w14:paraId="21043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207" w:type="dxa"/>
            <w:vMerge w:val="continue"/>
            <w:shd w:val="clear" w:color="auto" w:fill="FFFFFF"/>
            <w:noWrap w:val="0"/>
            <w:vAlign w:val="center"/>
          </w:tcPr>
          <w:p w14:paraId="5D26963D">
            <w:pPr>
              <w:spacing w:line="0" w:lineRule="atLeast"/>
              <w:jc w:val="center"/>
              <w:rPr>
                <w:rFonts w:hint="eastAsia" w:ascii="仿宋_GB2312" w:hAnsi="仿宋_GB2312" w:eastAsia="仿宋_GB2312" w:cs="仿宋_GB2312"/>
                <w:color w:val="000000"/>
                <w:kern w:val="0"/>
                <w:sz w:val="21"/>
                <w:szCs w:val="21"/>
              </w:rPr>
            </w:pPr>
          </w:p>
        </w:tc>
        <w:tc>
          <w:tcPr>
            <w:tcW w:w="1013" w:type="dxa"/>
            <w:vMerge w:val="restart"/>
            <w:shd w:val="clear" w:color="auto" w:fill="FFFFFF"/>
            <w:noWrap w:val="0"/>
            <w:vAlign w:val="center"/>
          </w:tcPr>
          <w:p w14:paraId="344A9748">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资金投入</w:t>
            </w:r>
          </w:p>
          <w:p w14:paraId="1B9DF590">
            <w:pPr>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w:t>
            </w:r>
          </w:p>
        </w:tc>
        <w:tc>
          <w:tcPr>
            <w:tcW w:w="1112" w:type="dxa"/>
            <w:shd w:val="clear" w:color="auto" w:fill="FFFFFF"/>
            <w:noWrap w:val="0"/>
            <w:vAlign w:val="center"/>
          </w:tcPr>
          <w:p w14:paraId="6C4DFC0D">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预算编制</w:t>
            </w:r>
          </w:p>
          <w:p w14:paraId="231A6A21">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科学性</w:t>
            </w:r>
          </w:p>
        </w:tc>
        <w:tc>
          <w:tcPr>
            <w:tcW w:w="2850" w:type="dxa"/>
            <w:shd w:val="clear" w:color="auto" w:fill="FFFFFF"/>
            <w:noWrap w:val="0"/>
            <w:vAlign w:val="center"/>
          </w:tcPr>
          <w:p w14:paraId="46B0D339">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项目预算编制是否经过科学论证、有明确标准，资金额度与年度目标是否相适应，用以反映和考核项目预算编制的科学性、合理性情况。</w:t>
            </w:r>
          </w:p>
        </w:tc>
        <w:tc>
          <w:tcPr>
            <w:tcW w:w="4743" w:type="dxa"/>
            <w:shd w:val="clear" w:color="auto" w:fill="FFFFFF"/>
            <w:noWrap w:val="0"/>
            <w:vAlign w:val="center"/>
          </w:tcPr>
          <w:p w14:paraId="0F370070">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①预算编制是否经过科学论证；</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②预算内容与项目内容是否匹配；</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③预算额度测算依据是否充分，是否按照标准编制；</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④预算确定的项目投资额或资金量是否与工作任务相匹配。</w:t>
            </w:r>
          </w:p>
        </w:tc>
        <w:tc>
          <w:tcPr>
            <w:tcW w:w="699" w:type="dxa"/>
            <w:shd w:val="clear" w:color="auto" w:fill="FFFFFF"/>
            <w:noWrap w:val="0"/>
            <w:vAlign w:val="center"/>
          </w:tcPr>
          <w:p w14:paraId="2A06653D">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auto" w:fill="FFFFFF"/>
            <w:noWrap w:val="0"/>
            <w:vAlign w:val="center"/>
          </w:tcPr>
          <w:p w14:paraId="101FB8D0">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0D4F4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207" w:type="dxa"/>
            <w:vMerge w:val="continue"/>
            <w:shd w:val="clear" w:color="auto" w:fill="FFFFFF"/>
            <w:noWrap w:val="0"/>
            <w:vAlign w:val="center"/>
          </w:tcPr>
          <w:p w14:paraId="258F145C">
            <w:pPr>
              <w:widowControl/>
              <w:spacing w:line="0" w:lineRule="atLeast"/>
              <w:jc w:val="center"/>
              <w:rPr>
                <w:rFonts w:hint="eastAsia" w:ascii="仿宋_GB2312" w:hAnsi="仿宋_GB2312" w:eastAsia="仿宋_GB2312" w:cs="仿宋_GB2312"/>
                <w:color w:val="000000"/>
                <w:kern w:val="0"/>
                <w:sz w:val="21"/>
                <w:szCs w:val="21"/>
              </w:rPr>
            </w:pPr>
          </w:p>
        </w:tc>
        <w:tc>
          <w:tcPr>
            <w:tcW w:w="1013" w:type="dxa"/>
            <w:vMerge w:val="continue"/>
            <w:shd w:val="clear" w:color="auto" w:fill="FFFFFF"/>
            <w:noWrap w:val="0"/>
            <w:vAlign w:val="center"/>
          </w:tcPr>
          <w:p w14:paraId="057476DD">
            <w:pPr>
              <w:widowControl/>
              <w:spacing w:line="0" w:lineRule="atLeast"/>
              <w:jc w:val="center"/>
              <w:rPr>
                <w:rFonts w:hint="eastAsia" w:ascii="仿宋_GB2312" w:hAnsi="仿宋_GB2312" w:eastAsia="仿宋_GB2312" w:cs="仿宋_GB2312"/>
                <w:color w:val="000000"/>
                <w:kern w:val="0"/>
                <w:sz w:val="21"/>
                <w:szCs w:val="21"/>
              </w:rPr>
            </w:pPr>
          </w:p>
        </w:tc>
        <w:tc>
          <w:tcPr>
            <w:tcW w:w="1112" w:type="dxa"/>
            <w:shd w:val="clear" w:color="auto" w:fill="FFFFFF"/>
            <w:noWrap w:val="0"/>
            <w:vAlign w:val="center"/>
          </w:tcPr>
          <w:p w14:paraId="272550CA">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资金分配</w:t>
            </w:r>
          </w:p>
          <w:p w14:paraId="3DC1E1B9">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合理性</w:t>
            </w:r>
          </w:p>
        </w:tc>
        <w:tc>
          <w:tcPr>
            <w:tcW w:w="2850" w:type="dxa"/>
            <w:shd w:val="clear" w:color="auto" w:fill="FFFFFF"/>
            <w:noWrap w:val="0"/>
            <w:vAlign w:val="center"/>
          </w:tcPr>
          <w:p w14:paraId="1255D02D">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项目预算资金分配是否有测算依据，与补助单位或地方实际是否相适应，用以反映和考核项目预算资金分配的科学性、合理性情况。</w:t>
            </w:r>
          </w:p>
        </w:tc>
        <w:tc>
          <w:tcPr>
            <w:tcW w:w="4743" w:type="dxa"/>
            <w:shd w:val="clear" w:color="auto" w:fill="FFFFFF"/>
            <w:noWrap w:val="0"/>
            <w:vAlign w:val="center"/>
          </w:tcPr>
          <w:p w14:paraId="4B066294">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评价要点：</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①预算资金分配依据是否充分；</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②资金分配额度是否合理，与项目单位或地方实际是否相适应。</w:t>
            </w:r>
          </w:p>
        </w:tc>
        <w:tc>
          <w:tcPr>
            <w:tcW w:w="699" w:type="dxa"/>
            <w:shd w:val="clear" w:color="auto" w:fill="FFFFFF"/>
            <w:noWrap w:val="0"/>
            <w:vAlign w:val="center"/>
          </w:tcPr>
          <w:p w14:paraId="0B546EE5">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c>
          <w:tcPr>
            <w:tcW w:w="699" w:type="dxa"/>
            <w:shd w:val="clear" w:color="auto" w:fill="FFFFFF"/>
            <w:noWrap w:val="0"/>
            <w:vAlign w:val="center"/>
          </w:tcPr>
          <w:p w14:paraId="3ABABB3D">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3</w:t>
            </w:r>
          </w:p>
        </w:tc>
      </w:tr>
      <w:tr w14:paraId="5C15C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207" w:type="dxa"/>
            <w:vMerge w:val="restart"/>
            <w:shd w:val="clear" w:color="auto" w:fill="FFFFFF"/>
            <w:noWrap w:val="0"/>
            <w:vAlign w:val="center"/>
          </w:tcPr>
          <w:p w14:paraId="53F2BBD8">
            <w:pPr>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过程</w:t>
            </w:r>
          </w:p>
        </w:tc>
        <w:tc>
          <w:tcPr>
            <w:tcW w:w="1013" w:type="dxa"/>
            <w:vMerge w:val="restart"/>
            <w:shd w:val="clear" w:color="auto" w:fill="FFFFFF"/>
            <w:noWrap w:val="0"/>
            <w:vAlign w:val="center"/>
          </w:tcPr>
          <w:p w14:paraId="2B4F8BB7">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资金管理</w:t>
            </w:r>
          </w:p>
        </w:tc>
        <w:tc>
          <w:tcPr>
            <w:tcW w:w="1112" w:type="dxa"/>
            <w:shd w:val="clear" w:color="auto" w:fill="FFFFFF"/>
            <w:noWrap w:val="0"/>
            <w:vAlign w:val="center"/>
          </w:tcPr>
          <w:p w14:paraId="005741FF">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资金到位率</w:t>
            </w:r>
          </w:p>
        </w:tc>
        <w:tc>
          <w:tcPr>
            <w:tcW w:w="2850" w:type="dxa"/>
            <w:shd w:val="clear" w:color="000000" w:fill="FFFFFF"/>
            <w:noWrap w:val="0"/>
            <w:vAlign w:val="center"/>
          </w:tcPr>
          <w:p w14:paraId="4A78D227">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实际到位资金与预算资金的比率，用以反映和考核资金落实情况对项目实施的总体保障程度。</w:t>
            </w:r>
          </w:p>
        </w:tc>
        <w:tc>
          <w:tcPr>
            <w:tcW w:w="4743" w:type="dxa"/>
            <w:shd w:val="clear" w:color="000000" w:fill="FFFFFF"/>
            <w:noWrap w:val="0"/>
            <w:vAlign w:val="center"/>
          </w:tcPr>
          <w:p w14:paraId="2B59892E">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资金到位率=（实际到位资金/预算资金）×100%。</w:t>
            </w:r>
          </w:p>
          <w:p w14:paraId="56BECA5A">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实际到位资金：一定时期（本年度或项目期）内落实到具体项目的资金。</w:t>
            </w:r>
          </w:p>
          <w:p w14:paraId="2D5E0321">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预算资金：一定时期（本年度或项目期）内预算安排到具体项目的资金。</w:t>
            </w:r>
          </w:p>
        </w:tc>
        <w:tc>
          <w:tcPr>
            <w:tcW w:w="699" w:type="dxa"/>
            <w:shd w:val="clear" w:color="000000" w:fill="FFFFFF"/>
            <w:noWrap w:val="0"/>
            <w:vAlign w:val="center"/>
          </w:tcPr>
          <w:p w14:paraId="1BF7C380">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000000" w:fill="FFFFFF"/>
            <w:noWrap w:val="0"/>
            <w:vAlign w:val="center"/>
          </w:tcPr>
          <w:p w14:paraId="570C9CE0">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6FCE7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207" w:type="dxa"/>
            <w:vMerge w:val="continue"/>
            <w:shd w:val="clear" w:color="auto" w:fill="FFFFFF"/>
            <w:noWrap w:val="0"/>
            <w:vAlign w:val="center"/>
          </w:tcPr>
          <w:p w14:paraId="1113C18A">
            <w:pPr>
              <w:spacing w:line="0" w:lineRule="atLeast"/>
              <w:jc w:val="center"/>
              <w:rPr>
                <w:rFonts w:hint="eastAsia" w:ascii="仿宋_GB2312" w:hAnsi="仿宋_GB2312" w:eastAsia="仿宋_GB2312" w:cs="仿宋_GB2312"/>
                <w:color w:val="000000"/>
                <w:kern w:val="0"/>
                <w:sz w:val="21"/>
                <w:szCs w:val="21"/>
              </w:rPr>
            </w:pPr>
          </w:p>
        </w:tc>
        <w:tc>
          <w:tcPr>
            <w:tcW w:w="1013" w:type="dxa"/>
            <w:vMerge w:val="continue"/>
            <w:shd w:val="clear" w:color="auto" w:fill="FFFFFF"/>
            <w:noWrap w:val="0"/>
            <w:vAlign w:val="center"/>
          </w:tcPr>
          <w:p w14:paraId="3CCDD9EC">
            <w:pPr>
              <w:spacing w:line="0" w:lineRule="atLeast"/>
              <w:jc w:val="center"/>
              <w:rPr>
                <w:rFonts w:hint="eastAsia" w:ascii="仿宋_GB2312" w:hAnsi="仿宋_GB2312" w:eastAsia="仿宋_GB2312" w:cs="仿宋_GB2312"/>
                <w:color w:val="000000"/>
                <w:kern w:val="0"/>
                <w:sz w:val="21"/>
                <w:szCs w:val="21"/>
              </w:rPr>
            </w:pPr>
          </w:p>
        </w:tc>
        <w:tc>
          <w:tcPr>
            <w:tcW w:w="1112" w:type="dxa"/>
            <w:shd w:val="clear" w:color="auto" w:fill="FFFFFF"/>
            <w:noWrap w:val="0"/>
            <w:vAlign w:val="center"/>
          </w:tcPr>
          <w:p w14:paraId="4524A4EC">
            <w:pPr>
              <w:widowControl/>
              <w:spacing w:line="0" w:lineRule="atLeast"/>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预算执行率</w:t>
            </w:r>
          </w:p>
        </w:tc>
        <w:tc>
          <w:tcPr>
            <w:tcW w:w="2850" w:type="dxa"/>
            <w:shd w:val="clear" w:color="auto" w:fill="FFFFFF"/>
            <w:noWrap w:val="0"/>
            <w:vAlign w:val="center"/>
          </w:tcPr>
          <w:p w14:paraId="65C30F93">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项目预算资金是否按照计划执行，用以反映或考核项目预算执行情况。</w:t>
            </w:r>
          </w:p>
        </w:tc>
        <w:tc>
          <w:tcPr>
            <w:tcW w:w="4743" w:type="dxa"/>
            <w:shd w:val="clear" w:color="auto" w:fill="FFFFFF"/>
            <w:noWrap w:val="0"/>
            <w:vAlign w:val="center"/>
          </w:tcPr>
          <w:p w14:paraId="0CEE4EAB">
            <w:pPr>
              <w:widowControl/>
              <w:spacing w:line="0" w:lineRule="atLeas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预算执行率=（实际支出资金/实际到位资金）×100%。</w:t>
            </w:r>
            <w:r>
              <w:rPr>
                <w:rFonts w:hint="eastAsia" w:ascii="仿宋_GB2312" w:hAnsi="仿宋_GB2312" w:eastAsia="仿宋_GB2312" w:cs="仿宋_GB2312"/>
                <w:color w:val="000000"/>
                <w:kern w:val="0"/>
                <w:sz w:val="21"/>
                <w:szCs w:val="21"/>
              </w:rPr>
              <w:br w:type="textWrapping"/>
            </w:r>
            <w:r>
              <w:rPr>
                <w:rFonts w:hint="eastAsia" w:ascii="仿宋_GB2312" w:hAnsi="仿宋_GB2312" w:eastAsia="仿宋_GB2312" w:cs="仿宋_GB2312"/>
                <w:color w:val="000000"/>
                <w:kern w:val="0"/>
                <w:sz w:val="21"/>
                <w:szCs w:val="21"/>
              </w:rPr>
              <w:t>实际支出资金：一定时期（本年度或项目期）内项目实际拨付的资金。</w:t>
            </w:r>
          </w:p>
        </w:tc>
        <w:tc>
          <w:tcPr>
            <w:tcW w:w="699" w:type="dxa"/>
            <w:shd w:val="clear" w:color="auto" w:fill="FFFFFF"/>
            <w:noWrap w:val="0"/>
            <w:vAlign w:val="center"/>
          </w:tcPr>
          <w:p w14:paraId="6FC840CD">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c>
          <w:tcPr>
            <w:tcW w:w="699" w:type="dxa"/>
            <w:shd w:val="clear" w:color="auto" w:fill="FFFFFF"/>
            <w:noWrap w:val="0"/>
            <w:vAlign w:val="center"/>
          </w:tcPr>
          <w:p w14:paraId="3C840918">
            <w:pPr>
              <w:widowControl/>
              <w:spacing w:line="0" w:lineRule="atLeast"/>
              <w:jc w:val="center"/>
              <w:rPr>
                <w:rFonts w:hint="eastAsia"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4</w:t>
            </w:r>
          </w:p>
        </w:tc>
      </w:tr>
      <w:tr w14:paraId="60EB9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207" w:type="dxa"/>
            <w:vMerge w:val="restart"/>
            <w:shd w:val="clear" w:color="auto" w:fill="FFFFFF"/>
            <w:noWrap w:val="0"/>
            <w:vAlign w:val="center"/>
          </w:tcPr>
          <w:p w14:paraId="649BFC4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p w14:paraId="6511AA4C">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过程　</w:t>
            </w:r>
          </w:p>
        </w:tc>
        <w:tc>
          <w:tcPr>
            <w:tcW w:w="1013" w:type="dxa"/>
            <w:shd w:val="clear" w:color="auto" w:fill="FFFFFF"/>
            <w:noWrap w:val="0"/>
            <w:vAlign w:val="center"/>
          </w:tcPr>
          <w:p w14:paraId="007884E4">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资金管理</w:t>
            </w:r>
          </w:p>
        </w:tc>
        <w:tc>
          <w:tcPr>
            <w:tcW w:w="1112" w:type="dxa"/>
            <w:shd w:val="clear" w:color="auto" w:fill="FFFFFF"/>
            <w:noWrap w:val="0"/>
            <w:vAlign w:val="center"/>
          </w:tcPr>
          <w:p w14:paraId="1E9AA2DF">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资金使用</w:t>
            </w:r>
          </w:p>
          <w:p w14:paraId="5175F09E">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合规性</w:t>
            </w:r>
          </w:p>
        </w:tc>
        <w:tc>
          <w:tcPr>
            <w:tcW w:w="2850" w:type="dxa"/>
            <w:shd w:val="clear" w:color="000000" w:fill="FFFFFF"/>
            <w:noWrap w:val="0"/>
            <w:vAlign w:val="center"/>
          </w:tcPr>
          <w:p w14:paraId="57F0A518">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项目资金使用是否符合相关的财务管理制度规定，用以反映和考核项目资金的规范运行情况。</w:t>
            </w:r>
          </w:p>
        </w:tc>
        <w:tc>
          <w:tcPr>
            <w:tcW w:w="4743" w:type="dxa"/>
            <w:shd w:val="clear" w:color="000000" w:fill="FFFFFF"/>
            <w:noWrap w:val="0"/>
            <w:vAlign w:val="center"/>
          </w:tcPr>
          <w:p w14:paraId="684873B4">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①是否符合国家财经法规和财务管理制度以及有关专项资金管理办法的规定；</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②资金的拨付是否有完整的审批程序和手续；</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③是否符合项目预算批复或合同规定的用途；</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④是否存在截留、挤占、挪用、虚列支出等情况。</w:t>
            </w:r>
          </w:p>
        </w:tc>
        <w:tc>
          <w:tcPr>
            <w:tcW w:w="699" w:type="dxa"/>
            <w:shd w:val="clear" w:color="000000" w:fill="FFFFFF"/>
            <w:noWrap w:val="0"/>
            <w:vAlign w:val="center"/>
          </w:tcPr>
          <w:p w14:paraId="52256AD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69E5B420">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06DC7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207" w:type="dxa"/>
            <w:vMerge w:val="continue"/>
            <w:shd w:val="clear" w:color="auto" w:fill="FFFFFF"/>
            <w:noWrap w:val="0"/>
            <w:vAlign w:val="center"/>
          </w:tcPr>
          <w:p w14:paraId="7C15B6DC">
            <w:pPr>
              <w:spacing w:line="0" w:lineRule="atLeast"/>
              <w:jc w:val="center"/>
              <w:rPr>
                <w:rFonts w:hint="default" w:ascii="Times New Roman" w:hAnsi="Times New Roman" w:eastAsia="仿宋_GB2312" w:cs="Times New Roman"/>
                <w:color w:val="000000"/>
                <w:kern w:val="0"/>
                <w:sz w:val="21"/>
                <w:szCs w:val="21"/>
              </w:rPr>
            </w:pPr>
          </w:p>
        </w:tc>
        <w:tc>
          <w:tcPr>
            <w:tcW w:w="1013" w:type="dxa"/>
            <w:vMerge w:val="restart"/>
            <w:shd w:val="clear" w:color="auto" w:fill="FFFFFF"/>
            <w:noWrap w:val="0"/>
            <w:vAlign w:val="center"/>
          </w:tcPr>
          <w:p w14:paraId="41C19206">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组织实施</w:t>
            </w:r>
          </w:p>
          <w:p w14:paraId="24450316">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112" w:type="dxa"/>
            <w:shd w:val="clear" w:color="auto" w:fill="FFFFFF"/>
            <w:noWrap w:val="0"/>
            <w:vAlign w:val="center"/>
          </w:tcPr>
          <w:p w14:paraId="0ADF385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管理制度</w:t>
            </w:r>
          </w:p>
          <w:p w14:paraId="1F45F0A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健全性</w:t>
            </w:r>
          </w:p>
        </w:tc>
        <w:tc>
          <w:tcPr>
            <w:tcW w:w="2850" w:type="dxa"/>
            <w:shd w:val="clear" w:color="000000" w:fill="FFFFFF"/>
            <w:noWrap w:val="0"/>
            <w:vAlign w:val="center"/>
          </w:tcPr>
          <w:p w14:paraId="3AA08DF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项目实施单位的财务和业务管理制度是否健全，用以反映和考核财务和业务管理制度对项目顺利实施的保障情况。</w:t>
            </w:r>
          </w:p>
        </w:tc>
        <w:tc>
          <w:tcPr>
            <w:tcW w:w="4743" w:type="dxa"/>
            <w:shd w:val="clear" w:color="000000" w:fill="FFFFFF"/>
            <w:noWrap w:val="0"/>
            <w:vAlign w:val="center"/>
          </w:tcPr>
          <w:p w14:paraId="52A99B0E">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①是否已制定或具有相应的财务和业务管理制度；</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②财务和业务管理制度是否合法、合规、完整。</w:t>
            </w:r>
          </w:p>
        </w:tc>
        <w:tc>
          <w:tcPr>
            <w:tcW w:w="699" w:type="dxa"/>
            <w:shd w:val="clear" w:color="000000" w:fill="FFFFFF"/>
            <w:noWrap w:val="0"/>
            <w:vAlign w:val="center"/>
          </w:tcPr>
          <w:p w14:paraId="72CFDB13">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7A7CBBA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21545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207" w:type="dxa"/>
            <w:vMerge w:val="continue"/>
            <w:shd w:val="clear" w:color="auto" w:fill="FFFFFF"/>
            <w:noWrap w:val="0"/>
            <w:vAlign w:val="center"/>
          </w:tcPr>
          <w:p w14:paraId="2BC6D32D">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181A075C">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41EA00A0">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制度执行</w:t>
            </w:r>
          </w:p>
          <w:p w14:paraId="559DE72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有效性</w:t>
            </w:r>
          </w:p>
        </w:tc>
        <w:tc>
          <w:tcPr>
            <w:tcW w:w="2850" w:type="dxa"/>
            <w:shd w:val="clear" w:color="000000" w:fill="FFFFFF"/>
            <w:noWrap w:val="0"/>
            <w:vAlign w:val="center"/>
          </w:tcPr>
          <w:p w14:paraId="2DA16333">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项目实施是否符合相关管理规定，用以反映和考核相关管理制度的有效执行情况。</w:t>
            </w:r>
          </w:p>
        </w:tc>
        <w:tc>
          <w:tcPr>
            <w:tcW w:w="4743" w:type="dxa"/>
            <w:shd w:val="clear" w:color="000000" w:fill="FFFFFF"/>
            <w:noWrap w:val="0"/>
            <w:vAlign w:val="center"/>
          </w:tcPr>
          <w:p w14:paraId="76D1DBD0">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评价要点：</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①是否遵守相关法律法规和相关管理规定；</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②项目调整及支出调整手续是否完备；</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③项目合同书、验收报告、技术鉴定等资料是否齐全并及时归档；</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④项目实施的人员条件、场地设备、信息支撑等是否落实到位。</w:t>
            </w:r>
          </w:p>
        </w:tc>
        <w:tc>
          <w:tcPr>
            <w:tcW w:w="699" w:type="dxa"/>
            <w:shd w:val="clear" w:color="000000" w:fill="FFFFFF"/>
            <w:noWrap w:val="0"/>
            <w:vAlign w:val="center"/>
          </w:tcPr>
          <w:p w14:paraId="367EF1C7">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c>
          <w:tcPr>
            <w:tcW w:w="699" w:type="dxa"/>
            <w:shd w:val="clear" w:color="000000" w:fill="FFFFFF"/>
            <w:noWrap w:val="0"/>
            <w:vAlign w:val="center"/>
          </w:tcPr>
          <w:p w14:paraId="5F437CE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4</w:t>
            </w:r>
          </w:p>
        </w:tc>
      </w:tr>
      <w:tr w14:paraId="142DA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97" w:hRule="atLeast"/>
          <w:jc w:val="center"/>
        </w:trPr>
        <w:tc>
          <w:tcPr>
            <w:tcW w:w="1207" w:type="dxa"/>
            <w:shd w:val="clear" w:color="auto" w:fill="FFFFFF"/>
            <w:noWrap w:val="0"/>
            <w:vAlign w:val="center"/>
          </w:tcPr>
          <w:p w14:paraId="5E69B87C">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w:t>
            </w:r>
          </w:p>
        </w:tc>
        <w:tc>
          <w:tcPr>
            <w:tcW w:w="1013" w:type="dxa"/>
            <w:shd w:val="clear" w:color="auto" w:fill="FFFFFF"/>
            <w:noWrap w:val="0"/>
            <w:vAlign w:val="center"/>
          </w:tcPr>
          <w:p w14:paraId="146AD2F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产出数量</w:t>
            </w:r>
          </w:p>
        </w:tc>
        <w:tc>
          <w:tcPr>
            <w:tcW w:w="1112" w:type="dxa"/>
            <w:shd w:val="clear" w:color="auto" w:fill="FFFFFF"/>
            <w:noWrap w:val="0"/>
            <w:vAlign w:val="center"/>
          </w:tcPr>
          <w:p w14:paraId="5A95D54D">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实际完成率</w:t>
            </w:r>
          </w:p>
        </w:tc>
        <w:tc>
          <w:tcPr>
            <w:tcW w:w="2850" w:type="dxa"/>
            <w:shd w:val="clear" w:color="000000" w:fill="FFFFFF"/>
            <w:noWrap w:val="0"/>
            <w:vAlign w:val="center"/>
          </w:tcPr>
          <w:p w14:paraId="178A8BFA">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项目实施的实际产出数与计划产出数的比率，用以反映和考核项目产出数量目标的实现程度。</w:t>
            </w:r>
          </w:p>
        </w:tc>
        <w:tc>
          <w:tcPr>
            <w:tcW w:w="4743" w:type="dxa"/>
            <w:shd w:val="clear" w:color="000000" w:fill="FFFFFF"/>
            <w:noWrap w:val="0"/>
            <w:vAlign w:val="center"/>
          </w:tcPr>
          <w:p w14:paraId="1DECB1FC">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实际完成率=（实际产出数/计划产出数）×100%。</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实际产出数：一定时期（本年度或项目期）内项目实际产出的产品或提供的服务数量。</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计划产出数：项目绩效目标确定的在一定时期（本年度或项目期）内计划产出的产品或提供的服务数量。</w:t>
            </w:r>
          </w:p>
        </w:tc>
        <w:tc>
          <w:tcPr>
            <w:tcW w:w="699" w:type="dxa"/>
            <w:shd w:val="clear" w:color="000000" w:fill="FFFFFF"/>
            <w:noWrap w:val="0"/>
            <w:vAlign w:val="center"/>
          </w:tcPr>
          <w:p w14:paraId="58371576">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4D6F2CDE">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3B1E9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207" w:type="dxa"/>
            <w:vMerge w:val="restart"/>
            <w:shd w:val="clear" w:color="auto" w:fill="FFFFFF"/>
            <w:noWrap w:val="0"/>
            <w:vAlign w:val="center"/>
          </w:tcPr>
          <w:p w14:paraId="1A853730">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w:t>
            </w:r>
          </w:p>
        </w:tc>
        <w:tc>
          <w:tcPr>
            <w:tcW w:w="1013" w:type="dxa"/>
            <w:shd w:val="clear" w:color="auto" w:fill="FFFFFF"/>
            <w:noWrap w:val="0"/>
            <w:vAlign w:val="center"/>
          </w:tcPr>
          <w:p w14:paraId="45072849">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产出质量</w:t>
            </w:r>
          </w:p>
        </w:tc>
        <w:tc>
          <w:tcPr>
            <w:tcW w:w="1112" w:type="dxa"/>
            <w:shd w:val="clear" w:color="auto" w:fill="FFFFFF"/>
            <w:noWrap w:val="0"/>
            <w:vAlign w:val="center"/>
          </w:tcPr>
          <w:p w14:paraId="28D9A3F6">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质量达标率</w:t>
            </w:r>
          </w:p>
        </w:tc>
        <w:tc>
          <w:tcPr>
            <w:tcW w:w="2850" w:type="dxa"/>
            <w:shd w:val="clear" w:color="000000" w:fill="FFFFFF"/>
            <w:noWrap w:val="0"/>
            <w:vAlign w:val="center"/>
          </w:tcPr>
          <w:p w14:paraId="35F8511D">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项目完成的质量达标产出数与实际产出数的比率，用以反映和考核项目产出质量目标的实现程度。</w:t>
            </w:r>
          </w:p>
        </w:tc>
        <w:tc>
          <w:tcPr>
            <w:tcW w:w="4743" w:type="dxa"/>
            <w:shd w:val="clear" w:color="000000" w:fill="FFFFFF"/>
            <w:noWrap w:val="0"/>
            <w:vAlign w:val="center"/>
          </w:tcPr>
          <w:p w14:paraId="1BCDCDE2">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质量达标率=（质量达标产出数/实际产出数）×100%。</w:t>
            </w:r>
          </w:p>
          <w:p w14:paraId="388C0860">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9" w:type="dxa"/>
            <w:shd w:val="clear" w:color="000000" w:fill="FFFFFF"/>
            <w:noWrap w:val="0"/>
            <w:vAlign w:val="center"/>
          </w:tcPr>
          <w:p w14:paraId="2ACF79B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4CE5F868">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06876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207" w:type="dxa"/>
            <w:vMerge w:val="continue"/>
            <w:shd w:val="clear" w:color="auto" w:fill="FFFFFF"/>
            <w:noWrap w:val="0"/>
            <w:vAlign w:val="center"/>
          </w:tcPr>
          <w:p w14:paraId="52D67218">
            <w:pPr>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641C9287">
            <w:pPr>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产出时效</w:t>
            </w:r>
          </w:p>
        </w:tc>
        <w:tc>
          <w:tcPr>
            <w:tcW w:w="1112" w:type="dxa"/>
            <w:shd w:val="clear" w:color="auto" w:fill="FFFFFF"/>
            <w:noWrap w:val="0"/>
            <w:vAlign w:val="center"/>
          </w:tcPr>
          <w:p w14:paraId="3462A82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完成及时性</w:t>
            </w:r>
          </w:p>
        </w:tc>
        <w:tc>
          <w:tcPr>
            <w:tcW w:w="2850" w:type="dxa"/>
            <w:shd w:val="clear" w:color="000000" w:fill="FFFFFF"/>
            <w:noWrap w:val="0"/>
            <w:vAlign w:val="center"/>
          </w:tcPr>
          <w:p w14:paraId="3033A0DE">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项目实际完成时间与计划完成时间的比较，用以反映和考核项目产出时效目标的实现程度。</w:t>
            </w:r>
          </w:p>
        </w:tc>
        <w:tc>
          <w:tcPr>
            <w:tcW w:w="4743" w:type="dxa"/>
            <w:shd w:val="clear" w:color="000000" w:fill="FFFFFF"/>
            <w:noWrap w:val="0"/>
            <w:vAlign w:val="center"/>
          </w:tcPr>
          <w:p w14:paraId="5F4FAB26">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实际完成时间：项目实施单位完成该项目实际所耗用的时间。</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计划完成时间：按照项目实施计划或相关规定完成该项目所需的时间。</w:t>
            </w:r>
          </w:p>
        </w:tc>
        <w:tc>
          <w:tcPr>
            <w:tcW w:w="699" w:type="dxa"/>
            <w:shd w:val="clear" w:color="000000" w:fill="FFFFFF"/>
            <w:noWrap w:val="0"/>
            <w:vAlign w:val="center"/>
          </w:tcPr>
          <w:p w14:paraId="56E1F93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76B1354C">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44BB4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207" w:type="dxa"/>
            <w:vMerge w:val="continue"/>
            <w:shd w:val="clear" w:color="auto" w:fill="FFFFFF"/>
            <w:noWrap w:val="0"/>
            <w:vAlign w:val="center"/>
          </w:tcPr>
          <w:p w14:paraId="55B99F29">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shd w:val="clear" w:color="auto" w:fill="FFFFFF"/>
            <w:noWrap w:val="0"/>
            <w:vAlign w:val="center"/>
          </w:tcPr>
          <w:p w14:paraId="7E2773E5">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产出成本</w:t>
            </w:r>
          </w:p>
        </w:tc>
        <w:tc>
          <w:tcPr>
            <w:tcW w:w="1112" w:type="dxa"/>
            <w:shd w:val="clear" w:color="auto" w:fill="FFFFFF"/>
            <w:noWrap w:val="0"/>
            <w:vAlign w:val="center"/>
          </w:tcPr>
          <w:p w14:paraId="6E868E78">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成本节约率</w:t>
            </w:r>
          </w:p>
        </w:tc>
        <w:tc>
          <w:tcPr>
            <w:tcW w:w="2850" w:type="dxa"/>
            <w:shd w:val="clear" w:color="000000" w:fill="FFFFFF"/>
            <w:noWrap w:val="0"/>
            <w:vAlign w:val="center"/>
          </w:tcPr>
          <w:p w14:paraId="2D7AFC59">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完成项目计划工作目标的实际节约成本与计划成本的比率，用以反映和考核项目的成本节约程度。</w:t>
            </w:r>
          </w:p>
        </w:tc>
        <w:tc>
          <w:tcPr>
            <w:tcW w:w="4743" w:type="dxa"/>
            <w:shd w:val="clear" w:color="000000" w:fill="FFFFFF"/>
            <w:noWrap w:val="0"/>
            <w:vAlign w:val="center"/>
          </w:tcPr>
          <w:p w14:paraId="4272136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成本节约率=[（计划成本-实际成本）/计划成本]×100%。</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实际成本：项目实施单位如期、保质、保量完成既定工作目标实际所耗费的支出。</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计划成本：项目实施单位为完成工作目标计划安排的支出，一般以项目预算为参考。</w:t>
            </w:r>
          </w:p>
        </w:tc>
        <w:tc>
          <w:tcPr>
            <w:tcW w:w="699" w:type="dxa"/>
            <w:shd w:val="clear" w:color="000000" w:fill="FFFFFF"/>
            <w:noWrap w:val="0"/>
            <w:vAlign w:val="center"/>
          </w:tcPr>
          <w:p w14:paraId="69185419">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c>
          <w:tcPr>
            <w:tcW w:w="699" w:type="dxa"/>
            <w:shd w:val="clear" w:color="000000" w:fill="FFFFFF"/>
            <w:noWrap w:val="0"/>
            <w:vAlign w:val="center"/>
          </w:tcPr>
          <w:p w14:paraId="7630DA84">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10</w:t>
            </w:r>
          </w:p>
        </w:tc>
      </w:tr>
      <w:tr w14:paraId="5BBDF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207" w:type="dxa"/>
            <w:vMerge w:val="restart"/>
            <w:shd w:val="clear" w:color="auto" w:fill="FFFFFF"/>
            <w:noWrap w:val="0"/>
            <w:vAlign w:val="center"/>
          </w:tcPr>
          <w:p w14:paraId="71EAD4C1">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　</w:t>
            </w:r>
          </w:p>
        </w:tc>
        <w:tc>
          <w:tcPr>
            <w:tcW w:w="1013" w:type="dxa"/>
            <w:vMerge w:val="restart"/>
            <w:shd w:val="clear" w:color="auto" w:fill="FFFFFF"/>
            <w:noWrap w:val="0"/>
            <w:vAlign w:val="center"/>
          </w:tcPr>
          <w:p w14:paraId="79F4992F">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项目效益　</w:t>
            </w:r>
          </w:p>
        </w:tc>
        <w:tc>
          <w:tcPr>
            <w:tcW w:w="1112" w:type="dxa"/>
            <w:shd w:val="clear" w:color="auto" w:fill="FFFFFF"/>
            <w:noWrap w:val="0"/>
            <w:vAlign w:val="center"/>
          </w:tcPr>
          <w:p w14:paraId="7D03782F">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实施效益</w:t>
            </w:r>
          </w:p>
        </w:tc>
        <w:tc>
          <w:tcPr>
            <w:tcW w:w="2850" w:type="dxa"/>
            <w:shd w:val="clear" w:color="auto" w:fill="FFFFFF"/>
            <w:noWrap w:val="0"/>
            <w:vAlign w:val="center"/>
          </w:tcPr>
          <w:p w14:paraId="1ECBA09C">
            <w:pPr>
              <w:widowControl/>
              <w:spacing w:line="0" w:lineRule="atLeast"/>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项目实施所产生的效益。</w:t>
            </w:r>
          </w:p>
        </w:tc>
        <w:tc>
          <w:tcPr>
            <w:tcW w:w="4743" w:type="dxa"/>
            <w:shd w:val="clear" w:color="auto" w:fill="FFFFFF"/>
            <w:noWrap w:val="0"/>
            <w:vAlign w:val="center"/>
          </w:tcPr>
          <w:p w14:paraId="42BE5A73">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项目实施所产生的社会效益、经济效益、生态效益、可持续影响等。可根据项目实际情况有选择地设置和细化。</w:t>
            </w:r>
          </w:p>
        </w:tc>
        <w:tc>
          <w:tcPr>
            <w:tcW w:w="699" w:type="dxa"/>
            <w:shd w:val="clear" w:color="auto" w:fill="FFFFFF"/>
            <w:noWrap w:val="0"/>
            <w:vAlign w:val="center"/>
          </w:tcPr>
          <w:p w14:paraId="28598A46">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c>
          <w:tcPr>
            <w:tcW w:w="699" w:type="dxa"/>
            <w:shd w:val="clear" w:color="auto" w:fill="FFFFFF"/>
            <w:noWrap w:val="0"/>
            <w:vAlign w:val="center"/>
          </w:tcPr>
          <w:p w14:paraId="4A434E81">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0</w:t>
            </w:r>
          </w:p>
        </w:tc>
      </w:tr>
      <w:tr w14:paraId="33382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207" w:type="dxa"/>
            <w:vMerge w:val="continue"/>
            <w:shd w:val="clear" w:color="auto" w:fill="FFFFFF"/>
            <w:noWrap w:val="0"/>
            <w:vAlign w:val="center"/>
          </w:tcPr>
          <w:p w14:paraId="2BA8F81D">
            <w:pPr>
              <w:widowControl/>
              <w:spacing w:line="0" w:lineRule="atLeast"/>
              <w:jc w:val="center"/>
              <w:rPr>
                <w:rFonts w:hint="default" w:ascii="Times New Roman" w:hAnsi="Times New Roman" w:eastAsia="仿宋_GB2312" w:cs="Times New Roman"/>
                <w:color w:val="000000"/>
                <w:kern w:val="0"/>
                <w:sz w:val="21"/>
                <w:szCs w:val="21"/>
              </w:rPr>
            </w:pPr>
          </w:p>
        </w:tc>
        <w:tc>
          <w:tcPr>
            <w:tcW w:w="1013" w:type="dxa"/>
            <w:vMerge w:val="continue"/>
            <w:shd w:val="clear" w:color="auto" w:fill="FFFFFF"/>
            <w:noWrap w:val="0"/>
            <w:vAlign w:val="center"/>
          </w:tcPr>
          <w:p w14:paraId="0085CB98">
            <w:pPr>
              <w:widowControl/>
              <w:spacing w:line="0" w:lineRule="atLeast"/>
              <w:jc w:val="center"/>
              <w:rPr>
                <w:rFonts w:hint="default" w:ascii="Times New Roman" w:hAnsi="Times New Roman" w:eastAsia="仿宋_GB2312" w:cs="Times New Roman"/>
                <w:color w:val="000000"/>
                <w:kern w:val="0"/>
                <w:sz w:val="21"/>
                <w:szCs w:val="21"/>
              </w:rPr>
            </w:pPr>
          </w:p>
        </w:tc>
        <w:tc>
          <w:tcPr>
            <w:tcW w:w="1112" w:type="dxa"/>
            <w:shd w:val="clear" w:color="auto" w:fill="FFFFFF"/>
            <w:noWrap w:val="0"/>
            <w:vAlign w:val="center"/>
          </w:tcPr>
          <w:p w14:paraId="4FC20DD2">
            <w:pPr>
              <w:widowControl/>
              <w:spacing w:line="0" w:lineRule="atLeast"/>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tc>
        <w:tc>
          <w:tcPr>
            <w:tcW w:w="2850" w:type="dxa"/>
            <w:shd w:val="clear" w:color="000000" w:fill="FFFFFF"/>
            <w:noWrap w:val="0"/>
            <w:vAlign w:val="center"/>
          </w:tcPr>
          <w:p w14:paraId="46A0FA42">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社会公众或服务对象对项目实施效果的满意程度。</w:t>
            </w:r>
          </w:p>
        </w:tc>
        <w:tc>
          <w:tcPr>
            <w:tcW w:w="4743" w:type="dxa"/>
            <w:shd w:val="clear" w:color="000000" w:fill="FFFFFF"/>
            <w:noWrap w:val="0"/>
            <w:vAlign w:val="center"/>
          </w:tcPr>
          <w:p w14:paraId="584DACDB">
            <w:pPr>
              <w:widowControl/>
              <w:spacing w:line="0" w:lineRule="atLeas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社会公众或服务对象是指因该项目实施而受到影响的部门（单位）、群体或个人。一般采取社会调查的方式。</w:t>
            </w:r>
          </w:p>
        </w:tc>
        <w:tc>
          <w:tcPr>
            <w:tcW w:w="699" w:type="dxa"/>
            <w:shd w:val="clear" w:color="000000" w:fill="FFFFFF"/>
            <w:noWrap w:val="0"/>
            <w:vAlign w:val="center"/>
          </w:tcPr>
          <w:p w14:paraId="05F21822">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w:t>
            </w:r>
          </w:p>
        </w:tc>
        <w:tc>
          <w:tcPr>
            <w:tcW w:w="699" w:type="dxa"/>
            <w:shd w:val="clear" w:color="000000" w:fill="FFFFFF"/>
            <w:noWrap w:val="0"/>
            <w:vAlign w:val="center"/>
          </w:tcPr>
          <w:p w14:paraId="7C4556EA">
            <w:pPr>
              <w:widowControl/>
              <w:spacing w:line="0" w:lineRule="atLeast"/>
              <w:jc w:val="center"/>
              <w:rPr>
                <w:rFonts w:hint="default" w:ascii="Times New Roman" w:hAnsi="Times New Roman" w:eastAsia="仿宋_GB2312" w:cs="Times New Roman"/>
                <w:color w:val="000000"/>
                <w:kern w:val="0"/>
                <w:sz w:val="21"/>
                <w:szCs w:val="21"/>
                <w:lang w:val="en-US" w:eastAsia="zh-CN"/>
              </w:rPr>
            </w:pPr>
            <w:r>
              <w:rPr>
                <w:rFonts w:hint="default" w:ascii="Times New Roman" w:hAnsi="Times New Roman" w:eastAsia="仿宋_GB2312" w:cs="Times New Roman"/>
                <w:color w:val="000000"/>
                <w:kern w:val="0"/>
                <w:sz w:val="21"/>
                <w:szCs w:val="21"/>
                <w:lang w:val="en-US" w:eastAsia="zh-CN"/>
              </w:rPr>
              <w:t>20</w:t>
            </w:r>
          </w:p>
        </w:tc>
      </w:tr>
    </w:tbl>
    <w:p w14:paraId="306AA091">
      <w:pPr>
        <w:keepNext w:val="0"/>
        <w:keepLines w:val="0"/>
        <w:pageBreakBefore w:val="0"/>
        <w:numPr>
          <w:ilvl w:val="0"/>
          <w:numId w:val="2"/>
        </w:numPr>
        <w:kinsoku/>
        <w:wordWrap/>
        <w:overflowPunct/>
        <w:topLinePunct w:val="0"/>
        <w:autoSpaceDE/>
        <w:autoSpaceDN/>
        <w:bidi w:val="0"/>
        <w:adjustRightInd/>
        <w:spacing w:line="560" w:lineRule="exact"/>
        <w:ind w:left="-430" w:leftChars="0" w:firstLine="640" w:firstLineChars="0"/>
        <w:rPr>
          <w:rStyle w:val="16"/>
          <w:rFonts w:hint="eastAsia" w:ascii="仿宋_GB2312" w:hAnsi="仿宋_GB2312" w:eastAsia="仿宋_GB2312" w:cs="仿宋_GB2312"/>
          <w:b/>
          <w:bCs w:val="0"/>
          <w:spacing w:val="-4"/>
          <w:sz w:val="28"/>
          <w:szCs w:val="28"/>
        </w:rPr>
      </w:pPr>
      <w:r>
        <w:rPr>
          <w:rStyle w:val="16"/>
          <w:rFonts w:hint="eastAsia" w:ascii="仿宋_GB2312" w:hAnsi="仿宋_GB2312" w:eastAsia="仿宋_GB2312" w:cs="仿宋_GB2312"/>
          <w:b/>
          <w:bCs w:val="0"/>
          <w:spacing w:val="-4"/>
          <w:sz w:val="28"/>
          <w:szCs w:val="28"/>
        </w:rPr>
        <w:t>评价方法</w:t>
      </w:r>
    </w:p>
    <w:p w14:paraId="31137CE1">
      <w:pPr>
        <w:keepNext w:val="0"/>
        <w:keepLines w:val="0"/>
        <w:pageBreakBefore w:val="0"/>
        <w:numPr>
          <w:ilvl w:val="0"/>
          <w:numId w:val="0"/>
        </w:numPr>
        <w:kinsoku/>
        <w:wordWrap/>
        <w:overflowPunct/>
        <w:topLinePunct w:val="0"/>
        <w:autoSpaceDE/>
        <w:autoSpaceDN/>
        <w:bidi w:val="0"/>
        <w:adjustRightInd/>
        <w:spacing w:line="560" w:lineRule="exact"/>
        <w:ind w:firstLine="544" w:firstLineChars="200"/>
        <w:rPr>
          <w:rStyle w:val="16"/>
          <w:rFonts w:hint="eastAsia" w:ascii="仿宋_GB2312" w:hAnsi="仿宋_GB2312" w:eastAsia="仿宋_GB2312" w:cs="仿宋_GB2312"/>
          <w:b w:val="0"/>
          <w:bCs/>
          <w:spacing w:val="-4"/>
          <w:sz w:val="28"/>
          <w:szCs w:val="28"/>
        </w:rPr>
      </w:pPr>
      <w:r>
        <w:rPr>
          <w:rStyle w:val="16"/>
          <w:rFonts w:hint="eastAsia" w:ascii="仿宋_GB2312" w:hAnsi="仿宋_GB2312" w:eastAsia="仿宋_GB2312" w:cs="仿宋_GB2312"/>
          <w:b w:val="0"/>
          <w:bCs/>
          <w:spacing w:val="-4"/>
          <w:sz w:val="28"/>
          <w:szCs w:val="28"/>
          <w:lang w:val="en-US" w:eastAsia="zh-CN"/>
        </w:rPr>
        <w:t>采用支出与效益进行对比分析的成本效益分析法，以及通过对绩效目标与实施效果比较，指标制定上定量与定性相结合比较等评价方法。组织本处处级</w:t>
      </w:r>
      <w:r>
        <w:rPr>
          <w:rStyle w:val="16"/>
          <w:rFonts w:hint="eastAsia" w:ascii="仿宋_GB2312" w:hAnsi="仿宋_GB2312" w:eastAsia="仿宋_GB2312" w:cs="仿宋_GB2312"/>
          <w:b w:val="0"/>
          <w:bCs/>
          <w:spacing w:val="-4"/>
          <w:sz w:val="28"/>
          <w:szCs w:val="28"/>
        </w:rPr>
        <w:t>以上干部参与评价，由项目负责人进行梳理并整改。</w:t>
      </w:r>
    </w:p>
    <w:p w14:paraId="14186E22">
      <w:pPr>
        <w:keepNext w:val="0"/>
        <w:keepLines w:val="0"/>
        <w:pageBreakBefore w:val="0"/>
        <w:numPr>
          <w:ilvl w:val="0"/>
          <w:numId w:val="2"/>
        </w:numPr>
        <w:kinsoku/>
        <w:wordWrap/>
        <w:overflowPunct/>
        <w:topLinePunct w:val="0"/>
        <w:autoSpaceDE/>
        <w:autoSpaceDN/>
        <w:bidi w:val="0"/>
        <w:adjustRightInd/>
        <w:spacing w:line="560" w:lineRule="exact"/>
        <w:ind w:left="-430" w:leftChars="0" w:firstLine="640" w:firstLineChars="0"/>
        <w:rPr>
          <w:rStyle w:val="16"/>
          <w:rFonts w:hint="eastAsia" w:ascii="仿宋_GB2312" w:hAnsi="仿宋_GB2312" w:eastAsia="仿宋_GB2312" w:cs="仿宋_GB2312"/>
          <w:i w:val="0"/>
          <w:caps w:val="0"/>
          <w:color w:val="000000"/>
          <w:spacing w:val="0"/>
          <w:sz w:val="28"/>
          <w:szCs w:val="28"/>
          <w:highlight w:val="none"/>
          <w:shd w:val="clear" w:color="auto" w:fill="FFFFFF"/>
        </w:rPr>
      </w:pPr>
      <w:r>
        <w:rPr>
          <w:rStyle w:val="16"/>
          <w:rFonts w:hint="eastAsia" w:ascii="仿宋_GB2312" w:hAnsi="仿宋_GB2312" w:eastAsia="仿宋_GB2312" w:cs="仿宋_GB2312"/>
          <w:i w:val="0"/>
          <w:caps w:val="0"/>
          <w:color w:val="000000"/>
          <w:spacing w:val="0"/>
          <w:sz w:val="28"/>
          <w:szCs w:val="28"/>
          <w:highlight w:val="none"/>
          <w:shd w:val="clear" w:color="auto" w:fill="FFFFFF"/>
        </w:rPr>
        <w:t>评价标准</w:t>
      </w:r>
    </w:p>
    <w:p w14:paraId="07A839AF">
      <w:pPr>
        <w:keepNext w:val="0"/>
        <w:keepLines w:val="0"/>
        <w:pageBreakBefore w:val="0"/>
        <w:widowControl w:val="0"/>
        <w:kinsoku/>
        <w:wordWrap/>
        <w:overflowPunct/>
        <w:topLinePunct w:val="0"/>
        <w:autoSpaceDE/>
        <w:autoSpaceDN/>
        <w:bidi w:val="0"/>
        <w:adjustRightInd/>
        <w:snapToGrid/>
        <w:spacing w:line="480" w:lineRule="auto"/>
        <w:ind w:firstLine="840" w:firstLineChars="300"/>
        <w:jc w:val="both"/>
        <w:textAlignment w:val="auto"/>
        <w:rPr>
          <w:rFonts w:hint="eastAsia" w:ascii="仿宋_GB2312" w:hAnsi="仿宋_GB2312" w:eastAsia="仿宋_GB2312" w:cs="仿宋_GB2312"/>
          <w:sz w:val="28"/>
          <w:szCs w:val="28"/>
        </w:rPr>
        <w:sectPr>
          <w:pgSz w:w="16838" w:h="11906" w:orient="landscape"/>
          <w:pgMar w:top="1080" w:right="1440" w:bottom="108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Style w:val="16"/>
          <w:rFonts w:hint="eastAsia" w:ascii="仿宋_GB2312" w:hAnsi="仿宋_GB2312" w:eastAsia="仿宋_GB2312" w:cs="仿宋_GB2312"/>
          <w:b w:val="0"/>
          <w:bCs/>
          <w:i w:val="0"/>
          <w:caps w:val="0"/>
          <w:color w:val="000000"/>
          <w:spacing w:val="0"/>
          <w:sz w:val="28"/>
          <w:szCs w:val="28"/>
          <w:highlight w:val="none"/>
          <w:shd w:val="clear" w:color="auto" w:fill="FFFFFF"/>
          <w:lang w:val="en-US" w:eastAsia="zh-CN"/>
        </w:rPr>
        <w:t>结合项目具体情况，采用计划标准评价，即</w:t>
      </w:r>
      <w:r>
        <w:rPr>
          <w:rFonts w:hint="eastAsia" w:ascii="仿宋_GB2312" w:hAnsi="仿宋_GB2312" w:eastAsia="仿宋_GB2312" w:cs="仿宋_GB2312"/>
          <w:bCs/>
          <w:color w:val="000000"/>
          <w:sz w:val="28"/>
          <w:szCs w:val="28"/>
        </w:rPr>
        <w:t>以预先制定的目标、计划、预算、定额等作为评价标准</w:t>
      </w:r>
      <w:r>
        <w:rPr>
          <w:rFonts w:hint="eastAsia" w:ascii="仿宋_GB2312" w:hAnsi="仿宋_GB2312" w:eastAsia="仿宋_GB2312" w:cs="仿宋_GB2312"/>
          <w:bCs/>
          <w:color w:val="000000"/>
          <w:sz w:val="28"/>
          <w:szCs w:val="28"/>
          <w:lang w:eastAsia="zh-CN"/>
        </w:rPr>
        <w:t>，</w:t>
      </w:r>
      <w:r>
        <w:rPr>
          <w:rStyle w:val="16"/>
          <w:rFonts w:hint="eastAsia" w:ascii="仿宋_GB2312" w:hAnsi="仿宋_GB2312" w:eastAsia="仿宋_GB2312" w:cs="仿宋_GB2312"/>
          <w:b w:val="0"/>
          <w:bCs/>
          <w:i w:val="0"/>
          <w:caps w:val="0"/>
          <w:color w:val="000000"/>
          <w:spacing w:val="0"/>
          <w:sz w:val="28"/>
          <w:szCs w:val="28"/>
          <w:highlight w:val="none"/>
          <w:shd w:val="clear" w:color="auto" w:fill="FFFFFF"/>
          <w:lang w:val="en-US" w:eastAsia="zh-CN"/>
        </w:rPr>
        <w:t>用于</w:t>
      </w:r>
      <w:r>
        <w:rPr>
          <w:rFonts w:hint="eastAsia" w:ascii="仿宋_GB2312" w:hAnsi="仿宋_GB2312" w:eastAsia="仿宋_GB2312" w:cs="仿宋_GB2312"/>
          <w:bCs/>
          <w:color w:val="000000"/>
          <w:sz w:val="28"/>
          <w:szCs w:val="28"/>
          <w:lang w:val="en-US" w:eastAsia="zh-CN"/>
        </w:rPr>
        <w:t>对“</w:t>
      </w:r>
      <w:r>
        <w:rPr>
          <w:rFonts w:hint="eastAsia" w:ascii="仿宋_GB2312" w:hAnsi="仿宋_GB2312" w:eastAsia="仿宋_GB2312" w:cs="仿宋_GB2312"/>
          <w:kern w:val="0"/>
          <w:sz w:val="28"/>
          <w:szCs w:val="28"/>
          <w:lang w:val="en-US" w:eastAsia="zh-CN"/>
        </w:rPr>
        <w:t>原新疆陶瓷厂破产企业55户职工平房拆迁</w:t>
      </w:r>
      <w:r>
        <w:rPr>
          <w:rStyle w:val="16"/>
          <w:rFonts w:hint="eastAsia" w:ascii="仿宋_GB2312" w:hAnsi="仿宋_GB2312" w:eastAsia="仿宋_GB2312" w:cs="仿宋_GB2312"/>
          <w:b w:val="0"/>
          <w:bCs/>
          <w:color w:val="000000"/>
          <w:spacing w:val="-4"/>
          <w:sz w:val="28"/>
          <w:szCs w:val="28"/>
          <w:lang w:eastAsia="zh-CN"/>
        </w:rPr>
        <w:t>”项目的</w:t>
      </w:r>
      <w:r>
        <w:rPr>
          <w:rStyle w:val="16"/>
          <w:rFonts w:hint="eastAsia" w:ascii="仿宋_GB2312" w:hAnsi="仿宋_GB2312" w:eastAsia="仿宋_GB2312" w:cs="仿宋_GB2312"/>
          <w:b w:val="0"/>
          <w:bCs/>
          <w:i w:val="0"/>
          <w:caps w:val="0"/>
          <w:color w:val="000000"/>
          <w:spacing w:val="0"/>
          <w:sz w:val="28"/>
          <w:szCs w:val="28"/>
          <w:highlight w:val="none"/>
          <w:shd w:val="clear" w:color="auto" w:fill="FFFFFF"/>
          <w:lang w:val="en-US" w:eastAsia="zh-CN"/>
        </w:rPr>
        <w:t>绩效指标完成情况进行比</w:t>
      </w:r>
    </w:p>
    <w:p w14:paraId="1B6D8783">
      <w:pPr>
        <w:pStyle w:val="12"/>
        <w:numPr>
          <w:ilvl w:val="0"/>
          <w:numId w:val="3"/>
        </w:numPr>
        <w:spacing w:before="0" w:after="0" w:line="600" w:lineRule="exact"/>
        <w:ind w:left="-711" w:leftChars="0" w:firstLine="711" w:firstLineChars="0"/>
        <w:jc w:val="both"/>
        <w:rPr>
          <w:rFonts w:hint="eastAsia" w:ascii="仿宋_GB2312" w:hAnsi="仿宋_GB2312" w:eastAsia="仿宋_GB2312" w:cs="仿宋_GB2312"/>
          <w:color w:val="000000"/>
          <w:spacing w:val="17"/>
          <w:sz w:val="28"/>
          <w:szCs w:val="28"/>
        </w:rPr>
      </w:pPr>
      <w:bookmarkStart w:id="6" w:name="_Toc4252"/>
      <w:r>
        <w:rPr>
          <w:rFonts w:hint="eastAsia" w:ascii="仿宋_GB2312" w:hAnsi="仿宋_GB2312" w:eastAsia="仿宋_GB2312" w:cs="仿宋_GB2312"/>
          <w:color w:val="000000"/>
          <w:spacing w:val="17"/>
          <w:sz w:val="28"/>
          <w:szCs w:val="28"/>
        </w:rPr>
        <w:t>绩效评价工作过程。</w:t>
      </w:r>
      <w:bookmarkEnd w:id="6"/>
    </w:p>
    <w:p w14:paraId="35AC3376">
      <w:pPr>
        <w:numPr>
          <w:ilvl w:val="0"/>
          <w:numId w:val="4"/>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前期准备。成立部门绩效评价小组，学习评价指标体系和绩效相关文件</w:t>
      </w:r>
      <w:r>
        <w:rPr>
          <w:rFonts w:hint="eastAsia" w:ascii="仿宋_GB2312" w:hAnsi="仿宋_GB2312" w:eastAsia="仿宋_GB2312" w:cs="仿宋_GB2312"/>
          <w:bCs/>
          <w:sz w:val="28"/>
          <w:szCs w:val="28"/>
          <w:lang w:val="en-US" w:eastAsia="zh-CN"/>
        </w:rPr>
        <w:t>精神</w:t>
      </w:r>
      <w:r>
        <w:rPr>
          <w:rFonts w:hint="eastAsia" w:ascii="仿宋_GB2312" w:hAnsi="仿宋_GB2312" w:eastAsia="仿宋_GB2312" w:cs="仿宋_GB2312"/>
          <w:bCs/>
          <w:sz w:val="28"/>
          <w:szCs w:val="28"/>
        </w:rPr>
        <w:t>。项目负责同志参加了厅财审处组织的专项</w:t>
      </w:r>
      <w:r>
        <w:rPr>
          <w:rFonts w:hint="eastAsia" w:ascii="仿宋_GB2312" w:hAnsi="仿宋_GB2312" w:eastAsia="仿宋_GB2312" w:cs="仿宋_GB2312"/>
          <w:bCs/>
          <w:sz w:val="28"/>
          <w:szCs w:val="28"/>
          <w:lang w:val="en-US" w:eastAsia="zh-CN"/>
        </w:rPr>
        <w:t>业务</w:t>
      </w:r>
      <w:r>
        <w:rPr>
          <w:rFonts w:hint="eastAsia" w:ascii="仿宋_GB2312" w:hAnsi="仿宋_GB2312" w:eastAsia="仿宋_GB2312" w:cs="仿宋_GB2312"/>
          <w:bCs/>
          <w:sz w:val="28"/>
          <w:szCs w:val="28"/>
        </w:rPr>
        <w:t>培训，全体在职人员参与绩效评价工作。</w:t>
      </w:r>
    </w:p>
    <w:p w14:paraId="7187DEE7">
      <w:pPr>
        <w:numPr>
          <w:ilvl w:val="0"/>
          <w:numId w:val="4"/>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组织实施。按照规定的工作程序组织绩效评价自评，注重评价质量，撰写绩效评价报告。</w:t>
      </w:r>
    </w:p>
    <w:p w14:paraId="6262C034">
      <w:pPr>
        <w:numPr>
          <w:ilvl w:val="0"/>
          <w:numId w:val="4"/>
        </w:numPr>
        <w:spacing w:line="60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分析评价。对评价结果进行整改</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充分运用分析评价</w:t>
      </w:r>
      <w:r>
        <w:rPr>
          <w:rFonts w:hint="eastAsia" w:ascii="仿宋_GB2312" w:hAnsi="仿宋_GB2312" w:eastAsia="仿宋_GB2312" w:cs="仿宋_GB2312"/>
          <w:bCs/>
          <w:sz w:val="28"/>
          <w:szCs w:val="28"/>
          <w:lang w:eastAsia="zh-CN"/>
        </w:rPr>
        <w:t>指导项目绩效工作</w:t>
      </w:r>
      <w:r>
        <w:rPr>
          <w:rFonts w:hint="eastAsia" w:ascii="仿宋_GB2312" w:hAnsi="仿宋_GB2312" w:eastAsia="仿宋_GB2312" w:cs="仿宋_GB2312"/>
          <w:bCs/>
          <w:sz w:val="28"/>
          <w:szCs w:val="28"/>
        </w:rPr>
        <w:t>。并要求进一步建立和健全单位绩效评价相关制度和操作规程，提高单位的管理水平，提高预算编制的准确性和科学性。</w:t>
      </w:r>
    </w:p>
    <w:p w14:paraId="5621CCA3">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0"/>
        <w:rPr>
          <w:rStyle w:val="16"/>
          <w:rFonts w:hint="eastAsia" w:ascii="仿宋_GB2312" w:hAnsi="仿宋_GB2312" w:eastAsia="仿宋_GB2312" w:cs="仿宋_GB2312"/>
          <w:b w:val="0"/>
          <w:bCs w:val="0"/>
          <w:spacing w:val="-4"/>
          <w:sz w:val="28"/>
          <w:szCs w:val="28"/>
          <w:lang w:eastAsia="zh-CN"/>
        </w:rPr>
      </w:pPr>
      <w:bookmarkStart w:id="7" w:name="_Toc30539"/>
      <w:r>
        <w:rPr>
          <w:rStyle w:val="16"/>
          <w:rFonts w:hint="eastAsia" w:ascii="仿宋_GB2312" w:hAnsi="仿宋_GB2312" w:eastAsia="仿宋_GB2312" w:cs="仿宋_GB2312"/>
          <w:b w:val="0"/>
          <w:bCs w:val="0"/>
          <w:spacing w:val="-4"/>
          <w:sz w:val="28"/>
          <w:szCs w:val="28"/>
          <w:lang w:val="en-US" w:eastAsia="zh-CN"/>
        </w:rPr>
        <w:t>三</w:t>
      </w:r>
      <w:r>
        <w:rPr>
          <w:rStyle w:val="16"/>
          <w:rFonts w:hint="eastAsia" w:ascii="仿宋_GB2312" w:hAnsi="仿宋_GB2312" w:eastAsia="仿宋_GB2312" w:cs="仿宋_GB2312"/>
          <w:b w:val="0"/>
          <w:bCs w:val="0"/>
          <w:spacing w:val="-4"/>
          <w:sz w:val="28"/>
          <w:szCs w:val="28"/>
          <w:lang w:eastAsia="zh-CN"/>
        </w:rPr>
        <w:t>、综合评价情况及评价结论</w:t>
      </w:r>
      <w:bookmarkEnd w:id="7"/>
    </w:p>
    <w:p w14:paraId="3E5C2F63">
      <w:pPr>
        <w:pStyle w:val="2"/>
        <w:ind w:left="0" w:leftChars="0" w:firstLine="0" w:firstLineChars="0"/>
        <w:rPr>
          <w:rStyle w:val="16"/>
          <w:rFonts w:hint="eastAsia" w:ascii="仿宋_GB2312" w:hAnsi="仿宋_GB2312" w:eastAsia="仿宋_GB2312" w:cs="仿宋_GB2312"/>
          <w:b w:val="0"/>
          <w:bCs/>
          <w:spacing w:val="-4"/>
          <w:kern w:val="0"/>
          <w:sz w:val="28"/>
          <w:szCs w:val="28"/>
          <w:lang w:val="en-US" w:eastAsia="zh-CN" w:bidi="ar"/>
        </w:rPr>
      </w:pPr>
      <w:r>
        <w:rPr>
          <w:rStyle w:val="16"/>
          <w:rFonts w:hint="eastAsia" w:ascii="仿宋_GB2312" w:hAnsi="仿宋_GB2312" w:eastAsia="仿宋_GB2312" w:cs="仿宋_GB2312"/>
          <w:b w:val="0"/>
          <w:bCs/>
          <w:spacing w:val="-4"/>
          <w:kern w:val="0"/>
          <w:sz w:val="28"/>
          <w:szCs w:val="28"/>
          <w:lang w:val="en-US" w:eastAsia="zh-CN" w:bidi="ar"/>
        </w:rPr>
        <w:t>（一）综合评价情况</w:t>
      </w:r>
    </w:p>
    <w:p w14:paraId="37B62B00">
      <w:pPr>
        <w:pStyle w:val="2"/>
        <w:ind w:left="0" w:leftChars="0" w:firstLine="544" w:firstLineChars="200"/>
        <w:rPr>
          <w:rStyle w:val="16"/>
          <w:rFonts w:hint="eastAsia" w:ascii="仿宋_GB2312" w:hAnsi="仿宋_GB2312" w:eastAsia="仿宋_GB2312" w:cs="仿宋_GB2312"/>
          <w:b w:val="0"/>
          <w:bCs/>
          <w:spacing w:val="-4"/>
          <w:kern w:val="0"/>
          <w:sz w:val="28"/>
          <w:szCs w:val="28"/>
          <w:lang w:val="en-US" w:eastAsia="zh-CN" w:bidi="ar"/>
        </w:rPr>
      </w:pPr>
      <w:r>
        <w:rPr>
          <w:rStyle w:val="16"/>
          <w:rFonts w:hint="eastAsia" w:ascii="仿宋_GB2312" w:hAnsi="仿宋_GB2312" w:eastAsia="仿宋_GB2312" w:cs="仿宋_GB2312"/>
          <w:b w:val="0"/>
          <w:bCs/>
          <w:spacing w:val="-4"/>
          <w:kern w:val="0"/>
          <w:sz w:val="28"/>
          <w:szCs w:val="28"/>
          <w:lang w:val="en-US" w:eastAsia="zh-CN" w:bidi="ar"/>
        </w:rPr>
        <w:t>本项目严格按照科学公正、统筹兼顾、激励约束、公开透明等绩效评价原则，采用支出与效益进行对比分析的成本效益分析法评价方法，坚持计划标准评价绩效评价标准对本项目的立项、项绩效目标、资金投入、资金管理、组织实施、产出数量、产出质量、产出时效、产出成本、项目效益进行了综合评价。</w:t>
      </w:r>
    </w:p>
    <w:p w14:paraId="04DF790D">
      <w:pPr>
        <w:pStyle w:val="2"/>
        <w:ind w:firstLine="2819" w:firstLineChars="900"/>
        <w:outlineLvl w:val="0"/>
        <w:rPr>
          <w:rStyle w:val="16"/>
          <w:rFonts w:hint="eastAsia" w:ascii="仿宋_GB2312" w:hAnsi="仿宋_GB2312" w:eastAsia="仿宋_GB2312" w:cs="仿宋_GB2312"/>
          <w:b/>
          <w:bCs w:val="0"/>
          <w:spacing w:val="-4"/>
          <w:kern w:val="0"/>
          <w:sz w:val="32"/>
          <w:szCs w:val="32"/>
          <w:lang w:val="en-US" w:eastAsia="zh-CN" w:bidi="ar"/>
        </w:rPr>
      </w:pPr>
      <w:bookmarkStart w:id="8" w:name="_Toc314"/>
      <w:r>
        <w:rPr>
          <w:rStyle w:val="16"/>
          <w:rFonts w:hint="eastAsia" w:ascii="仿宋_GB2312" w:hAnsi="仿宋_GB2312" w:eastAsia="仿宋_GB2312" w:cs="仿宋_GB2312"/>
          <w:b/>
          <w:bCs w:val="0"/>
          <w:spacing w:val="-4"/>
          <w:kern w:val="0"/>
          <w:sz w:val="32"/>
          <w:szCs w:val="32"/>
          <w:lang w:val="en-US" w:eastAsia="zh-CN" w:bidi="ar"/>
        </w:rPr>
        <w:t>项目评价得分情况</w:t>
      </w:r>
      <w:bookmarkEnd w:id="8"/>
    </w:p>
    <w:tbl>
      <w:tblPr>
        <w:tblStyle w:val="14"/>
        <w:tblpPr w:leftFromText="180" w:rightFromText="180" w:vertAnchor="text" w:horzAnchor="page" w:tblpX="1590" w:tblpY="399"/>
        <w:tblOverlap w:val="never"/>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351"/>
        <w:gridCol w:w="2635"/>
      </w:tblGrid>
      <w:tr w14:paraId="3F7D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noWrap w:val="0"/>
            <w:vAlign w:val="top"/>
          </w:tcPr>
          <w:p w14:paraId="241813E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一级指标</w:t>
            </w:r>
          </w:p>
        </w:tc>
        <w:tc>
          <w:tcPr>
            <w:tcW w:w="1992" w:type="dxa"/>
            <w:noWrap w:val="0"/>
            <w:vAlign w:val="top"/>
          </w:tcPr>
          <w:p w14:paraId="31EDDDF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二级指标</w:t>
            </w:r>
          </w:p>
        </w:tc>
        <w:tc>
          <w:tcPr>
            <w:tcW w:w="1992" w:type="dxa"/>
            <w:noWrap w:val="0"/>
            <w:vAlign w:val="top"/>
          </w:tcPr>
          <w:p w14:paraId="52CC6EA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三级指标</w:t>
            </w:r>
          </w:p>
        </w:tc>
        <w:tc>
          <w:tcPr>
            <w:tcW w:w="1351" w:type="dxa"/>
            <w:noWrap w:val="0"/>
            <w:vAlign w:val="top"/>
          </w:tcPr>
          <w:p w14:paraId="04E8443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分值</w:t>
            </w:r>
          </w:p>
        </w:tc>
        <w:tc>
          <w:tcPr>
            <w:tcW w:w="2635" w:type="dxa"/>
            <w:noWrap w:val="0"/>
            <w:vAlign w:val="top"/>
          </w:tcPr>
          <w:p w14:paraId="5E303F8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Style w:val="16"/>
                <w:rFonts w:hint="eastAsia" w:ascii="新宋体" w:hAnsi="新宋体" w:eastAsia="新宋体" w:cs="新宋体"/>
                <w:b/>
                <w:bCs w:val="0"/>
                <w:spacing w:val="-4"/>
                <w:sz w:val="21"/>
                <w:szCs w:val="21"/>
                <w:vertAlign w:val="baseline"/>
              </w:rPr>
              <w:t>得分</w:t>
            </w:r>
          </w:p>
        </w:tc>
      </w:tr>
      <w:tr w14:paraId="506D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03D1624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项目决策</w:t>
            </w:r>
          </w:p>
        </w:tc>
        <w:tc>
          <w:tcPr>
            <w:tcW w:w="1992" w:type="dxa"/>
            <w:vMerge w:val="restart"/>
            <w:noWrap w:val="0"/>
            <w:vAlign w:val="center"/>
          </w:tcPr>
          <w:p w14:paraId="48E453F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项目立项</w:t>
            </w:r>
          </w:p>
        </w:tc>
        <w:tc>
          <w:tcPr>
            <w:tcW w:w="1992" w:type="dxa"/>
            <w:noWrap w:val="0"/>
            <w:vAlign w:val="center"/>
          </w:tcPr>
          <w:p w14:paraId="51F3E5BC">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立项依据充分性</w:t>
            </w:r>
          </w:p>
        </w:tc>
        <w:tc>
          <w:tcPr>
            <w:tcW w:w="1351" w:type="dxa"/>
            <w:noWrap w:val="0"/>
            <w:vAlign w:val="top"/>
          </w:tcPr>
          <w:p w14:paraId="262D0F2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lang w:val="en-US" w:eastAsia="zh-CN" w:bidi="ar-SA"/>
              </w:rPr>
            </w:pPr>
            <w:r>
              <w:rPr>
                <w:rFonts w:hint="eastAsia" w:ascii="新宋体" w:hAnsi="新宋体" w:eastAsia="新宋体" w:cs="新宋体"/>
                <w:sz w:val="21"/>
                <w:szCs w:val="21"/>
                <w:lang w:val="en-US" w:eastAsia="zh-CN"/>
              </w:rPr>
              <w:t>3</w:t>
            </w:r>
          </w:p>
        </w:tc>
        <w:tc>
          <w:tcPr>
            <w:tcW w:w="2635" w:type="dxa"/>
            <w:noWrap w:val="0"/>
            <w:vAlign w:val="top"/>
          </w:tcPr>
          <w:p w14:paraId="79900E7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lang w:val="en-US" w:eastAsia="zh-CN" w:bidi="ar-SA"/>
              </w:rPr>
            </w:pPr>
            <w:r>
              <w:rPr>
                <w:rFonts w:hint="eastAsia" w:ascii="新宋体" w:hAnsi="新宋体" w:eastAsia="新宋体" w:cs="新宋体"/>
                <w:sz w:val="21"/>
                <w:szCs w:val="21"/>
                <w:lang w:val="en-US" w:eastAsia="zh-CN"/>
              </w:rPr>
              <w:t>3</w:t>
            </w:r>
          </w:p>
        </w:tc>
      </w:tr>
      <w:tr w14:paraId="193C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792797E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0B1AA2E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1910695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立项程序规范性</w:t>
            </w:r>
          </w:p>
        </w:tc>
        <w:tc>
          <w:tcPr>
            <w:tcW w:w="1351" w:type="dxa"/>
            <w:noWrap w:val="0"/>
            <w:vAlign w:val="top"/>
          </w:tcPr>
          <w:p w14:paraId="52472B1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lang w:val="en-US" w:eastAsia="zh-CN"/>
              </w:rPr>
              <w:t>3</w:t>
            </w:r>
          </w:p>
        </w:tc>
        <w:tc>
          <w:tcPr>
            <w:tcW w:w="2635" w:type="dxa"/>
            <w:noWrap w:val="0"/>
            <w:vAlign w:val="top"/>
          </w:tcPr>
          <w:p w14:paraId="00C0D70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lang w:val="en-US" w:eastAsia="zh-CN"/>
              </w:rPr>
              <w:t>3</w:t>
            </w:r>
          </w:p>
        </w:tc>
      </w:tr>
      <w:tr w14:paraId="1A6F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1B7896C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1516850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绩效目标</w:t>
            </w:r>
          </w:p>
        </w:tc>
        <w:tc>
          <w:tcPr>
            <w:tcW w:w="1992" w:type="dxa"/>
            <w:noWrap w:val="0"/>
            <w:vAlign w:val="center"/>
          </w:tcPr>
          <w:p w14:paraId="259E306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绩效目标合理性</w:t>
            </w:r>
          </w:p>
        </w:tc>
        <w:tc>
          <w:tcPr>
            <w:tcW w:w="1351" w:type="dxa"/>
            <w:noWrap w:val="0"/>
            <w:vAlign w:val="top"/>
          </w:tcPr>
          <w:p w14:paraId="565BF1A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5FC9D37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kern w:val="2"/>
                <w:sz w:val="21"/>
                <w:szCs w:val="21"/>
                <w:vertAlign w:val="baseline"/>
                <w:lang w:val="en-US" w:eastAsia="zh-CN" w:bidi="ar-SA"/>
              </w:rPr>
              <w:t>3</w:t>
            </w:r>
          </w:p>
        </w:tc>
      </w:tr>
      <w:tr w14:paraId="2431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40D95DC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3F7F3E8C">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绩效目标</w:t>
            </w:r>
          </w:p>
        </w:tc>
        <w:tc>
          <w:tcPr>
            <w:tcW w:w="1992" w:type="dxa"/>
            <w:noWrap w:val="0"/>
            <w:vAlign w:val="center"/>
          </w:tcPr>
          <w:p w14:paraId="216C8D4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绩效指标明确性</w:t>
            </w:r>
          </w:p>
        </w:tc>
        <w:tc>
          <w:tcPr>
            <w:tcW w:w="1351" w:type="dxa"/>
            <w:noWrap w:val="0"/>
            <w:vAlign w:val="top"/>
          </w:tcPr>
          <w:p w14:paraId="1A7F2A3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583DD84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kern w:val="2"/>
                <w:sz w:val="21"/>
                <w:szCs w:val="21"/>
                <w:vertAlign w:val="baseline"/>
                <w:lang w:val="en-US" w:eastAsia="zh-CN" w:bidi="ar-SA"/>
              </w:rPr>
              <w:t>3</w:t>
            </w:r>
          </w:p>
        </w:tc>
      </w:tr>
      <w:tr w14:paraId="5539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7208876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restart"/>
            <w:noWrap w:val="0"/>
            <w:vAlign w:val="center"/>
          </w:tcPr>
          <w:p w14:paraId="25AA4F97">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资金投入</w:t>
            </w:r>
          </w:p>
        </w:tc>
        <w:tc>
          <w:tcPr>
            <w:tcW w:w="1992" w:type="dxa"/>
            <w:noWrap w:val="0"/>
            <w:vAlign w:val="center"/>
          </w:tcPr>
          <w:p w14:paraId="25AC7DE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预算编制科学性</w:t>
            </w:r>
          </w:p>
        </w:tc>
        <w:tc>
          <w:tcPr>
            <w:tcW w:w="1351" w:type="dxa"/>
            <w:noWrap w:val="0"/>
            <w:vAlign w:val="top"/>
          </w:tcPr>
          <w:p w14:paraId="4E9A5A3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c>
          <w:tcPr>
            <w:tcW w:w="2635" w:type="dxa"/>
            <w:noWrap w:val="0"/>
            <w:vAlign w:val="top"/>
          </w:tcPr>
          <w:p w14:paraId="0571E13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r>
      <w:tr w14:paraId="3C31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54B41AC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0E768A9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12311AA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资金分配合理性</w:t>
            </w:r>
          </w:p>
        </w:tc>
        <w:tc>
          <w:tcPr>
            <w:tcW w:w="1351" w:type="dxa"/>
            <w:noWrap w:val="0"/>
            <w:vAlign w:val="top"/>
          </w:tcPr>
          <w:p w14:paraId="3B2466C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c>
          <w:tcPr>
            <w:tcW w:w="2635" w:type="dxa"/>
            <w:noWrap w:val="0"/>
            <w:vAlign w:val="top"/>
          </w:tcPr>
          <w:p w14:paraId="58BA68A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4</w:t>
            </w:r>
          </w:p>
        </w:tc>
      </w:tr>
      <w:tr w14:paraId="43F54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6A8D256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项目过程</w:t>
            </w:r>
          </w:p>
        </w:tc>
        <w:tc>
          <w:tcPr>
            <w:tcW w:w="1992" w:type="dxa"/>
            <w:vMerge w:val="restart"/>
            <w:noWrap w:val="0"/>
            <w:vAlign w:val="center"/>
          </w:tcPr>
          <w:p w14:paraId="202BCDA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资金管理</w:t>
            </w:r>
          </w:p>
        </w:tc>
        <w:tc>
          <w:tcPr>
            <w:tcW w:w="1992" w:type="dxa"/>
            <w:noWrap w:val="0"/>
            <w:vAlign w:val="center"/>
          </w:tcPr>
          <w:p w14:paraId="2399711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资金到位率</w:t>
            </w:r>
          </w:p>
        </w:tc>
        <w:tc>
          <w:tcPr>
            <w:tcW w:w="1351" w:type="dxa"/>
            <w:noWrap w:val="0"/>
            <w:vAlign w:val="top"/>
          </w:tcPr>
          <w:p w14:paraId="529E6A8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2</w:t>
            </w:r>
          </w:p>
        </w:tc>
        <w:tc>
          <w:tcPr>
            <w:tcW w:w="2635" w:type="dxa"/>
            <w:noWrap w:val="0"/>
            <w:vAlign w:val="top"/>
          </w:tcPr>
          <w:p w14:paraId="2CB7FA0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2</w:t>
            </w:r>
          </w:p>
        </w:tc>
      </w:tr>
      <w:tr w14:paraId="75E4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2A54465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6EAC04A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0353343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预算执行率</w:t>
            </w:r>
          </w:p>
        </w:tc>
        <w:tc>
          <w:tcPr>
            <w:tcW w:w="1351" w:type="dxa"/>
            <w:noWrap w:val="0"/>
            <w:vAlign w:val="top"/>
          </w:tcPr>
          <w:p w14:paraId="678A033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5</w:t>
            </w:r>
          </w:p>
        </w:tc>
        <w:tc>
          <w:tcPr>
            <w:tcW w:w="2635" w:type="dxa"/>
            <w:noWrap w:val="0"/>
            <w:vAlign w:val="top"/>
          </w:tcPr>
          <w:p w14:paraId="1AFADC8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5</w:t>
            </w:r>
          </w:p>
        </w:tc>
      </w:tr>
      <w:tr w14:paraId="7E05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0B6F7D9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3044CCD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459C3EF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资金使用合规性</w:t>
            </w:r>
          </w:p>
        </w:tc>
        <w:tc>
          <w:tcPr>
            <w:tcW w:w="1351" w:type="dxa"/>
            <w:noWrap w:val="0"/>
            <w:vAlign w:val="top"/>
          </w:tcPr>
          <w:p w14:paraId="6F6643B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c>
          <w:tcPr>
            <w:tcW w:w="2635" w:type="dxa"/>
            <w:noWrap w:val="0"/>
            <w:vAlign w:val="top"/>
          </w:tcPr>
          <w:p w14:paraId="7D67C89A">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3</w:t>
            </w:r>
          </w:p>
        </w:tc>
      </w:tr>
      <w:tr w14:paraId="39B7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30334885">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restart"/>
            <w:noWrap w:val="0"/>
            <w:vAlign w:val="center"/>
          </w:tcPr>
          <w:p w14:paraId="47430572">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Fonts w:hint="eastAsia" w:ascii="新宋体" w:hAnsi="新宋体" w:eastAsia="新宋体" w:cs="新宋体"/>
                <w:color w:val="000000"/>
                <w:kern w:val="0"/>
                <w:sz w:val="21"/>
                <w:szCs w:val="21"/>
              </w:rPr>
            </w:pPr>
            <w:r>
              <w:rPr>
                <w:rFonts w:hint="eastAsia" w:ascii="新宋体" w:hAnsi="新宋体" w:eastAsia="新宋体" w:cs="新宋体"/>
                <w:color w:val="000000"/>
                <w:kern w:val="0"/>
                <w:sz w:val="21"/>
                <w:szCs w:val="21"/>
              </w:rPr>
              <w:t>组织实施</w:t>
            </w:r>
          </w:p>
          <w:p w14:paraId="78E1B1A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65DE14D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管理制度健全性</w:t>
            </w:r>
          </w:p>
        </w:tc>
        <w:tc>
          <w:tcPr>
            <w:tcW w:w="1351" w:type="dxa"/>
            <w:noWrap w:val="0"/>
            <w:vAlign w:val="top"/>
          </w:tcPr>
          <w:p w14:paraId="2A2A8FC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c>
          <w:tcPr>
            <w:tcW w:w="2635" w:type="dxa"/>
            <w:noWrap w:val="0"/>
            <w:vAlign w:val="top"/>
          </w:tcPr>
          <w:p w14:paraId="094848D9">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r>
      <w:tr w14:paraId="0432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4DA7B9C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054FAB8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02B85FCD">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制度执行有效性</w:t>
            </w:r>
          </w:p>
        </w:tc>
        <w:tc>
          <w:tcPr>
            <w:tcW w:w="1351" w:type="dxa"/>
            <w:noWrap w:val="0"/>
            <w:vAlign w:val="top"/>
          </w:tcPr>
          <w:p w14:paraId="5440ED2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c>
          <w:tcPr>
            <w:tcW w:w="2635" w:type="dxa"/>
            <w:noWrap w:val="0"/>
            <w:vAlign w:val="top"/>
          </w:tcPr>
          <w:p w14:paraId="7412D97F">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5</w:t>
            </w:r>
          </w:p>
        </w:tc>
      </w:tr>
      <w:tr w14:paraId="7B79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2CFD81E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项目产出</w:t>
            </w:r>
          </w:p>
        </w:tc>
        <w:tc>
          <w:tcPr>
            <w:tcW w:w="1992" w:type="dxa"/>
            <w:noWrap w:val="0"/>
            <w:vAlign w:val="center"/>
          </w:tcPr>
          <w:p w14:paraId="731839CA">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产出数量</w:t>
            </w:r>
          </w:p>
        </w:tc>
        <w:tc>
          <w:tcPr>
            <w:tcW w:w="1992" w:type="dxa"/>
            <w:noWrap w:val="0"/>
            <w:vAlign w:val="center"/>
          </w:tcPr>
          <w:p w14:paraId="5B60F6B6">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实际完成率</w:t>
            </w:r>
          </w:p>
        </w:tc>
        <w:tc>
          <w:tcPr>
            <w:tcW w:w="1351" w:type="dxa"/>
            <w:noWrap w:val="0"/>
            <w:vAlign w:val="top"/>
          </w:tcPr>
          <w:p w14:paraId="514A154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rPr>
              <w:t>8</w:t>
            </w:r>
          </w:p>
        </w:tc>
        <w:tc>
          <w:tcPr>
            <w:tcW w:w="2635" w:type="dxa"/>
            <w:noWrap w:val="0"/>
            <w:vAlign w:val="center"/>
          </w:tcPr>
          <w:p w14:paraId="0023950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8</w:t>
            </w:r>
          </w:p>
        </w:tc>
      </w:tr>
      <w:tr w14:paraId="2FC9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3D9548A9">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244CCA9B">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质</w:t>
            </w:r>
            <w:r>
              <w:rPr>
                <w:rFonts w:hint="eastAsia" w:ascii="新宋体" w:hAnsi="新宋体" w:eastAsia="新宋体" w:cs="新宋体"/>
                <w:color w:val="000000"/>
                <w:kern w:val="0"/>
                <w:sz w:val="21"/>
                <w:szCs w:val="21"/>
              </w:rPr>
              <w:t>量</w:t>
            </w:r>
          </w:p>
        </w:tc>
        <w:tc>
          <w:tcPr>
            <w:tcW w:w="1992" w:type="dxa"/>
            <w:noWrap w:val="0"/>
            <w:vAlign w:val="center"/>
          </w:tcPr>
          <w:p w14:paraId="4D3735F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质量达标率</w:t>
            </w:r>
          </w:p>
        </w:tc>
        <w:tc>
          <w:tcPr>
            <w:tcW w:w="1351" w:type="dxa"/>
            <w:noWrap w:val="0"/>
            <w:vAlign w:val="top"/>
          </w:tcPr>
          <w:p w14:paraId="16D794C5">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8</w:t>
            </w:r>
          </w:p>
        </w:tc>
        <w:tc>
          <w:tcPr>
            <w:tcW w:w="2635" w:type="dxa"/>
            <w:noWrap w:val="0"/>
            <w:vAlign w:val="center"/>
          </w:tcPr>
          <w:p w14:paraId="06214EC6">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8</w:t>
            </w:r>
          </w:p>
        </w:tc>
      </w:tr>
      <w:tr w14:paraId="786C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5983EB5C">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2B4A547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lang w:eastAsia="zh-CN"/>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时效</w:t>
            </w:r>
          </w:p>
        </w:tc>
        <w:tc>
          <w:tcPr>
            <w:tcW w:w="1992" w:type="dxa"/>
            <w:noWrap w:val="0"/>
            <w:vAlign w:val="center"/>
          </w:tcPr>
          <w:p w14:paraId="75F45172">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完成及时性</w:t>
            </w:r>
          </w:p>
        </w:tc>
        <w:tc>
          <w:tcPr>
            <w:tcW w:w="1351" w:type="dxa"/>
            <w:noWrap w:val="0"/>
            <w:vAlign w:val="top"/>
          </w:tcPr>
          <w:p w14:paraId="7305D27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7</w:t>
            </w:r>
          </w:p>
        </w:tc>
        <w:tc>
          <w:tcPr>
            <w:tcW w:w="2635" w:type="dxa"/>
            <w:noWrap w:val="0"/>
            <w:vAlign w:val="center"/>
          </w:tcPr>
          <w:p w14:paraId="066DF017">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7</w:t>
            </w:r>
          </w:p>
        </w:tc>
      </w:tr>
      <w:tr w14:paraId="2ACA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2538320F">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4556A2A8">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lang w:eastAsia="zh-CN"/>
              </w:rPr>
            </w:pPr>
            <w:r>
              <w:rPr>
                <w:rFonts w:hint="eastAsia" w:ascii="新宋体" w:hAnsi="新宋体" w:eastAsia="新宋体" w:cs="新宋体"/>
                <w:color w:val="000000"/>
                <w:kern w:val="0"/>
                <w:sz w:val="21"/>
                <w:szCs w:val="21"/>
              </w:rPr>
              <w:t>产出</w:t>
            </w:r>
            <w:r>
              <w:rPr>
                <w:rFonts w:hint="eastAsia" w:ascii="新宋体" w:hAnsi="新宋体" w:eastAsia="新宋体" w:cs="新宋体"/>
                <w:color w:val="000000"/>
                <w:kern w:val="0"/>
                <w:sz w:val="21"/>
                <w:szCs w:val="21"/>
                <w:lang w:val="en-US" w:eastAsia="zh-CN"/>
              </w:rPr>
              <w:t>成本</w:t>
            </w:r>
          </w:p>
        </w:tc>
        <w:tc>
          <w:tcPr>
            <w:tcW w:w="1992" w:type="dxa"/>
            <w:noWrap w:val="0"/>
            <w:vAlign w:val="center"/>
          </w:tcPr>
          <w:p w14:paraId="75AEBEE4">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成本完成率</w:t>
            </w:r>
          </w:p>
        </w:tc>
        <w:tc>
          <w:tcPr>
            <w:tcW w:w="1351" w:type="dxa"/>
            <w:noWrap w:val="0"/>
            <w:vAlign w:val="top"/>
          </w:tcPr>
          <w:p w14:paraId="2DC4F18E">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7</w:t>
            </w:r>
          </w:p>
        </w:tc>
        <w:tc>
          <w:tcPr>
            <w:tcW w:w="2635" w:type="dxa"/>
            <w:noWrap w:val="0"/>
            <w:vAlign w:val="center"/>
          </w:tcPr>
          <w:p w14:paraId="1319AA0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7</w:t>
            </w:r>
          </w:p>
        </w:tc>
      </w:tr>
      <w:tr w14:paraId="7D33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restart"/>
            <w:noWrap w:val="0"/>
            <w:vAlign w:val="center"/>
          </w:tcPr>
          <w:p w14:paraId="07E9C053">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i w:val="0"/>
                <w:caps w:val="0"/>
                <w:color w:val="030303"/>
                <w:spacing w:val="0"/>
                <w:sz w:val="21"/>
                <w:szCs w:val="21"/>
                <w:shd w:val="clear" w:color="auto" w:fill="FFFFFF"/>
              </w:rPr>
              <w:t>项目效益</w:t>
            </w:r>
            <w:r>
              <w:rPr>
                <w:rFonts w:hint="eastAsia" w:ascii="新宋体" w:hAnsi="新宋体" w:eastAsia="新宋体" w:cs="新宋体"/>
                <w:color w:val="000000"/>
                <w:kern w:val="0"/>
                <w:sz w:val="21"/>
                <w:szCs w:val="21"/>
              </w:rPr>
              <w:t>　</w:t>
            </w:r>
          </w:p>
        </w:tc>
        <w:tc>
          <w:tcPr>
            <w:tcW w:w="1992" w:type="dxa"/>
            <w:vMerge w:val="restart"/>
            <w:noWrap w:val="0"/>
            <w:vAlign w:val="center"/>
          </w:tcPr>
          <w:p w14:paraId="0CD3EAA0">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r>
              <w:rPr>
                <w:rFonts w:hint="eastAsia" w:ascii="新宋体" w:hAnsi="新宋体" w:eastAsia="新宋体" w:cs="新宋体"/>
                <w:color w:val="000000"/>
                <w:kern w:val="0"/>
                <w:sz w:val="21"/>
                <w:szCs w:val="21"/>
              </w:rPr>
              <w:t>项目效益</w:t>
            </w:r>
          </w:p>
        </w:tc>
        <w:tc>
          <w:tcPr>
            <w:tcW w:w="1992" w:type="dxa"/>
            <w:noWrap w:val="0"/>
            <w:vAlign w:val="center"/>
          </w:tcPr>
          <w:p w14:paraId="4162DFA3">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实施效益</w:t>
            </w:r>
          </w:p>
        </w:tc>
        <w:tc>
          <w:tcPr>
            <w:tcW w:w="1351" w:type="dxa"/>
            <w:noWrap w:val="0"/>
            <w:vAlign w:val="top"/>
          </w:tcPr>
          <w:p w14:paraId="19A96B57">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15</w:t>
            </w:r>
          </w:p>
        </w:tc>
        <w:tc>
          <w:tcPr>
            <w:tcW w:w="2635" w:type="dxa"/>
            <w:noWrap w:val="0"/>
            <w:vAlign w:val="center"/>
          </w:tcPr>
          <w:p w14:paraId="7BE06772">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15</w:t>
            </w:r>
          </w:p>
        </w:tc>
      </w:tr>
      <w:tr w14:paraId="7B51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92" w:type="dxa"/>
            <w:vMerge w:val="continue"/>
            <w:noWrap w:val="0"/>
            <w:vAlign w:val="center"/>
          </w:tcPr>
          <w:p w14:paraId="0F72671D">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vMerge w:val="continue"/>
            <w:noWrap w:val="0"/>
            <w:vAlign w:val="center"/>
          </w:tcPr>
          <w:p w14:paraId="26C1FEF1">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bCs w:val="0"/>
                <w:spacing w:val="-4"/>
                <w:sz w:val="21"/>
                <w:szCs w:val="21"/>
                <w:vertAlign w:val="baseline"/>
              </w:rPr>
            </w:pPr>
          </w:p>
        </w:tc>
        <w:tc>
          <w:tcPr>
            <w:tcW w:w="1992" w:type="dxa"/>
            <w:noWrap w:val="0"/>
            <w:vAlign w:val="center"/>
          </w:tcPr>
          <w:p w14:paraId="5E9F3E9B">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vertAlign w:val="baseline"/>
              </w:rPr>
              <w:t>满意度</w:t>
            </w:r>
          </w:p>
        </w:tc>
        <w:tc>
          <w:tcPr>
            <w:tcW w:w="1351" w:type="dxa"/>
            <w:noWrap w:val="0"/>
            <w:vAlign w:val="top"/>
          </w:tcPr>
          <w:p w14:paraId="68C47078">
            <w:pPr>
              <w:keepNext w:val="0"/>
              <w:keepLines w:val="0"/>
              <w:pageBreakBefore w:val="0"/>
              <w:kinsoku/>
              <w:wordWrap/>
              <w:overflowPunct/>
              <w:topLinePunct w:val="0"/>
              <w:autoSpaceDE/>
              <w:autoSpaceDN/>
              <w:bidi w:val="0"/>
              <w:adjustRightInd/>
              <w:spacing w:line="560" w:lineRule="exact"/>
              <w:jc w:val="center"/>
              <w:rPr>
                <w:rFonts w:hint="eastAsia" w:ascii="新宋体" w:hAnsi="新宋体" w:eastAsia="新宋体" w:cs="新宋体"/>
                <w:kern w:val="2"/>
                <w:sz w:val="21"/>
                <w:szCs w:val="21"/>
                <w:vertAlign w:val="baseline"/>
                <w:lang w:val="en-US" w:eastAsia="zh-CN" w:bidi="ar-SA"/>
              </w:rPr>
            </w:pPr>
            <w:r>
              <w:rPr>
                <w:rFonts w:hint="eastAsia" w:ascii="新宋体" w:hAnsi="新宋体" w:eastAsia="新宋体" w:cs="新宋体"/>
                <w:sz w:val="21"/>
                <w:szCs w:val="21"/>
                <w:lang w:val="en-US" w:eastAsia="zh-CN"/>
              </w:rPr>
              <w:t>15</w:t>
            </w:r>
          </w:p>
        </w:tc>
        <w:tc>
          <w:tcPr>
            <w:tcW w:w="2635" w:type="dxa"/>
            <w:noWrap w:val="0"/>
            <w:vAlign w:val="center"/>
          </w:tcPr>
          <w:p w14:paraId="1CCA2AD4">
            <w:pPr>
              <w:keepNext w:val="0"/>
              <w:keepLines w:val="0"/>
              <w:pageBreakBefore w:val="0"/>
              <w:widowControl/>
              <w:kinsoku/>
              <w:wordWrap/>
              <w:overflowPunct/>
              <w:topLinePunct w:val="0"/>
              <w:autoSpaceDE/>
              <w:autoSpaceDN/>
              <w:bidi w:val="0"/>
              <w:adjustRightInd/>
              <w:snapToGrid/>
              <w:spacing w:after="0" w:line="560" w:lineRule="exact"/>
              <w:ind w:right="0" w:rightChars="0"/>
              <w:jc w:val="center"/>
              <w:textAlignment w:val="auto"/>
              <w:outlineLvl w:val="9"/>
              <w:rPr>
                <w:rStyle w:val="16"/>
                <w:rFonts w:hint="eastAsia" w:ascii="新宋体" w:hAnsi="新宋体" w:eastAsia="新宋体" w:cs="新宋体"/>
                <w:b w:val="0"/>
                <w:bCs/>
                <w:spacing w:val="-4"/>
                <w:sz w:val="21"/>
                <w:szCs w:val="21"/>
                <w:vertAlign w:val="baseline"/>
                <w:lang w:val="en-US" w:eastAsia="zh-CN"/>
              </w:rPr>
            </w:pPr>
            <w:r>
              <w:rPr>
                <w:rStyle w:val="16"/>
                <w:rFonts w:hint="eastAsia" w:ascii="新宋体" w:hAnsi="新宋体" w:eastAsia="新宋体" w:cs="新宋体"/>
                <w:b w:val="0"/>
                <w:bCs/>
                <w:spacing w:val="-4"/>
                <w:sz w:val="21"/>
                <w:szCs w:val="21"/>
                <w:vertAlign w:val="baseline"/>
                <w:lang w:val="en-US" w:eastAsia="zh-CN"/>
              </w:rPr>
              <w:t>15</w:t>
            </w:r>
          </w:p>
        </w:tc>
      </w:tr>
    </w:tbl>
    <w:p w14:paraId="142FBC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640"/>
        <w:jc w:val="both"/>
        <w:rPr>
          <w:rStyle w:val="16"/>
          <w:rFonts w:hint="eastAsia" w:ascii="新宋体" w:hAnsi="新宋体" w:eastAsia="新宋体" w:cs="新宋体"/>
          <w:b w:val="0"/>
          <w:bCs/>
          <w:color w:val="auto"/>
          <w:spacing w:val="-4"/>
          <w:sz w:val="21"/>
          <w:szCs w:val="21"/>
          <w:lang w:val="en-US" w:eastAsia="zh-CN"/>
        </w:rPr>
      </w:pPr>
      <w:r>
        <w:rPr>
          <w:rStyle w:val="16"/>
          <w:rFonts w:hint="eastAsia" w:ascii="新宋体" w:hAnsi="新宋体" w:eastAsia="新宋体" w:cs="新宋体"/>
          <w:b w:val="0"/>
          <w:bCs/>
          <w:i w:val="0"/>
          <w:caps w:val="0"/>
          <w:color w:val="030303"/>
          <w:spacing w:val="0"/>
          <w:sz w:val="21"/>
          <w:szCs w:val="21"/>
          <w:shd w:val="clear" w:color="auto" w:fill="FFFFFF"/>
          <w:lang w:val="en-US" w:eastAsia="zh-CN"/>
        </w:rPr>
        <w:t xml:space="preserve">                                                 </w:t>
      </w:r>
      <w:r>
        <w:rPr>
          <w:rStyle w:val="16"/>
          <w:rFonts w:hint="eastAsia" w:ascii="新宋体" w:hAnsi="新宋体" w:eastAsia="新宋体" w:cs="新宋体"/>
          <w:i w:val="0"/>
          <w:caps w:val="0"/>
          <w:color w:val="030303"/>
          <w:spacing w:val="0"/>
          <w:sz w:val="21"/>
          <w:szCs w:val="21"/>
          <w:shd w:val="clear" w:color="auto" w:fill="FFFFFF"/>
          <w:lang w:val="en-US" w:eastAsia="zh-CN"/>
        </w:rPr>
        <w:t>合计分：</w:t>
      </w:r>
      <w:r>
        <w:rPr>
          <w:rStyle w:val="16"/>
          <w:rFonts w:hint="eastAsia" w:ascii="新宋体" w:hAnsi="新宋体" w:eastAsia="新宋体" w:cs="新宋体"/>
          <w:b w:val="0"/>
          <w:bCs/>
          <w:i w:val="0"/>
          <w:caps w:val="0"/>
          <w:color w:val="030303"/>
          <w:spacing w:val="0"/>
          <w:sz w:val="21"/>
          <w:szCs w:val="21"/>
          <w:shd w:val="clear" w:color="auto" w:fill="FFFFFF"/>
          <w:lang w:val="en-US" w:eastAsia="zh-CN"/>
        </w:rPr>
        <w:t xml:space="preserve">       100分</w:t>
      </w:r>
    </w:p>
    <w:p w14:paraId="6320AF31">
      <w:pPr>
        <w:spacing w:line="600" w:lineRule="exact"/>
        <w:outlineLvl w:val="0"/>
        <w:rPr>
          <w:rFonts w:hint="eastAsia" w:ascii="仿宋_GB2312" w:hAnsi="仿宋_GB2312" w:eastAsia="仿宋_GB2312" w:cs="仿宋_GB2312"/>
          <w:b/>
          <w:bCs/>
          <w:i w:val="0"/>
          <w:caps w:val="0"/>
          <w:color w:val="000000" w:themeColor="text1"/>
          <w:spacing w:val="0"/>
          <w:sz w:val="28"/>
          <w:szCs w:val="28"/>
          <w:shd w:val="clear" w:color="auto" w:fill="FFFFFF"/>
          <w14:textFill>
            <w14:solidFill>
              <w14:schemeClr w14:val="tx1"/>
            </w14:solidFill>
          </w14:textFill>
        </w:rPr>
      </w:pPr>
      <w:bookmarkStart w:id="9" w:name="_Toc17897"/>
      <w:r>
        <w:rPr>
          <w:rFonts w:hint="eastAsia" w:ascii="仿宋_GB2312" w:hAnsi="仿宋_GB2312" w:eastAsia="仿宋_GB2312" w:cs="仿宋_GB2312"/>
          <w:b/>
          <w:bCs/>
          <w:color w:val="000000" w:themeColor="text1"/>
          <w:sz w:val="28"/>
          <w:szCs w:val="28"/>
          <w14:textFill>
            <w14:solidFill>
              <w14:schemeClr w14:val="tx1"/>
            </w14:solidFill>
          </w14:textFill>
        </w:rPr>
        <w:t>四、绩效评价指标分析</w:t>
      </w:r>
      <w:bookmarkEnd w:id="9"/>
    </w:p>
    <w:p w14:paraId="1F51EA45">
      <w:pPr>
        <w:keepNext w:val="0"/>
        <w:keepLines w:val="0"/>
        <w:pageBreakBefore w:val="0"/>
        <w:kinsoku/>
        <w:wordWrap/>
        <w:overflowPunct/>
        <w:topLinePunct w:val="0"/>
        <w:autoSpaceDE/>
        <w:autoSpaceDN/>
        <w:bidi w:val="0"/>
        <w:adjustRightInd/>
        <w:snapToGrid/>
        <w:spacing w:after="0" w:line="560" w:lineRule="exact"/>
        <w:ind w:right="0" w:rightChars="0"/>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（一）项目决策情况</w:t>
      </w:r>
    </w:p>
    <w:p w14:paraId="40E4F70E">
      <w:pPr>
        <w:keepNext w:val="0"/>
        <w:keepLines w:val="0"/>
        <w:pageBreakBefore w:val="0"/>
        <w:widowControl/>
        <w:kinsoku/>
        <w:wordWrap/>
        <w:overflowPunct/>
        <w:topLinePunct w:val="0"/>
        <w:autoSpaceDE/>
        <w:autoSpaceDN/>
        <w:bidi w:val="0"/>
        <w:adjustRightInd/>
        <w:snapToGrid/>
        <w:spacing w:after="0" w:line="560" w:lineRule="exact"/>
        <w:ind w:right="0" w:rightChars="0" w:firstLine="273" w:firstLineChars="100"/>
        <w:jc w:val="left"/>
        <w:textAlignment w:val="auto"/>
        <w:outlineLvl w:val="9"/>
        <w:rPr>
          <w:rStyle w:val="16"/>
          <w:rFonts w:hint="eastAsia" w:ascii="仿宋_GB2312" w:hAnsi="仿宋_GB2312" w:eastAsia="仿宋_GB2312" w:cs="仿宋_GB2312"/>
          <w:b/>
          <w:bCs w:val="0"/>
          <w:spacing w:val="-4"/>
          <w:sz w:val="28"/>
          <w:szCs w:val="28"/>
          <w:lang w:val="en-US" w:eastAsia="zh-CN"/>
        </w:rPr>
      </w:pPr>
      <w:r>
        <w:rPr>
          <w:rStyle w:val="16"/>
          <w:rFonts w:hint="eastAsia" w:ascii="仿宋_GB2312" w:hAnsi="仿宋_GB2312" w:eastAsia="仿宋_GB2312" w:cs="仿宋_GB2312"/>
          <w:b/>
          <w:bCs w:val="0"/>
          <w:spacing w:val="-4"/>
          <w:sz w:val="28"/>
          <w:szCs w:val="28"/>
          <w:lang w:val="en-US" w:eastAsia="zh-CN"/>
        </w:rPr>
        <w:t>1、立项依据充分性</w:t>
      </w:r>
    </w:p>
    <w:p w14:paraId="053440C5">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544" w:firstLineChars="200"/>
        <w:jc w:val="left"/>
        <w:textAlignment w:val="auto"/>
        <w:outlineLvl w:val="9"/>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项目立项依据：</w:t>
      </w:r>
      <w:r>
        <w:rPr>
          <w:rFonts w:hint="eastAsia" w:ascii="仿宋_GB2312" w:hAnsi="仿宋_GB2312" w:eastAsia="仿宋_GB2312" w:cs="仿宋_GB2312"/>
          <w:sz w:val="28"/>
          <w:szCs w:val="28"/>
          <w:lang w:val="en-US" w:eastAsia="zh-CN"/>
        </w:rPr>
        <w:t>根据自治区人社厅相关工作，做好破产企业遗留问题的要求，</w:t>
      </w:r>
      <w:r>
        <w:rPr>
          <w:rStyle w:val="16"/>
          <w:rFonts w:hint="eastAsia" w:ascii="仿宋_GB2312" w:hAnsi="仿宋_GB2312" w:eastAsia="仿宋_GB2312" w:cs="仿宋_GB2312"/>
          <w:b w:val="0"/>
          <w:bCs/>
          <w:spacing w:val="-4"/>
          <w:sz w:val="28"/>
          <w:szCs w:val="28"/>
          <w:lang w:val="en-US" w:eastAsia="zh-CN"/>
        </w:rPr>
        <w:t>属于部门履职所需。</w:t>
      </w:r>
    </w:p>
    <w:p w14:paraId="0E788398">
      <w:pPr>
        <w:pStyle w:val="2"/>
        <w:numPr>
          <w:ilvl w:val="0"/>
          <w:numId w:val="5"/>
        </w:numPr>
        <w:ind w:left="0" w:leftChars="0" w:firstLine="546" w:firstLineChars="200"/>
        <w:rPr>
          <w:rStyle w:val="16"/>
          <w:rFonts w:hint="eastAsia" w:ascii="仿宋_GB2312" w:hAnsi="仿宋_GB2312" w:eastAsia="仿宋_GB2312" w:cs="仿宋_GB2312"/>
          <w:b/>
          <w:bCs w:val="0"/>
          <w:spacing w:val="-4"/>
          <w:sz w:val="28"/>
          <w:szCs w:val="28"/>
          <w:lang w:eastAsia="zh-CN"/>
        </w:rPr>
      </w:pPr>
      <w:r>
        <w:rPr>
          <w:rStyle w:val="16"/>
          <w:rFonts w:hint="eastAsia" w:ascii="仿宋_GB2312" w:hAnsi="仿宋_GB2312" w:eastAsia="仿宋_GB2312" w:cs="仿宋_GB2312"/>
          <w:b/>
          <w:bCs w:val="0"/>
          <w:spacing w:val="-4"/>
          <w:kern w:val="2"/>
          <w:sz w:val="28"/>
          <w:szCs w:val="28"/>
          <w:lang w:val="en-US" w:eastAsia="zh-CN" w:bidi="ar-SA"/>
        </w:rPr>
        <w:t>立项程序规范性</w:t>
      </w:r>
    </w:p>
    <w:p w14:paraId="57964B24">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544" w:firstLineChars="200"/>
        <w:jc w:val="left"/>
        <w:textAlignment w:val="auto"/>
        <w:outlineLvl w:val="9"/>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本处</w:t>
      </w:r>
      <w:r>
        <w:rPr>
          <w:rStyle w:val="16"/>
          <w:rFonts w:hint="eastAsia" w:ascii="仿宋_GB2312" w:hAnsi="仿宋_GB2312" w:eastAsia="仿宋_GB2312" w:cs="仿宋_GB2312"/>
          <w:b w:val="0"/>
          <w:bCs/>
          <w:spacing w:val="-4"/>
          <w:sz w:val="28"/>
          <w:szCs w:val="28"/>
          <w:lang w:eastAsia="zh-CN"/>
        </w:rPr>
        <w:t>成立了以负责人为组长的项目小组，项目小组由</w:t>
      </w:r>
      <w:r>
        <w:rPr>
          <w:rStyle w:val="16"/>
          <w:rFonts w:hint="eastAsia" w:ascii="仿宋_GB2312" w:hAnsi="仿宋_GB2312" w:eastAsia="仿宋_GB2312" w:cs="仿宋_GB2312"/>
          <w:b w:val="0"/>
          <w:bCs/>
          <w:spacing w:val="-4"/>
          <w:sz w:val="28"/>
          <w:szCs w:val="28"/>
          <w:lang w:val="en-US" w:eastAsia="zh-CN"/>
        </w:rPr>
        <w:t>业务骨干</w:t>
      </w:r>
      <w:r>
        <w:rPr>
          <w:rStyle w:val="16"/>
          <w:rFonts w:hint="eastAsia" w:ascii="仿宋_GB2312" w:hAnsi="仿宋_GB2312" w:eastAsia="仿宋_GB2312" w:cs="仿宋_GB2312"/>
          <w:b w:val="0"/>
          <w:bCs/>
          <w:spacing w:val="-4"/>
          <w:sz w:val="28"/>
          <w:szCs w:val="28"/>
          <w:lang w:eastAsia="zh-CN"/>
        </w:rPr>
        <w:t>、</w:t>
      </w:r>
      <w:r>
        <w:rPr>
          <w:rStyle w:val="16"/>
          <w:rFonts w:hint="eastAsia" w:ascii="仿宋_GB2312" w:hAnsi="仿宋_GB2312" w:eastAsia="仿宋_GB2312" w:cs="仿宋_GB2312"/>
          <w:b w:val="0"/>
          <w:bCs/>
          <w:spacing w:val="-4"/>
          <w:sz w:val="28"/>
          <w:szCs w:val="28"/>
          <w:lang w:val="en-US" w:eastAsia="zh-CN"/>
        </w:rPr>
        <w:t>熟悉</w:t>
      </w:r>
      <w:r>
        <w:rPr>
          <w:rStyle w:val="16"/>
          <w:rFonts w:hint="eastAsia" w:ascii="仿宋_GB2312" w:hAnsi="仿宋_GB2312" w:eastAsia="仿宋_GB2312" w:cs="仿宋_GB2312"/>
          <w:b w:val="0"/>
          <w:bCs/>
          <w:spacing w:val="-4"/>
          <w:sz w:val="28"/>
          <w:szCs w:val="28"/>
          <w:lang w:eastAsia="zh-CN"/>
        </w:rPr>
        <w:t>财务</w:t>
      </w:r>
      <w:r>
        <w:rPr>
          <w:rStyle w:val="16"/>
          <w:rFonts w:hint="eastAsia" w:ascii="仿宋_GB2312" w:hAnsi="仿宋_GB2312" w:eastAsia="仿宋_GB2312" w:cs="仿宋_GB2312"/>
          <w:b w:val="0"/>
          <w:bCs/>
          <w:spacing w:val="-4"/>
          <w:sz w:val="28"/>
          <w:szCs w:val="28"/>
          <w:lang w:val="en-US" w:eastAsia="zh-CN"/>
        </w:rPr>
        <w:t>工作</w:t>
      </w:r>
      <w:r>
        <w:rPr>
          <w:rStyle w:val="16"/>
          <w:rFonts w:hint="eastAsia" w:ascii="仿宋_GB2312" w:hAnsi="仿宋_GB2312" w:eastAsia="仿宋_GB2312" w:cs="仿宋_GB2312"/>
          <w:b w:val="0"/>
          <w:bCs/>
          <w:spacing w:val="-4"/>
          <w:sz w:val="28"/>
          <w:szCs w:val="28"/>
          <w:lang w:eastAsia="zh-CN"/>
        </w:rPr>
        <w:t>人员共同组成，经项目小组研究确定并提出申请，经</w:t>
      </w:r>
      <w:r>
        <w:rPr>
          <w:rStyle w:val="16"/>
          <w:rFonts w:hint="eastAsia" w:ascii="仿宋_GB2312" w:hAnsi="仿宋_GB2312" w:eastAsia="仿宋_GB2312" w:cs="仿宋_GB2312"/>
          <w:b w:val="0"/>
          <w:bCs/>
          <w:spacing w:val="-4"/>
          <w:sz w:val="28"/>
          <w:szCs w:val="28"/>
          <w:lang w:val="en-US" w:eastAsia="zh-CN"/>
        </w:rPr>
        <w:t>厅有关</w:t>
      </w:r>
      <w:r>
        <w:rPr>
          <w:rStyle w:val="16"/>
          <w:rFonts w:hint="eastAsia" w:ascii="仿宋_GB2312" w:hAnsi="仿宋_GB2312" w:eastAsia="仿宋_GB2312" w:cs="仿宋_GB2312"/>
          <w:b w:val="0"/>
          <w:bCs/>
          <w:spacing w:val="-4"/>
          <w:sz w:val="28"/>
          <w:szCs w:val="28"/>
          <w:lang w:eastAsia="zh-CN"/>
        </w:rPr>
        <w:t>会</w:t>
      </w:r>
      <w:r>
        <w:rPr>
          <w:rStyle w:val="16"/>
          <w:rFonts w:hint="eastAsia" w:ascii="仿宋_GB2312" w:hAnsi="仿宋_GB2312" w:eastAsia="仿宋_GB2312" w:cs="仿宋_GB2312"/>
          <w:b w:val="0"/>
          <w:bCs/>
          <w:spacing w:val="-4"/>
          <w:sz w:val="28"/>
          <w:szCs w:val="28"/>
          <w:lang w:val="en-US" w:eastAsia="zh-CN"/>
        </w:rPr>
        <w:t>议同意。</w:t>
      </w:r>
    </w:p>
    <w:p w14:paraId="6190929A">
      <w:pPr>
        <w:keepNext w:val="0"/>
        <w:keepLines w:val="0"/>
        <w:pageBreakBefore w:val="0"/>
        <w:widowControl/>
        <w:kinsoku/>
        <w:wordWrap/>
        <w:overflowPunct/>
        <w:topLinePunct w:val="0"/>
        <w:autoSpaceDE/>
        <w:autoSpaceDN/>
        <w:bidi w:val="0"/>
        <w:adjustRightInd/>
        <w:snapToGrid/>
        <w:spacing w:after="0" w:line="560" w:lineRule="exact"/>
        <w:ind w:right="0" w:rightChars="0"/>
        <w:jc w:val="left"/>
        <w:textAlignment w:val="auto"/>
        <w:outlineLvl w:val="9"/>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3、绩效目标合理性</w:t>
      </w:r>
    </w:p>
    <w:p w14:paraId="53648402">
      <w:pPr>
        <w:keepNext w:val="0"/>
        <w:keepLines w:val="0"/>
        <w:pageBreakBefore w:val="0"/>
        <w:widowControl w:val="0"/>
        <w:kinsoku/>
        <w:wordWrap/>
        <w:overflowPunct/>
        <w:topLinePunct w:val="0"/>
        <w:autoSpaceDE/>
        <w:autoSpaceDN/>
        <w:bidi w:val="0"/>
        <w:adjustRightInd/>
        <w:snapToGrid/>
        <w:spacing w:line="480" w:lineRule="auto"/>
        <w:ind w:firstLine="272" w:firstLineChars="100"/>
        <w:jc w:val="both"/>
        <w:textAlignment w:val="auto"/>
        <w:rPr>
          <w:rStyle w:val="16"/>
          <w:rFonts w:hint="eastAsia" w:ascii="仿宋_GB2312" w:hAnsi="仿宋_GB2312" w:eastAsia="仿宋_GB2312" w:cs="仿宋_GB2312"/>
          <w:b w:val="0"/>
          <w:bCs/>
          <w:spacing w:val="-4"/>
          <w:sz w:val="28"/>
          <w:szCs w:val="28"/>
          <w:lang w:eastAsia="zh-CN"/>
        </w:rPr>
      </w:pPr>
      <w:r>
        <w:rPr>
          <w:rStyle w:val="16"/>
          <w:rFonts w:hint="eastAsia" w:ascii="仿宋_GB2312" w:hAnsi="仿宋_GB2312" w:eastAsia="仿宋_GB2312" w:cs="仿宋_GB2312"/>
          <w:b w:val="0"/>
          <w:bCs/>
          <w:spacing w:val="-4"/>
          <w:sz w:val="28"/>
          <w:szCs w:val="28"/>
          <w:lang w:eastAsia="zh-CN"/>
        </w:rPr>
        <w:t>“</w:t>
      </w:r>
      <w:r>
        <w:rPr>
          <w:rFonts w:hint="eastAsia" w:ascii="仿宋_GB2312" w:hAnsi="仿宋_GB2312" w:eastAsia="仿宋_GB2312" w:cs="仿宋_GB2312"/>
          <w:kern w:val="0"/>
          <w:sz w:val="28"/>
          <w:szCs w:val="28"/>
          <w:lang w:val="en-US" w:eastAsia="zh-CN"/>
        </w:rPr>
        <w:t xml:space="preserve"> 原新疆建材陶瓷厂破产企业55户职工平房拆迁</w:t>
      </w:r>
      <w:r>
        <w:rPr>
          <w:rStyle w:val="16"/>
          <w:rFonts w:hint="eastAsia" w:ascii="仿宋_GB2312" w:hAnsi="仿宋_GB2312" w:eastAsia="仿宋_GB2312" w:cs="仿宋_GB2312"/>
          <w:b w:val="0"/>
          <w:bCs/>
          <w:spacing w:val="-4"/>
          <w:sz w:val="28"/>
          <w:szCs w:val="28"/>
          <w:lang w:eastAsia="zh-CN"/>
        </w:rPr>
        <w:t>”设立了项目绩效目标，与进一步认真落实好党和政府给予原破产企业供养人员及养老保险金</w:t>
      </w:r>
      <w:r>
        <w:rPr>
          <w:rStyle w:val="16"/>
          <w:rFonts w:hint="eastAsia" w:ascii="仿宋_GB2312" w:hAnsi="仿宋_GB2312" w:eastAsia="仿宋_GB2312" w:cs="仿宋_GB2312"/>
          <w:b w:val="0"/>
          <w:bCs/>
          <w:spacing w:val="-4"/>
          <w:sz w:val="28"/>
          <w:szCs w:val="28"/>
          <w:lang w:val="en-US" w:eastAsia="zh-CN"/>
        </w:rPr>
        <w:t>的</w:t>
      </w:r>
      <w:r>
        <w:rPr>
          <w:rStyle w:val="16"/>
          <w:rFonts w:hint="eastAsia" w:ascii="仿宋_GB2312" w:hAnsi="仿宋_GB2312" w:eastAsia="仿宋_GB2312" w:cs="仿宋_GB2312"/>
          <w:b w:val="0"/>
          <w:bCs/>
          <w:spacing w:val="-4"/>
          <w:sz w:val="28"/>
          <w:szCs w:val="28"/>
          <w:lang w:eastAsia="zh-CN"/>
        </w:rPr>
        <w:t>相关政策相符，项目的预期产出效益和效果也均能符合正常的业绩水平，并且与预算确定的项目投资额或资金量相匹配。</w:t>
      </w:r>
    </w:p>
    <w:p w14:paraId="3E7F460A">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4、绩效指标明确性</w:t>
      </w:r>
    </w:p>
    <w:p w14:paraId="483291D2">
      <w:pPr>
        <w:keepNext w:val="0"/>
        <w:keepLines w:val="0"/>
        <w:pageBreakBefore w:val="0"/>
        <w:widowControl w:val="0"/>
        <w:kinsoku/>
        <w:wordWrap/>
        <w:overflowPunct/>
        <w:topLinePunct w:val="0"/>
        <w:autoSpaceDE/>
        <w:autoSpaceDN/>
        <w:bidi w:val="0"/>
        <w:adjustRightInd/>
        <w:snapToGrid/>
        <w:spacing w:line="480" w:lineRule="auto"/>
        <w:ind w:firstLine="272" w:firstLineChars="100"/>
        <w:jc w:val="both"/>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eastAsia="zh-CN"/>
        </w:rPr>
        <w:t>“</w:t>
      </w:r>
      <w:r>
        <w:rPr>
          <w:rFonts w:hint="eastAsia" w:ascii="仿宋_GB2312" w:hAnsi="仿宋_GB2312" w:eastAsia="仿宋_GB2312" w:cs="仿宋_GB2312"/>
          <w:kern w:val="0"/>
          <w:sz w:val="28"/>
          <w:szCs w:val="28"/>
          <w:lang w:val="en-US" w:eastAsia="zh-CN"/>
        </w:rPr>
        <w:t xml:space="preserve"> 原新疆建材陶瓷厂破产企业55户职工平房拆迁</w:t>
      </w:r>
      <w:r>
        <w:rPr>
          <w:rStyle w:val="16"/>
          <w:rFonts w:hint="eastAsia" w:ascii="仿宋_GB2312" w:hAnsi="仿宋_GB2312" w:eastAsia="仿宋_GB2312" w:cs="仿宋_GB2312"/>
          <w:b w:val="0"/>
          <w:bCs/>
          <w:spacing w:val="-4"/>
          <w:sz w:val="28"/>
          <w:szCs w:val="28"/>
          <w:lang w:eastAsia="zh-CN"/>
        </w:rPr>
        <w:t>”</w:t>
      </w:r>
      <w:r>
        <w:rPr>
          <w:rStyle w:val="16"/>
          <w:rFonts w:hint="eastAsia" w:ascii="仿宋_GB2312" w:hAnsi="仿宋_GB2312" w:eastAsia="仿宋_GB2312" w:cs="仿宋_GB2312"/>
          <w:b w:val="0"/>
          <w:bCs/>
          <w:spacing w:val="-4"/>
          <w:sz w:val="28"/>
          <w:szCs w:val="28"/>
          <w:lang w:val="en-US" w:eastAsia="zh-CN"/>
        </w:rPr>
        <w:t>项目将项目绩效目标细化分解为具体的绩效指标。</w:t>
      </w:r>
    </w:p>
    <w:p w14:paraId="503ED194">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5、预算编制科学性</w:t>
      </w:r>
    </w:p>
    <w:p w14:paraId="73E0CE6C">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44" w:firstLineChars="200"/>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预算经处室集体讨论、处室领导把关后编制。结合处室工作内容，严格按照自治区相关文件要求测算预算额度、编制预算，确保项目投资额与工作任务相匹配。</w:t>
      </w:r>
    </w:p>
    <w:p w14:paraId="12FAB75F">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6、资金分配合理性</w:t>
      </w:r>
    </w:p>
    <w:p w14:paraId="6E406FD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44" w:firstLineChars="200"/>
        <w:textAlignment w:val="auto"/>
        <w:rPr>
          <w:rStyle w:val="16"/>
          <w:rFonts w:hint="eastAsia" w:ascii="仿宋_GB2312" w:hAnsi="仿宋_GB2312" w:eastAsia="仿宋_GB2312" w:cs="仿宋_GB2312"/>
          <w:b w:val="0"/>
          <w:bCs/>
          <w:spacing w:val="-4"/>
          <w:sz w:val="28"/>
          <w:szCs w:val="28"/>
          <w:lang w:val="en-US" w:eastAsia="zh-CN"/>
        </w:rPr>
      </w:pPr>
      <w:r>
        <w:rPr>
          <w:rStyle w:val="16"/>
          <w:rFonts w:hint="eastAsia" w:ascii="仿宋_GB2312" w:hAnsi="仿宋_GB2312" w:eastAsia="仿宋_GB2312" w:cs="仿宋_GB2312"/>
          <w:b w:val="0"/>
          <w:bCs/>
          <w:spacing w:val="-4"/>
          <w:sz w:val="28"/>
          <w:szCs w:val="28"/>
          <w:lang w:val="en-US" w:eastAsia="zh-CN"/>
        </w:rPr>
        <w:t>预算资金分配依据：自治区人社厅关于做好破产企业遗留问题的相关要求。</w:t>
      </w:r>
    </w:p>
    <w:p w14:paraId="0C81B254">
      <w:pPr>
        <w:keepNext w:val="0"/>
        <w:keepLines w:val="0"/>
        <w:pageBreakBefore w:val="0"/>
        <w:numPr>
          <w:ilvl w:val="0"/>
          <w:numId w:val="6"/>
        </w:numPr>
        <w:kinsoku/>
        <w:wordWrap/>
        <w:overflowPunct/>
        <w:topLinePunct w:val="0"/>
        <w:autoSpaceDE/>
        <w:autoSpaceDN/>
        <w:bidi w:val="0"/>
        <w:adjustRightInd/>
        <w:snapToGrid/>
        <w:spacing w:after="0" w:line="560" w:lineRule="exact"/>
        <w:ind w:left="0" w:leftChars="0" w:right="0" w:rightChars="0" w:firstLine="544" w:firstLineChars="200"/>
        <w:textAlignment w:val="auto"/>
        <w:rPr>
          <w:rStyle w:val="16"/>
          <w:rFonts w:hint="eastAsia" w:ascii="仿宋_GB2312" w:hAnsi="仿宋_GB2312" w:eastAsia="仿宋_GB2312" w:cs="仿宋_GB2312"/>
          <w:b w:val="0"/>
          <w:bCs w:val="0"/>
          <w:spacing w:val="-4"/>
          <w:sz w:val="28"/>
          <w:szCs w:val="28"/>
          <w:lang w:val="en-US" w:eastAsia="zh-CN"/>
        </w:rPr>
      </w:pPr>
      <w:r>
        <w:rPr>
          <w:rStyle w:val="16"/>
          <w:rFonts w:hint="eastAsia" w:ascii="仿宋_GB2312" w:hAnsi="仿宋_GB2312" w:eastAsia="仿宋_GB2312" w:cs="仿宋_GB2312"/>
          <w:b w:val="0"/>
          <w:bCs w:val="0"/>
          <w:spacing w:val="-4"/>
          <w:sz w:val="28"/>
          <w:szCs w:val="28"/>
          <w:lang w:val="en-US" w:eastAsia="zh-CN"/>
        </w:rPr>
        <w:t>项目过程情况</w:t>
      </w:r>
    </w:p>
    <w:p w14:paraId="3E540C8A">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273" w:firstLineChars="100"/>
        <w:textAlignment w:val="auto"/>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1、资金到位率：</w:t>
      </w:r>
    </w:p>
    <w:p w14:paraId="21418EB1">
      <w:pPr>
        <w:keepNext w:val="0"/>
        <w:keepLines w:val="0"/>
        <w:pageBreakBefore w:val="0"/>
        <w:kinsoku/>
        <w:wordWrap/>
        <w:overflowPunct/>
        <w:topLinePunct w:val="0"/>
        <w:autoSpaceDE/>
        <w:autoSpaceDN/>
        <w:bidi w:val="0"/>
        <w:adjustRightInd/>
        <w:snapToGrid/>
        <w:spacing w:after="0" w:line="540" w:lineRule="exact"/>
        <w:ind w:right="0" w:rightChars="0" w:firstLine="272" w:firstLineChars="100"/>
        <w:textAlignment w:val="auto"/>
        <w:rPr>
          <w:rStyle w:val="16"/>
          <w:rFonts w:hint="eastAsia" w:ascii="仿宋_GB2312" w:hAnsi="仿宋_GB2312" w:eastAsia="仿宋_GB2312" w:cs="仿宋_GB2312"/>
          <w:b w:val="0"/>
          <w:color w:val="auto"/>
          <w:spacing w:val="-4"/>
          <w:sz w:val="28"/>
          <w:szCs w:val="28"/>
          <w:shd w:val="clear" w:color="auto" w:fill="auto"/>
          <w:lang w:eastAsia="zh-CN"/>
        </w:rPr>
      </w:pPr>
      <w:r>
        <w:rPr>
          <w:rStyle w:val="16"/>
          <w:rFonts w:hint="eastAsia" w:ascii="仿宋_GB2312" w:hAnsi="仿宋_GB2312" w:eastAsia="仿宋_GB2312" w:cs="仿宋_GB2312"/>
          <w:b w:val="0"/>
          <w:color w:val="auto"/>
          <w:spacing w:val="-4"/>
          <w:sz w:val="28"/>
          <w:szCs w:val="28"/>
          <w:shd w:val="clear" w:color="auto" w:fill="auto"/>
          <w:lang w:eastAsia="zh-CN"/>
        </w:rPr>
        <w:t>实际到位资金</w:t>
      </w:r>
      <w:r>
        <w:rPr>
          <w:rStyle w:val="16"/>
          <w:rFonts w:hint="eastAsia" w:ascii="仿宋_GB2312" w:hAnsi="仿宋_GB2312" w:eastAsia="仿宋_GB2312" w:cs="仿宋_GB2312"/>
          <w:b w:val="0"/>
          <w:color w:val="auto"/>
          <w:spacing w:val="-4"/>
          <w:sz w:val="28"/>
          <w:szCs w:val="28"/>
          <w:shd w:val="clear" w:color="auto" w:fill="auto"/>
          <w:lang w:val="en-US" w:eastAsia="zh-CN"/>
        </w:rPr>
        <w:t>17.1</w:t>
      </w:r>
      <w:r>
        <w:rPr>
          <w:rStyle w:val="16"/>
          <w:rFonts w:hint="eastAsia" w:ascii="仿宋_GB2312" w:hAnsi="仿宋_GB2312" w:eastAsia="仿宋_GB2312" w:cs="仿宋_GB2312"/>
          <w:b w:val="0"/>
          <w:color w:val="auto"/>
          <w:spacing w:val="-4"/>
          <w:sz w:val="28"/>
          <w:szCs w:val="28"/>
          <w:shd w:val="clear" w:color="auto" w:fill="auto"/>
          <w:lang w:eastAsia="zh-CN"/>
        </w:rPr>
        <w:t>万元，预算资金</w:t>
      </w:r>
      <w:r>
        <w:rPr>
          <w:rStyle w:val="16"/>
          <w:rFonts w:hint="eastAsia" w:ascii="仿宋_GB2312" w:hAnsi="仿宋_GB2312" w:eastAsia="仿宋_GB2312" w:cs="仿宋_GB2312"/>
          <w:b w:val="0"/>
          <w:color w:val="auto"/>
          <w:spacing w:val="-4"/>
          <w:sz w:val="28"/>
          <w:szCs w:val="28"/>
          <w:shd w:val="clear" w:color="auto" w:fill="auto"/>
          <w:lang w:val="en-US" w:eastAsia="zh-CN"/>
        </w:rPr>
        <w:t>17.1</w:t>
      </w:r>
      <w:r>
        <w:rPr>
          <w:rStyle w:val="16"/>
          <w:rFonts w:hint="eastAsia" w:ascii="仿宋_GB2312" w:hAnsi="仿宋_GB2312" w:eastAsia="仿宋_GB2312" w:cs="仿宋_GB2312"/>
          <w:b w:val="0"/>
          <w:color w:val="auto"/>
          <w:spacing w:val="-4"/>
          <w:sz w:val="28"/>
          <w:szCs w:val="28"/>
          <w:shd w:val="clear" w:color="auto" w:fill="auto"/>
          <w:lang w:eastAsia="zh-CN"/>
        </w:rPr>
        <w:t>万元，资金到位率</w:t>
      </w:r>
      <w:r>
        <w:rPr>
          <w:rStyle w:val="16"/>
          <w:rFonts w:hint="eastAsia" w:ascii="仿宋_GB2312" w:hAnsi="仿宋_GB2312" w:eastAsia="仿宋_GB2312" w:cs="仿宋_GB2312"/>
          <w:b w:val="0"/>
          <w:color w:val="auto"/>
          <w:spacing w:val="-4"/>
          <w:sz w:val="28"/>
          <w:szCs w:val="28"/>
          <w:shd w:val="clear" w:color="auto" w:fill="auto"/>
          <w:lang w:val="en-US" w:eastAsia="zh-CN"/>
        </w:rPr>
        <w:t>100</w:t>
      </w:r>
      <w:r>
        <w:rPr>
          <w:rStyle w:val="16"/>
          <w:rFonts w:hint="eastAsia" w:ascii="仿宋_GB2312" w:hAnsi="仿宋_GB2312" w:eastAsia="仿宋_GB2312" w:cs="仿宋_GB2312"/>
          <w:b w:val="0"/>
          <w:color w:val="auto"/>
          <w:spacing w:val="-4"/>
          <w:sz w:val="28"/>
          <w:szCs w:val="28"/>
          <w:shd w:val="clear" w:color="auto" w:fill="auto"/>
          <w:lang w:eastAsia="zh-CN"/>
        </w:rPr>
        <w:t>%。</w:t>
      </w:r>
    </w:p>
    <w:p w14:paraId="69EFE27F">
      <w:pPr>
        <w:spacing w:line="360" w:lineRule="auto"/>
        <w:ind w:firstLine="546" w:firstLineChars="200"/>
        <w:rPr>
          <w:rStyle w:val="16"/>
          <w:rFonts w:hint="eastAsia" w:ascii="仿宋_GB2312" w:hAnsi="仿宋_GB2312" w:eastAsia="仿宋_GB2312" w:cs="仿宋_GB2312"/>
          <w:bCs w:val="0"/>
          <w:color w:val="auto"/>
          <w:spacing w:val="-4"/>
          <w:kern w:val="2"/>
          <w:sz w:val="28"/>
          <w:szCs w:val="28"/>
          <w:shd w:val="clear" w:color="auto" w:fill="auto"/>
          <w:lang w:val="en-US" w:eastAsia="zh-CN" w:bidi="ar-SA"/>
        </w:rPr>
      </w:pPr>
      <w:r>
        <w:rPr>
          <w:rStyle w:val="16"/>
          <w:rFonts w:hint="eastAsia" w:ascii="仿宋_GB2312" w:hAnsi="仿宋_GB2312" w:eastAsia="仿宋_GB2312" w:cs="仿宋_GB2312"/>
          <w:bCs w:val="0"/>
          <w:color w:val="auto"/>
          <w:spacing w:val="-4"/>
          <w:kern w:val="2"/>
          <w:sz w:val="28"/>
          <w:szCs w:val="28"/>
          <w:shd w:val="clear" w:color="auto" w:fill="auto"/>
          <w:lang w:val="en-US" w:eastAsia="zh-CN" w:bidi="ar-SA"/>
        </w:rPr>
        <w:t>2、预算执行率</w:t>
      </w:r>
    </w:p>
    <w:p w14:paraId="50FCC709">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textAlignment w:val="auto"/>
        <w:rPr>
          <w:rStyle w:val="16"/>
          <w:rFonts w:hint="eastAsia" w:ascii="仿宋_GB2312" w:hAnsi="仿宋_GB2312" w:eastAsia="仿宋_GB2312" w:cs="仿宋_GB2312"/>
          <w:b w:val="0"/>
          <w:color w:val="auto"/>
          <w:spacing w:val="-4"/>
          <w:sz w:val="28"/>
          <w:szCs w:val="28"/>
          <w:lang w:eastAsia="zh-CN"/>
        </w:rPr>
      </w:pPr>
      <w:r>
        <w:rPr>
          <w:rStyle w:val="16"/>
          <w:rFonts w:hint="eastAsia" w:ascii="仿宋_GB2312" w:hAnsi="仿宋_GB2312" w:eastAsia="仿宋_GB2312" w:cs="仿宋_GB2312"/>
          <w:b w:val="0"/>
          <w:color w:val="auto"/>
          <w:spacing w:val="-4"/>
          <w:sz w:val="28"/>
          <w:szCs w:val="28"/>
          <w:lang w:eastAsia="zh-CN"/>
        </w:rPr>
        <w:t>年初预算数</w:t>
      </w:r>
      <w:r>
        <w:rPr>
          <w:rStyle w:val="16"/>
          <w:rFonts w:hint="eastAsia" w:ascii="仿宋_GB2312" w:hAnsi="仿宋_GB2312" w:eastAsia="仿宋_GB2312" w:cs="仿宋_GB2312"/>
          <w:b w:val="0"/>
          <w:color w:val="auto"/>
          <w:spacing w:val="-4"/>
          <w:sz w:val="28"/>
          <w:szCs w:val="28"/>
          <w:lang w:val="en-US" w:eastAsia="zh-CN"/>
        </w:rPr>
        <w:t>17.1</w:t>
      </w:r>
      <w:r>
        <w:rPr>
          <w:rStyle w:val="16"/>
          <w:rFonts w:hint="eastAsia" w:ascii="仿宋_GB2312" w:hAnsi="仿宋_GB2312" w:eastAsia="仿宋_GB2312" w:cs="仿宋_GB2312"/>
          <w:b w:val="0"/>
          <w:color w:val="auto"/>
          <w:spacing w:val="-4"/>
          <w:sz w:val="28"/>
          <w:szCs w:val="28"/>
          <w:lang w:eastAsia="zh-CN"/>
        </w:rPr>
        <w:t>万元，全年预算数</w:t>
      </w:r>
      <w:r>
        <w:rPr>
          <w:rStyle w:val="16"/>
          <w:rFonts w:hint="eastAsia" w:ascii="仿宋_GB2312" w:hAnsi="仿宋_GB2312" w:eastAsia="仿宋_GB2312" w:cs="仿宋_GB2312"/>
          <w:b w:val="0"/>
          <w:color w:val="auto"/>
          <w:spacing w:val="-4"/>
          <w:sz w:val="28"/>
          <w:szCs w:val="28"/>
          <w:lang w:val="en-US" w:eastAsia="zh-CN"/>
        </w:rPr>
        <w:t>17.1</w:t>
      </w:r>
      <w:r>
        <w:rPr>
          <w:rStyle w:val="16"/>
          <w:rFonts w:hint="eastAsia" w:ascii="仿宋_GB2312" w:hAnsi="仿宋_GB2312" w:eastAsia="仿宋_GB2312" w:cs="仿宋_GB2312"/>
          <w:b w:val="0"/>
          <w:color w:val="auto"/>
          <w:spacing w:val="-4"/>
          <w:sz w:val="28"/>
          <w:szCs w:val="28"/>
          <w:lang w:eastAsia="zh-CN"/>
        </w:rPr>
        <w:t>万元，全年执行数</w:t>
      </w:r>
      <w:r>
        <w:rPr>
          <w:rStyle w:val="16"/>
          <w:rFonts w:hint="eastAsia" w:ascii="仿宋_GB2312" w:hAnsi="仿宋_GB2312" w:eastAsia="仿宋_GB2312" w:cs="仿宋_GB2312"/>
          <w:b w:val="0"/>
          <w:color w:val="auto"/>
          <w:spacing w:val="-4"/>
          <w:sz w:val="28"/>
          <w:szCs w:val="28"/>
          <w:lang w:val="en-US" w:eastAsia="zh-CN"/>
        </w:rPr>
        <w:t>13.084</w:t>
      </w:r>
      <w:r>
        <w:rPr>
          <w:rStyle w:val="16"/>
          <w:rFonts w:hint="eastAsia" w:ascii="仿宋_GB2312" w:hAnsi="仿宋_GB2312" w:eastAsia="仿宋_GB2312" w:cs="仿宋_GB2312"/>
          <w:b w:val="0"/>
          <w:color w:val="auto"/>
          <w:spacing w:val="-4"/>
          <w:sz w:val="28"/>
          <w:szCs w:val="28"/>
          <w:lang w:eastAsia="zh-CN"/>
        </w:rPr>
        <w:t>万元，预算执行率为</w:t>
      </w:r>
      <w:r>
        <w:rPr>
          <w:rStyle w:val="16"/>
          <w:rFonts w:hint="eastAsia" w:ascii="仿宋_GB2312" w:hAnsi="仿宋_GB2312" w:eastAsia="仿宋_GB2312" w:cs="仿宋_GB2312"/>
          <w:b w:val="0"/>
          <w:color w:val="auto"/>
          <w:spacing w:val="-4"/>
          <w:sz w:val="28"/>
          <w:szCs w:val="28"/>
          <w:lang w:val="en-US" w:eastAsia="zh-CN"/>
        </w:rPr>
        <w:t>76.7%</w:t>
      </w:r>
      <w:r>
        <w:rPr>
          <w:rStyle w:val="16"/>
          <w:rFonts w:hint="eastAsia" w:ascii="仿宋_GB2312" w:hAnsi="仿宋_GB2312" w:eastAsia="仿宋_GB2312" w:cs="仿宋_GB2312"/>
          <w:b w:val="0"/>
          <w:color w:val="auto"/>
          <w:spacing w:val="-4"/>
          <w:sz w:val="28"/>
          <w:szCs w:val="28"/>
          <w:lang w:eastAsia="zh-CN"/>
        </w:rPr>
        <w:t>。</w:t>
      </w:r>
    </w:p>
    <w:p w14:paraId="4AC96BBD">
      <w:pPr>
        <w:spacing w:line="360" w:lineRule="auto"/>
        <w:ind w:firstLine="546" w:firstLineChars="200"/>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3、资金使用合规性</w:t>
      </w:r>
    </w:p>
    <w:p w14:paraId="044CDB5E">
      <w:pPr>
        <w:keepNext w:val="0"/>
        <w:keepLines w:val="0"/>
        <w:pageBreakBefore w:val="0"/>
        <w:kinsoku/>
        <w:wordWrap/>
        <w:overflowPunct/>
        <w:topLinePunct w:val="0"/>
        <w:autoSpaceDE/>
        <w:autoSpaceDN/>
        <w:bidi w:val="0"/>
        <w:adjustRightInd/>
        <w:snapToGrid/>
        <w:spacing w:after="0" w:line="540" w:lineRule="exact"/>
        <w:ind w:left="0" w:leftChars="0" w:right="0" w:rightChars="0" w:firstLine="492" w:firstLineChars="181"/>
        <w:textAlignment w:val="auto"/>
        <w:rPr>
          <w:rStyle w:val="16"/>
          <w:rFonts w:hint="eastAsia" w:ascii="仿宋_GB2312" w:hAnsi="仿宋_GB2312" w:eastAsia="仿宋_GB2312" w:cs="仿宋_GB2312"/>
          <w:b w:val="0"/>
          <w:spacing w:val="-4"/>
          <w:sz w:val="28"/>
          <w:szCs w:val="28"/>
          <w:lang w:eastAsia="zh-CN"/>
        </w:rPr>
      </w:pPr>
      <w:r>
        <w:rPr>
          <w:rStyle w:val="16"/>
          <w:rFonts w:hint="eastAsia" w:ascii="仿宋_GB2312" w:hAnsi="仿宋_GB2312" w:eastAsia="仿宋_GB2312" w:cs="仿宋_GB2312"/>
          <w:b w:val="0"/>
          <w:spacing w:val="-4"/>
          <w:sz w:val="28"/>
          <w:szCs w:val="28"/>
          <w:lang w:eastAsia="zh-CN"/>
        </w:rPr>
        <w:t>项目在实施过程中严格按照政府有关文件规定执行，发放</w:t>
      </w:r>
      <w:r>
        <w:rPr>
          <w:rStyle w:val="16"/>
          <w:rFonts w:hint="eastAsia" w:ascii="仿宋_GB2312" w:hAnsi="仿宋_GB2312" w:eastAsia="仿宋_GB2312" w:cs="仿宋_GB2312"/>
          <w:b w:val="0"/>
          <w:spacing w:val="-4"/>
          <w:sz w:val="28"/>
          <w:szCs w:val="28"/>
          <w:lang w:val="en-US" w:eastAsia="zh-CN"/>
        </w:rPr>
        <w:t>55户房屋补助</w:t>
      </w:r>
      <w:r>
        <w:rPr>
          <w:rStyle w:val="16"/>
          <w:rFonts w:hint="eastAsia" w:ascii="仿宋_GB2312" w:hAnsi="仿宋_GB2312" w:eastAsia="仿宋_GB2312" w:cs="仿宋_GB2312"/>
          <w:b w:val="0"/>
          <w:spacing w:val="-4"/>
          <w:sz w:val="28"/>
          <w:szCs w:val="28"/>
          <w:lang w:eastAsia="zh-CN"/>
        </w:rPr>
        <w:t>，并履行厅项目内部审核程序，逐级上报领导审批后，由厅财审处通过工商银行代发至本人，并做好付款跟踪服务工作。</w:t>
      </w:r>
    </w:p>
    <w:p w14:paraId="29C6CBE3">
      <w:pPr>
        <w:pStyle w:val="2"/>
        <w:numPr>
          <w:ilvl w:val="0"/>
          <w:numId w:val="0"/>
        </w:numPr>
        <w:ind w:firstLine="546" w:firstLineChars="200"/>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4、管理制度健全性</w:t>
      </w:r>
    </w:p>
    <w:p w14:paraId="7C95504E">
      <w:pPr>
        <w:pStyle w:val="2"/>
        <w:numPr>
          <w:ilvl w:val="0"/>
          <w:numId w:val="0"/>
        </w:numPr>
        <w:ind w:firstLine="544" w:firstLineChars="200"/>
        <w:rPr>
          <w:rStyle w:val="16"/>
          <w:rFonts w:hint="eastAsia" w:ascii="仿宋_GB2312" w:hAnsi="仿宋_GB2312" w:eastAsia="仿宋_GB2312" w:cs="仿宋_GB2312"/>
          <w:b w:val="0"/>
          <w:spacing w:val="-4"/>
          <w:kern w:val="2"/>
          <w:sz w:val="28"/>
          <w:szCs w:val="28"/>
          <w:lang w:val="en-US" w:eastAsia="zh-CN" w:bidi="ar-SA"/>
        </w:rPr>
      </w:pPr>
      <w:r>
        <w:rPr>
          <w:rStyle w:val="16"/>
          <w:rFonts w:hint="eastAsia" w:ascii="仿宋_GB2312" w:hAnsi="仿宋_GB2312" w:eastAsia="仿宋_GB2312" w:cs="仿宋_GB2312"/>
          <w:b w:val="0"/>
          <w:spacing w:val="-4"/>
          <w:kern w:val="2"/>
          <w:sz w:val="28"/>
          <w:szCs w:val="28"/>
          <w:lang w:val="en-US" w:eastAsia="zh-CN" w:bidi="ar-SA"/>
        </w:rPr>
        <w:t>已按照厅财审部门财务制度制定了本处室财务和业务管理制度。</w:t>
      </w:r>
    </w:p>
    <w:p w14:paraId="455D712A">
      <w:pPr>
        <w:pStyle w:val="2"/>
        <w:numPr>
          <w:ilvl w:val="0"/>
          <w:numId w:val="0"/>
        </w:numPr>
        <w:ind w:firstLine="546" w:firstLineChars="200"/>
        <w:rPr>
          <w:rStyle w:val="16"/>
          <w:rFonts w:hint="eastAsia" w:ascii="仿宋_GB2312" w:hAnsi="仿宋_GB2312" w:eastAsia="仿宋_GB2312" w:cs="仿宋_GB2312"/>
          <w:bCs w:val="0"/>
          <w:spacing w:val="-4"/>
          <w:kern w:val="2"/>
          <w:sz w:val="28"/>
          <w:szCs w:val="28"/>
          <w:lang w:val="en-US" w:eastAsia="zh-CN" w:bidi="ar-SA"/>
        </w:rPr>
      </w:pPr>
      <w:r>
        <w:rPr>
          <w:rStyle w:val="16"/>
          <w:rFonts w:hint="eastAsia" w:ascii="仿宋_GB2312" w:hAnsi="仿宋_GB2312" w:eastAsia="仿宋_GB2312" w:cs="仿宋_GB2312"/>
          <w:bCs w:val="0"/>
          <w:spacing w:val="-4"/>
          <w:kern w:val="2"/>
          <w:sz w:val="28"/>
          <w:szCs w:val="28"/>
          <w:lang w:val="en-US" w:eastAsia="zh-CN" w:bidi="ar-SA"/>
        </w:rPr>
        <w:t>5、制度执行有效性</w:t>
      </w:r>
    </w:p>
    <w:p w14:paraId="405BA6E4">
      <w:pPr>
        <w:pStyle w:val="2"/>
        <w:widowControl w:val="0"/>
        <w:numPr>
          <w:ilvl w:val="0"/>
          <w:numId w:val="0"/>
        </w:numPr>
        <w:spacing w:after="120"/>
        <w:ind w:firstLine="544" w:firstLineChars="200"/>
        <w:jc w:val="both"/>
        <w:rPr>
          <w:rFonts w:hint="eastAsia" w:ascii="仿宋_GB2312" w:hAnsi="仿宋_GB2312" w:eastAsia="仿宋_GB2312" w:cs="仿宋_GB2312"/>
          <w:sz w:val="28"/>
          <w:szCs w:val="28"/>
          <w:lang w:val="en-US" w:eastAsia="zh-CN"/>
        </w:rPr>
      </w:pPr>
      <w:r>
        <w:rPr>
          <w:rStyle w:val="16"/>
          <w:rFonts w:hint="eastAsia" w:ascii="仿宋_GB2312" w:hAnsi="仿宋_GB2312" w:eastAsia="仿宋_GB2312" w:cs="仿宋_GB2312"/>
          <w:b w:val="0"/>
          <w:spacing w:val="-4"/>
          <w:kern w:val="2"/>
          <w:sz w:val="28"/>
          <w:szCs w:val="28"/>
          <w:lang w:val="en-US" w:eastAsia="zh-CN" w:bidi="ar-SA"/>
        </w:rPr>
        <w:t>严格遵守相关法律法规和相关管理规定。</w:t>
      </w:r>
    </w:p>
    <w:p w14:paraId="5160591C">
      <w:pPr>
        <w:pStyle w:val="11"/>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44" w:firstLineChars="200"/>
        <w:jc w:val="both"/>
        <w:rPr>
          <w:rStyle w:val="16"/>
          <w:rFonts w:hint="eastAsia" w:ascii="仿宋_GB2312" w:hAnsi="仿宋_GB2312" w:eastAsia="仿宋_GB2312" w:cs="仿宋_GB2312"/>
          <w:b w:val="0"/>
          <w:bCs w:val="0"/>
          <w:spacing w:val="-4"/>
          <w:sz w:val="28"/>
          <w:szCs w:val="28"/>
          <w:lang w:val="en-US" w:eastAsia="zh-CN"/>
        </w:rPr>
      </w:pPr>
      <w:r>
        <w:rPr>
          <w:rStyle w:val="16"/>
          <w:rFonts w:hint="eastAsia" w:ascii="仿宋_GB2312" w:hAnsi="仿宋_GB2312" w:eastAsia="仿宋_GB2312" w:cs="仿宋_GB2312"/>
          <w:b w:val="0"/>
          <w:bCs w:val="0"/>
          <w:spacing w:val="-4"/>
          <w:sz w:val="28"/>
          <w:szCs w:val="28"/>
          <w:lang w:val="en-US" w:eastAsia="zh-CN"/>
        </w:rPr>
        <w:t>项目产出情况</w:t>
      </w:r>
    </w:p>
    <w:p w14:paraId="4D25C95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2" w:firstLineChars="200"/>
        <w:jc w:val="both"/>
        <w:textAlignment w:val="auto"/>
        <w:outlineLvl w:val="9"/>
        <w:rPr>
          <w:rStyle w:val="16"/>
          <w:rFonts w:hint="default"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bCs/>
          <w:sz w:val="28"/>
          <w:szCs w:val="28"/>
          <w:lang w:val="en-US" w:eastAsia="zh-CN"/>
        </w:rPr>
        <w:t>1、数量指标分析：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指标1：发放平房补助款2</w:t>
      </w:r>
      <w:r>
        <w:rPr>
          <w:rStyle w:val="16"/>
          <w:rFonts w:hint="eastAsia" w:ascii="仿宋_GB2312" w:hAnsi="仿宋_GB2312" w:eastAsia="仿宋_GB2312" w:cs="仿宋_GB2312"/>
          <w:b w:val="0"/>
          <w:color w:val="auto"/>
          <w:spacing w:val="-4"/>
          <w:sz w:val="28"/>
          <w:szCs w:val="28"/>
          <w:shd w:val="clear" w:color="auto" w:fill="auto"/>
          <w:lang w:val="en-US" w:eastAsia="zh-CN"/>
        </w:rPr>
        <w:t>.5万元</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，指标完成率15%；拆除平房37套，拆除费用43</w:t>
      </w:r>
      <w:r>
        <w:rPr>
          <w:rStyle w:val="16"/>
          <w:rFonts w:hint="eastAsia" w:ascii="仿宋_GB2312" w:hAnsi="仿宋_GB2312" w:eastAsia="仿宋_GB2312" w:cs="仿宋_GB2312"/>
          <w:b w:val="0"/>
          <w:color w:val="auto"/>
          <w:spacing w:val="-4"/>
          <w:sz w:val="28"/>
          <w:szCs w:val="28"/>
          <w:shd w:val="clear" w:color="auto" w:fill="auto"/>
          <w:lang w:val="en-US" w:eastAsia="zh-CN"/>
        </w:rPr>
        <w:t>.9%；其他3.0814万元，计18%。</w:t>
      </w:r>
    </w:p>
    <w:p w14:paraId="136BD5DC">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2、质量指标分析：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指标1：补助资金准确率，指标值：100%，实际完成值：76</w:t>
      </w:r>
      <w:r>
        <w:rPr>
          <w:rStyle w:val="16"/>
          <w:rFonts w:hint="eastAsia" w:ascii="仿宋_GB2312" w:hAnsi="仿宋_GB2312" w:eastAsia="仿宋_GB2312" w:cs="仿宋_GB2312"/>
          <w:b w:val="0"/>
          <w:color w:val="auto"/>
          <w:spacing w:val="-4"/>
          <w:sz w:val="28"/>
          <w:szCs w:val="28"/>
          <w:shd w:val="clear" w:color="auto" w:fill="auto"/>
          <w:lang w:val="en-US" w:eastAsia="zh-CN"/>
        </w:rPr>
        <w:t>.5</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%，指标完成率76</w:t>
      </w:r>
      <w:r>
        <w:rPr>
          <w:rStyle w:val="16"/>
          <w:rFonts w:hint="eastAsia" w:ascii="仿宋_GB2312" w:hAnsi="仿宋_GB2312" w:eastAsia="仿宋_GB2312" w:cs="仿宋_GB2312"/>
          <w:b w:val="0"/>
          <w:color w:val="auto"/>
          <w:spacing w:val="-4"/>
          <w:sz w:val="28"/>
          <w:szCs w:val="28"/>
          <w:shd w:val="clear" w:color="auto" w:fill="auto"/>
          <w:lang w:val="en-US" w:eastAsia="zh-CN"/>
        </w:rPr>
        <w:t>.5</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p>
    <w:p w14:paraId="484564C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3、时效指标分析：</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指标1：及时率，指标值：100%，实际完成值：100%，指标完成率100%；指标2：项目完成时间，指标值：2023年12月30日之前，实际完成值：2023年12月1日之前，指标完成率100%。</w:t>
      </w:r>
    </w:p>
    <w:p w14:paraId="488ACA3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62" w:firstLineChars="200"/>
        <w:jc w:val="left"/>
        <w:rPr>
          <w:rStyle w:val="16"/>
          <w:rFonts w:hint="eastAsia" w:ascii="仿宋_GB2312" w:hAnsi="仿宋_GB2312" w:eastAsia="仿宋_GB2312" w:cs="仿宋_GB2312"/>
          <w:b w:val="0"/>
          <w:bCs w:val="0"/>
          <w:color w:val="auto"/>
          <w:spacing w:val="-4"/>
          <w:sz w:val="28"/>
          <w:szCs w:val="28"/>
          <w:lang w:val="en-US" w:eastAsia="zh-CN"/>
        </w:rPr>
      </w:pPr>
      <w:r>
        <w:rPr>
          <w:rFonts w:hint="eastAsia" w:ascii="仿宋_GB2312" w:hAnsi="仿宋_GB2312" w:eastAsia="仿宋_GB2312" w:cs="仿宋_GB2312"/>
          <w:b/>
          <w:bCs/>
          <w:sz w:val="28"/>
          <w:szCs w:val="28"/>
          <w:lang w:val="en-US" w:eastAsia="zh-CN"/>
        </w:rPr>
        <w:t>4、成本指标分析：</w:t>
      </w:r>
      <w:r>
        <w:rPr>
          <w:rFonts w:hint="eastAsia" w:ascii="仿宋_GB2312" w:hAnsi="仿宋_GB2312" w:eastAsia="仿宋_GB2312" w:cs="仿宋_GB2312"/>
          <w:b w:val="0"/>
          <w:bCs w:val="0"/>
          <w:sz w:val="28"/>
          <w:szCs w:val="28"/>
          <w:lang w:val="en-US" w:eastAsia="zh-CN"/>
        </w:rPr>
        <w:t>指标1：项目总额，指标值：1</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7</w:t>
      </w:r>
      <w:r>
        <w:rPr>
          <w:rStyle w:val="16"/>
          <w:rFonts w:hint="eastAsia" w:ascii="仿宋_GB2312" w:hAnsi="仿宋_GB2312" w:eastAsia="仿宋_GB2312" w:cs="仿宋_GB2312"/>
          <w:b w:val="0"/>
          <w:color w:val="auto"/>
          <w:spacing w:val="-4"/>
          <w:sz w:val="28"/>
          <w:szCs w:val="28"/>
          <w:shd w:val="clear" w:color="auto" w:fill="auto"/>
          <w:lang w:val="en-US" w:eastAsia="zh-CN"/>
        </w:rPr>
        <w:t>.1</w:t>
      </w:r>
      <w:r>
        <w:rPr>
          <w:rFonts w:hint="eastAsia" w:ascii="仿宋_GB2312" w:hAnsi="仿宋_GB2312" w:eastAsia="仿宋_GB2312" w:cs="仿宋_GB2312"/>
          <w:b w:val="0"/>
          <w:bCs w:val="0"/>
          <w:sz w:val="28"/>
          <w:szCs w:val="28"/>
          <w:lang w:val="en-US" w:eastAsia="zh-CN"/>
        </w:rPr>
        <w:t>万元，实际完成值：13.0814万元，指标完成率</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76</w:t>
      </w:r>
      <w:r>
        <w:rPr>
          <w:rStyle w:val="16"/>
          <w:rFonts w:hint="eastAsia" w:ascii="仿宋_GB2312" w:hAnsi="仿宋_GB2312" w:eastAsia="仿宋_GB2312" w:cs="仿宋_GB2312"/>
          <w:b w:val="0"/>
          <w:color w:val="auto"/>
          <w:spacing w:val="-4"/>
          <w:sz w:val="28"/>
          <w:szCs w:val="28"/>
          <w:shd w:val="clear" w:color="auto" w:fill="auto"/>
          <w:lang w:val="en-US" w:eastAsia="zh-CN"/>
        </w:rPr>
        <w:t>.5</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r>
        <w:rPr>
          <w:rFonts w:hint="eastAsia" w:ascii="仿宋_GB2312" w:hAnsi="仿宋_GB2312" w:eastAsia="仿宋_GB2312" w:cs="仿宋_GB2312"/>
          <w:b w:val="0"/>
          <w:bCs w:val="0"/>
          <w:sz w:val="28"/>
          <w:szCs w:val="28"/>
          <w:lang w:val="en-US" w:eastAsia="zh-CN"/>
        </w:rPr>
        <w:t>。</w:t>
      </w:r>
    </w:p>
    <w:p w14:paraId="2389B45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rightChars="0" w:firstLine="544" w:firstLineChars="200"/>
        <w:jc w:val="left"/>
        <w:rPr>
          <w:rStyle w:val="16"/>
          <w:rFonts w:hint="eastAsia" w:ascii="仿宋_GB2312" w:hAnsi="仿宋_GB2312" w:eastAsia="仿宋_GB2312" w:cs="仿宋_GB2312"/>
          <w:b w:val="0"/>
          <w:bCs w:val="0"/>
          <w:i w:val="0"/>
          <w:caps w:val="0"/>
          <w:color w:val="030303"/>
          <w:spacing w:val="0"/>
          <w:sz w:val="28"/>
          <w:szCs w:val="28"/>
          <w:shd w:val="clear" w:color="auto" w:fill="FFFFFF"/>
        </w:rPr>
      </w:pPr>
      <w:r>
        <w:rPr>
          <w:rStyle w:val="16"/>
          <w:rFonts w:hint="eastAsia" w:ascii="仿宋_GB2312" w:hAnsi="仿宋_GB2312" w:eastAsia="仿宋_GB2312" w:cs="仿宋_GB2312"/>
          <w:b w:val="0"/>
          <w:bCs w:val="0"/>
          <w:spacing w:val="-4"/>
          <w:sz w:val="28"/>
          <w:szCs w:val="28"/>
          <w:lang w:val="en-US" w:eastAsia="zh-CN"/>
        </w:rPr>
        <w:t>（四）项目效益情况。</w:t>
      </w:r>
    </w:p>
    <w:p w14:paraId="14519699">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bCs/>
          <w:sz w:val="28"/>
          <w:szCs w:val="28"/>
          <w:lang w:val="en-US" w:eastAsia="zh-CN"/>
        </w:rPr>
        <w:t>社会效益指标分析：</w:t>
      </w:r>
      <w:r>
        <w:rPr>
          <w:rFonts w:hint="eastAsia" w:ascii="仿宋_GB2312" w:hAnsi="仿宋_GB2312" w:eastAsia="仿宋_GB2312" w:cs="仿宋_GB2312"/>
          <w:b w:val="0"/>
          <w:bCs w:val="0"/>
          <w:sz w:val="28"/>
          <w:szCs w:val="28"/>
          <w:lang w:val="en-US" w:eastAsia="zh-CN"/>
        </w:rPr>
        <w:t>指标1：原破产企业新疆建材陶瓷厂55户。指标值：效果显著，实际完成值：</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76</w:t>
      </w:r>
      <w:r>
        <w:rPr>
          <w:rStyle w:val="16"/>
          <w:rFonts w:hint="eastAsia" w:ascii="仿宋_GB2312" w:hAnsi="仿宋_GB2312" w:eastAsia="仿宋_GB2312" w:cs="仿宋_GB2312"/>
          <w:b w:val="0"/>
          <w:color w:val="auto"/>
          <w:spacing w:val="-4"/>
          <w:sz w:val="28"/>
          <w:szCs w:val="28"/>
          <w:shd w:val="clear" w:color="auto" w:fill="auto"/>
          <w:lang w:val="en-US" w:eastAsia="zh-CN"/>
        </w:rPr>
        <w:t>.5</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r>
        <w:rPr>
          <w:rFonts w:hint="eastAsia" w:ascii="仿宋_GB2312" w:hAnsi="仿宋_GB2312" w:eastAsia="仿宋_GB2312" w:cs="仿宋_GB2312"/>
          <w:b w:val="0"/>
          <w:bCs w:val="0"/>
          <w:sz w:val="28"/>
          <w:szCs w:val="28"/>
          <w:lang w:val="en-US" w:eastAsia="zh-CN"/>
        </w:rPr>
        <w:t>，指标完成率</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76</w:t>
      </w:r>
      <w:r>
        <w:rPr>
          <w:rStyle w:val="16"/>
          <w:rFonts w:hint="eastAsia" w:ascii="仿宋_GB2312" w:hAnsi="仿宋_GB2312" w:eastAsia="仿宋_GB2312" w:cs="仿宋_GB2312"/>
          <w:b w:val="0"/>
          <w:color w:val="auto"/>
          <w:spacing w:val="-4"/>
          <w:sz w:val="28"/>
          <w:szCs w:val="28"/>
          <w:shd w:val="clear" w:color="auto" w:fill="auto"/>
          <w:lang w:val="en-US" w:eastAsia="zh-CN"/>
        </w:rPr>
        <w:t>.7</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r>
        <w:rPr>
          <w:rFonts w:hint="eastAsia" w:ascii="仿宋_GB2312" w:hAnsi="仿宋_GB2312" w:eastAsia="仿宋_GB2312" w:cs="仿宋_GB2312"/>
          <w:b w:val="0"/>
          <w:bCs w:val="0"/>
          <w:sz w:val="28"/>
          <w:szCs w:val="28"/>
          <w:lang w:val="en-US" w:eastAsia="zh-CN"/>
        </w:rPr>
        <w:t>；指标2：群体上访事件发生率，指标值：0，实际完成值：0，指标完成率</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76</w:t>
      </w:r>
      <w:r>
        <w:rPr>
          <w:rStyle w:val="16"/>
          <w:rFonts w:hint="eastAsia" w:ascii="仿宋_GB2312" w:hAnsi="仿宋_GB2312" w:eastAsia="仿宋_GB2312" w:cs="仿宋_GB2312"/>
          <w:b w:val="0"/>
          <w:color w:val="auto"/>
          <w:spacing w:val="-4"/>
          <w:sz w:val="28"/>
          <w:szCs w:val="28"/>
          <w:shd w:val="clear" w:color="auto" w:fill="auto"/>
          <w:lang w:val="en-US" w:eastAsia="zh-CN"/>
        </w:rPr>
        <w:t>.5</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r>
        <w:rPr>
          <w:rFonts w:hint="eastAsia" w:ascii="仿宋_GB2312" w:hAnsi="仿宋_GB2312" w:eastAsia="仿宋_GB2312" w:cs="仿宋_GB2312"/>
          <w:b w:val="0"/>
          <w:bCs w:val="0"/>
          <w:sz w:val="28"/>
          <w:szCs w:val="28"/>
          <w:lang w:val="en-US" w:eastAsia="zh-CN"/>
        </w:rPr>
        <w:t>。</w:t>
      </w:r>
    </w:p>
    <w:p w14:paraId="5957AD09">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rightChars="0" w:firstLine="562"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2、可持续影响指标分析：</w:t>
      </w:r>
      <w:r>
        <w:rPr>
          <w:rFonts w:hint="eastAsia" w:ascii="仿宋_GB2312" w:hAnsi="仿宋_GB2312" w:eastAsia="仿宋_GB2312" w:cs="仿宋_GB2312"/>
          <w:b w:val="0"/>
          <w:bCs w:val="0"/>
          <w:sz w:val="28"/>
          <w:szCs w:val="28"/>
          <w:lang w:val="en-US" w:eastAsia="zh-CN"/>
        </w:rPr>
        <w:t>指标1：55户平房拆除</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的</w:t>
      </w:r>
      <w:r>
        <w:rPr>
          <w:rFonts w:hint="eastAsia" w:ascii="仿宋_GB2312" w:hAnsi="仿宋_GB2312" w:eastAsia="仿宋_GB2312" w:cs="仿宋_GB2312"/>
          <w:b w:val="0"/>
          <w:bCs w:val="0"/>
          <w:sz w:val="28"/>
          <w:szCs w:val="28"/>
          <w:lang w:val="en-US" w:eastAsia="zh-CN"/>
        </w:rPr>
        <w:t>保持年限，指标值：长期有效，实际完成值：长期有效，指标完成率</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76</w:t>
      </w:r>
      <w:r>
        <w:rPr>
          <w:rStyle w:val="16"/>
          <w:rFonts w:hint="eastAsia" w:ascii="仿宋_GB2312" w:hAnsi="仿宋_GB2312" w:eastAsia="仿宋_GB2312" w:cs="仿宋_GB2312"/>
          <w:b w:val="0"/>
          <w:color w:val="auto"/>
          <w:spacing w:val="-4"/>
          <w:sz w:val="28"/>
          <w:szCs w:val="28"/>
          <w:shd w:val="clear" w:color="auto" w:fill="auto"/>
          <w:lang w:val="en-US" w:eastAsia="zh-CN"/>
        </w:rPr>
        <w:t>.7</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p>
    <w:p w14:paraId="0050CE0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2" w:firstLineChars="200"/>
        <w:jc w:val="both"/>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bCs/>
          <w:sz w:val="28"/>
          <w:szCs w:val="28"/>
          <w:lang w:val="en-US" w:eastAsia="zh-CN"/>
        </w:rPr>
        <w:t>3、满意度指标分析：</w:t>
      </w:r>
      <w:r>
        <w:rPr>
          <w:rFonts w:hint="eastAsia" w:ascii="仿宋_GB2312" w:hAnsi="仿宋_GB2312" w:eastAsia="仿宋_GB2312" w:cs="仿宋_GB2312"/>
          <w:b w:val="0"/>
          <w:bCs w:val="0"/>
          <w:kern w:val="2"/>
          <w:sz w:val="28"/>
          <w:szCs w:val="28"/>
          <w:lang w:val="en-US" w:eastAsia="zh-CN" w:bidi="ar-SA"/>
        </w:rPr>
        <w:t>指标1：55户平房拆除满意度，</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指标值：100%，实际完成值：76</w:t>
      </w:r>
      <w:r>
        <w:rPr>
          <w:rStyle w:val="16"/>
          <w:rFonts w:hint="eastAsia" w:ascii="仿宋_GB2312" w:hAnsi="仿宋_GB2312" w:eastAsia="仿宋_GB2312" w:cs="仿宋_GB2312"/>
          <w:b w:val="0"/>
          <w:color w:val="auto"/>
          <w:spacing w:val="-4"/>
          <w:sz w:val="28"/>
          <w:szCs w:val="28"/>
          <w:shd w:val="clear" w:color="auto" w:fill="auto"/>
          <w:lang w:val="en-US" w:eastAsia="zh-CN"/>
        </w:rPr>
        <w:t>.7</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%，指标完成率76</w:t>
      </w:r>
      <w:r>
        <w:rPr>
          <w:rStyle w:val="16"/>
          <w:rFonts w:hint="eastAsia" w:ascii="仿宋_GB2312" w:hAnsi="仿宋_GB2312" w:eastAsia="仿宋_GB2312" w:cs="仿宋_GB2312"/>
          <w:b w:val="0"/>
          <w:color w:val="auto"/>
          <w:spacing w:val="-4"/>
          <w:sz w:val="28"/>
          <w:szCs w:val="28"/>
          <w:shd w:val="clear" w:color="auto" w:fill="auto"/>
          <w:lang w:val="en-US" w:eastAsia="zh-CN"/>
        </w:rPr>
        <w:t>.7</w:t>
      </w:r>
      <w:r>
        <w:rPr>
          <w:rFonts w:hint="eastAsia" w:ascii="仿宋_GB2312" w:hAnsi="仿宋_GB2312" w:eastAsia="仿宋_GB2312" w:cs="仿宋_GB2312"/>
          <w:i w:val="0"/>
          <w:caps w:val="0"/>
          <w:color w:val="030303"/>
          <w:spacing w:val="0"/>
          <w:kern w:val="0"/>
          <w:sz w:val="28"/>
          <w:szCs w:val="28"/>
          <w:shd w:val="clear" w:color="auto" w:fill="FFFFFF"/>
          <w:lang w:val="en-US" w:eastAsia="zh-CN" w:bidi="ar"/>
        </w:rPr>
        <w:t>%。</w:t>
      </w:r>
    </w:p>
    <w:p w14:paraId="7B30575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right="0"/>
        <w:jc w:val="both"/>
        <w:rPr>
          <w:rFonts w:hint="eastAsia" w:ascii="仿宋_GB2312" w:hAnsi="仿宋_GB2312" w:eastAsia="仿宋_GB2312" w:cs="仿宋_GB2312"/>
          <w:b/>
          <w:bCs/>
          <w:i w:val="0"/>
          <w:caps w:val="0"/>
          <w:color w:val="030303"/>
          <w:spacing w:val="0"/>
          <w:sz w:val="28"/>
          <w:szCs w:val="28"/>
          <w:shd w:val="clear" w:color="auto" w:fill="FFFFFF"/>
          <w:lang w:val="en-US" w:eastAsia="zh-CN"/>
        </w:rPr>
      </w:pPr>
      <w:r>
        <w:rPr>
          <w:rFonts w:hint="eastAsia" w:ascii="仿宋_GB2312" w:hAnsi="仿宋_GB2312" w:eastAsia="仿宋_GB2312" w:cs="仿宋_GB2312"/>
          <w:b/>
          <w:bCs/>
          <w:i w:val="0"/>
          <w:caps w:val="0"/>
          <w:color w:val="030303"/>
          <w:spacing w:val="0"/>
          <w:sz w:val="28"/>
          <w:szCs w:val="28"/>
          <w:shd w:val="clear" w:color="auto" w:fill="FFFFFF"/>
          <w:lang w:val="en-US" w:eastAsia="zh-CN"/>
        </w:rPr>
        <w:t xml:space="preserve"> </w:t>
      </w:r>
      <w:bookmarkStart w:id="10" w:name="_Toc15131"/>
      <w:r>
        <w:rPr>
          <w:rFonts w:hint="eastAsia" w:ascii="仿宋_GB2312" w:hAnsi="仿宋_GB2312" w:eastAsia="仿宋_GB2312" w:cs="仿宋_GB2312"/>
          <w:b/>
          <w:bCs/>
          <w:i w:val="0"/>
          <w:caps w:val="0"/>
          <w:color w:val="030303"/>
          <w:spacing w:val="0"/>
          <w:sz w:val="28"/>
          <w:szCs w:val="28"/>
          <w:shd w:val="clear" w:color="auto" w:fill="FFFFFF"/>
          <w:lang w:val="en-US" w:eastAsia="zh-CN"/>
        </w:rPr>
        <w:t>五、</w:t>
      </w:r>
      <w:r>
        <w:rPr>
          <w:rStyle w:val="16"/>
          <w:rFonts w:hint="eastAsia" w:ascii="仿宋_GB2312" w:hAnsi="仿宋_GB2312" w:eastAsia="仿宋_GB2312" w:cs="仿宋_GB2312"/>
          <w:b/>
          <w:bCs/>
          <w:i w:val="0"/>
          <w:caps w:val="0"/>
          <w:color w:val="030303"/>
          <w:spacing w:val="0"/>
          <w:sz w:val="28"/>
          <w:szCs w:val="28"/>
          <w:shd w:val="clear" w:color="auto" w:fill="FFFFFF"/>
        </w:rPr>
        <w:t>主要经验及做法</w:t>
      </w:r>
      <w:r>
        <w:rPr>
          <w:rStyle w:val="16"/>
          <w:rFonts w:hint="eastAsia" w:ascii="仿宋_GB2312" w:hAnsi="仿宋_GB2312" w:eastAsia="仿宋_GB2312" w:cs="仿宋_GB2312"/>
          <w:b/>
          <w:bCs/>
          <w:i w:val="0"/>
          <w:caps w:val="0"/>
          <w:color w:val="030303"/>
          <w:spacing w:val="0"/>
          <w:sz w:val="28"/>
          <w:szCs w:val="28"/>
          <w:shd w:val="clear" w:color="auto" w:fill="FFFFFF"/>
          <w:lang w:eastAsia="zh-CN"/>
        </w:rPr>
        <w:t>、</w:t>
      </w:r>
      <w:r>
        <w:rPr>
          <w:rStyle w:val="16"/>
          <w:rFonts w:hint="eastAsia" w:ascii="仿宋_GB2312" w:hAnsi="仿宋_GB2312" w:eastAsia="仿宋_GB2312" w:cs="仿宋_GB2312"/>
          <w:b/>
          <w:bCs/>
          <w:i w:val="0"/>
          <w:caps w:val="0"/>
          <w:color w:val="030303"/>
          <w:spacing w:val="0"/>
          <w:sz w:val="28"/>
          <w:szCs w:val="28"/>
          <w:shd w:val="clear" w:color="auto" w:fill="FFFFFF"/>
        </w:rPr>
        <w:t>存在的问题</w:t>
      </w:r>
      <w:r>
        <w:rPr>
          <w:rStyle w:val="16"/>
          <w:rFonts w:hint="eastAsia" w:ascii="仿宋_GB2312" w:hAnsi="仿宋_GB2312" w:eastAsia="仿宋_GB2312" w:cs="仿宋_GB2312"/>
          <w:b/>
          <w:bCs/>
          <w:i w:val="0"/>
          <w:caps w:val="0"/>
          <w:color w:val="030303"/>
          <w:spacing w:val="0"/>
          <w:sz w:val="28"/>
          <w:szCs w:val="28"/>
          <w:shd w:val="clear" w:color="auto" w:fill="FFFFFF"/>
          <w:lang w:val="en-US" w:eastAsia="zh-CN"/>
        </w:rPr>
        <w:t>及原因分析</w:t>
      </w:r>
      <w:bookmarkEnd w:id="10"/>
    </w:p>
    <w:p w14:paraId="343C4C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0" w:firstLineChars="200"/>
        <w:jc w:val="both"/>
        <w:rPr>
          <w:rFonts w:hint="eastAsia" w:ascii="仿宋_GB2312" w:hAnsi="仿宋_GB2312" w:eastAsia="仿宋_GB2312" w:cs="仿宋_GB2312"/>
          <w:b w:val="0"/>
          <w:bCs/>
          <w:sz w:val="28"/>
          <w:szCs w:val="28"/>
        </w:rPr>
      </w:pPr>
      <w:r>
        <w:rPr>
          <w:rStyle w:val="16"/>
          <w:rFonts w:hint="eastAsia" w:ascii="仿宋_GB2312" w:hAnsi="仿宋_GB2312" w:eastAsia="仿宋_GB2312" w:cs="仿宋_GB2312"/>
          <w:b w:val="0"/>
          <w:bCs/>
          <w:i w:val="0"/>
          <w:caps w:val="0"/>
          <w:color w:val="030303"/>
          <w:spacing w:val="0"/>
          <w:sz w:val="28"/>
          <w:szCs w:val="28"/>
          <w:shd w:val="clear" w:color="auto" w:fill="FFFFFF"/>
        </w:rPr>
        <w:t>（一）主要经验及做法</w:t>
      </w:r>
    </w:p>
    <w:p w14:paraId="7C0E83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60" w:lineRule="exact"/>
        <w:ind w:left="0" w:right="0" w:firstLine="560" w:firstLineChars="200"/>
        <w:jc w:val="both"/>
        <w:rPr>
          <w:rStyle w:val="16"/>
          <w:rFonts w:hint="eastAsia" w:ascii="仿宋_GB2312" w:hAnsi="仿宋_GB2312" w:eastAsia="仿宋_GB2312" w:cs="仿宋_GB2312"/>
          <w:b w:val="0"/>
          <w:spacing w:val="-4"/>
          <w:sz w:val="28"/>
          <w:szCs w:val="28"/>
          <w:lang w:eastAsia="zh-CN"/>
        </w:rPr>
      </w:pPr>
      <w:r>
        <w:rPr>
          <w:rFonts w:hint="eastAsia" w:ascii="仿宋_GB2312" w:hAnsi="仿宋_GB2312" w:eastAsia="仿宋_GB2312" w:cs="仿宋_GB2312"/>
          <w:i w:val="0"/>
          <w:caps w:val="0"/>
          <w:color w:val="030303"/>
          <w:spacing w:val="0"/>
          <w:sz w:val="28"/>
          <w:szCs w:val="28"/>
          <w:shd w:val="clear" w:color="auto" w:fill="FFFFFF"/>
        </w:rPr>
        <w:t>1、</w:t>
      </w:r>
      <w:r>
        <w:rPr>
          <w:rStyle w:val="16"/>
          <w:rFonts w:hint="eastAsia" w:ascii="仿宋_GB2312" w:hAnsi="仿宋_GB2312" w:eastAsia="仿宋_GB2312" w:cs="仿宋_GB2312"/>
          <w:b w:val="0"/>
          <w:spacing w:val="-4"/>
          <w:sz w:val="28"/>
          <w:szCs w:val="28"/>
        </w:rPr>
        <w:t>领导高度重视，成立绩效自评工作领导小组</w:t>
      </w:r>
      <w:r>
        <w:rPr>
          <w:rStyle w:val="16"/>
          <w:rFonts w:hint="eastAsia" w:ascii="仿宋_GB2312" w:hAnsi="仿宋_GB2312" w:eastAsia="仿宋_GB2312" w:cs="仿宋_GB2312"/>
          <w:b w:val="0"/>
          <w:spacing w:val="-4"/>
          <w:sz w:val="28"/>
          <w:szCs w:val="28"/>
          <w:lang w:eastAsia="zh-CN"/>
        </w:rPr>
        <w:t>。</w:t>
      </w:r>
      <w:r>
        <w:rPr>
          <w:rFonts w:hint="eastAsia" w:ascii="仿宋_GB2312" w:hAnsi="仿宋_GB2312" w:eastAsia="仿宋_GB2312" w:cs="仿宋_GB2312"/>
          <w:i w:val="0"/>
          <w:caps w:val="0"/>
          <w:color w:val="auto"/>
          <w:spacing w:val="0"/>
          <w:sz w:val="28"/>
          <w:szCs w:val="28"/>
          <w:shd w:val="clear" w:color="auto" w:fill="FFFFFF"/>
        </w:rPr>
        <w:t>按照厅党组工作部署，深入调查研究，建立健全</w:t>
      </w:r>
      <w:r>
        <w:rPr>
          <w:rFonts w:hint="eastAsia" w:ascii="仿宋_GB2312" w:hAnsi="仿宋_GB2312" w:eastAsia="仿宋_GB2312" w:cs="仿宋_GB2312"/>
          <w:i w:val="0"/>
          <w:caps w:val="0"/>
          <w:color w:val="auto"/>
          <w:spacing w:val="0"/>
          <w:sz w:val="28"/>
          <w:szCs w:val="28"/>
          <w:shd w:val="clear" w:color="auto" w:fill="FFFFFF"/>
          <w:lang w:val="en-US" w:eastAsia="zh-CN"/>
        </w:rPr>
        <w:t>绩效考评</w:t>
      </w:r>
      <w:r>
        <w:rPr>
          <w:rFonts w:hint="eastAsia" w:ascii="仿宋_GB2312" w:hAnsi="仿宋_GB2312" w:eastAsia="仿宋_GB2312" w:cs="仿宋_GB2312"/>
          <w:i w:val="0"/>
          <w:caps w:val="0"/>
          <w:color w:val="auto"/>
          <w:spacing w:val="0"/>
          <w:sz w:val="28"/>
          <w:szCs w:val="28"/>
          <w:shd w:val="clear" w:color="auto" w:fill="FFFFFF"/>
        </w:rPr>
        <w:t>制度</w:t>
      </w:r>
      <w:r>
        <w:rPr>
          <w:rFonts w:hint="eastAsia" w:ascii="仿宋_GB2312" w:hAnsi="仿宋_GB2312" w:eastAsia="仿宋_GB2312" w:cs="仿宋_GB2312"/>
          <w:i w:val="0"/>
          <w:caps w:val="0"/>
          <w:color w:val="auto"/>
          <w:spacing w:val="0"/>
          <w:sz w:val="28"/>
          <w:szCs w:val="28"/>
          <w:shd w:val="clear" w:color="auto" w:fill="FFFFFF"/>
          <w:lang w:eastAsia="zh-CN"/>
        </w:rPr>
        <w:t>，</w:t>
      </w:r>
      <w:r>
        <w:rPr>
          <w:rStyle w:val="16"/>
          <w:rFonts w:hint="eastAsia" w:ascii="仿宋_GB2312" w:hAnsi="仿宋_GB2312" w:eastAsia="仿宋_GB2312" w:cs="仿宋_GB2312"/>
          <w:b w:val="0"/>
          <w:color w:val="auto"/>
          <w:spacing w:val="-4"/>
          <w:sz w:val="28"/>
          <w:szCs w:val="28"/>
        </w:rPr>
        <w:t>主要领导负总责，安排</w:t>
      </w:r>
      <w:r>
        <w:rPr>
          <w:rStyle w:val="16"/>
          <w:rFonts w:hint="eastAsia" w:ascii="仿宋_GB2312" w:hAnsi="仿宋_GB2312" w:eastAsia="仿宋_GB2312" w:cs="仿宋_GB2312"/>
          <w:b w:val="0"/>
          <w:spacing w:val="-4"/>
          <w:sz w:val="28"/>
          <w:szCs w:val="28"/>
        </w:rPr>
        <w:t>专人具体办理，</w:t>
      </w:r>
      <w:r>
        <w:rPr>
          <w:rFonts w:hint="eastAsia" w:ascii="仿宋_GB2312" w:hAnsi="仿宋_GB2312" w:eastAsia="仿宋_GB2312" w:cs="仿宋_GB2312"/>
          <w:i w:val="0"/>
          <w:caps w:val="0"/>
          <w:color w:val="030303"/>
          <w:spacing w:val="0"/>
          <w:sz w:val="28"/>
          <w:szCs w:val="28"/>
          <w:shd w:val="clear" w:color="auto" w:fill="FFFFFF"/>
        </w:rPr>
        <w:t>合理分工，全员参与，</w:t>
      </w:r>
      <w:r>
        <w:rPr>
          <w:rStyle w:val="16"/>
          <w:rFonts w:hint="eastAsia" w:ascii="仿宋_GB2312" w:hAnsi="仿宋_GB2312" w:eastAsia="仿宋_GB2312" w:cs="仿宋_GB2312"/>
          <w:b w:val="0"/>
          <w:spacing w:val="-4"/>
          <w:sz w:val="28"/>
          <w:szCs w:val="28"/>
        </w:rPr>
        <w:t>形成一级抓一级，层层抓落实</w:t>
      </w:r>
      <w:r>
        <w:rPr>
          <w:rStyle w:val="16"/>
          <w:rFonts w:hint="eastAsia" w:ascii="仿宋_GB2312" w:hAnsi="仿宋_GB2312" w:eastAsia="仿宋_GB2312" w:cs="仿宋_GB2312"/>
          <w:b w:val="0"/>
          <w:spacing w:val="-4"/>
          <w:sz w:val="28"/>
          <w:szCs w:val="28"/>
          <w:lang w:eastAsia="zh-CN"/>
        </w:rPr>
        <w:t>。</w:t>
      </w:r>
    </w:p>
    <w:p w14:paraId="19EB6F70">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lang w:val="en-US" w:eastAsia="zh-CN"/>
        </w:rPr>
        <w:t>2、</w:t>
      </w:r>
      <w:r>
        <w:rPr>
          <w:rStyle w:val="16"/>
          <w:rFonts w:hint="eastAsia" w:ascii="仿宋_GB2312" w:hAnsi="仿宋_GB2312" w:eastAsia="仿宋_GB2312" w:cs="仿宋_GB2312"/>
          <w:b w:val="0"/>
          <w:spacing w:val="-4"/>
          <w:sz w:val="28"/>
          <w:szCs w:val="28"/>
        </w:rPr>
        <w:t>严格执行相关财经法律法规，项目经费专款专用，抓好项目实施和绩效评价</w:t>
      </w:r>
      <w:r>
        <w:rPr>
          <w:rStyle w:val="16"/>
          <w:rFonts w:hint="eastAsia" w:ascii="仿宋_GB2312" w:hAnsi="仿宋_GB2312" w:eastAsia="仿宋_GB2312" w:cs="仿宋_GB2312"/>
          <w:b w:val="0"/>
          <w:spacing w:val="-4"/>
          <w:sz w:val="28"/>
          <w:szCs w:val="28"/>
          <w:lang w:eastAsia="zh-CN"/>
        </w:rPr>
        <w:t>。</w:t>
      </w:r>
    </w:p>
    <w:p w14:paraId="731CF8BE">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spacing w:val="-4"/>
          <w:sz w:val="28"/>
          <w:szCs w:val="28"/>
          <w:lang w:eastAsia="zh-CN"/>
        </w:rPr>
      </w:pPr>
      <w:r>
        <w:rPr>
          <w:rStyle w:val="16"/>
          <w:rFonts w:hint="eastAsia" w:ascii="仿宋_GB2312" w:hAnsi="仿宋_GB2312" w:eastAsia="仿宋_GB2312" w:cs="仿宋_GB2312"/>
          <w:b w:val="0"/>
          <w:spacing w:val="-4"/>
          <w:sz w:val="28"/>
          <w:szCs w:val="28"/>
          <w:lang w:val="en-US" w:eastAsia="zh-CN"/>
        </w:rPr>
        <w:t>3、</w:t>
      </w:r>
      <w:r>
        <w:rPr>
          <w:rStyle w:val="16"/>
          <w:rFonts w:hint="eastAsia" w:ascii="仿宋_GB2312" w:hAnsi="仿宋_GB2312" w:eastAsia="仿宋_GB2312" w:cs="仿宋_GB2312"/>
          <w:b w:val="0"/>
          <w:spacing w:val="-4"/>
          <w:sz w:val="28"/>
          <w:szCs w:val="28"/>
        </w:rPr>
        <w:t>科学制定方案。为使绩效评价工作平稳有序进行，在正式评价开展前拟定了详细的工作方案，方案内容包括评价内容、评价方法、评价依据、时间安排、工作步骤、工作要求等方面</w:t>
      </w:r>
      <w:r>
        <w:rPr>
          <w:rStyle w:val="16"/>
          <w:rFonts w:hint="eastAsia" w:ascii="仿宋_GB2312" w:hAnsi="仿宋_GB2312" w:eastAsia="仿宋_GB2312" w:cs="仿宋_GB2312"/>
          <w:b w:val="0"/>
          <w:spacing w:val="-4"/>
          <w:sz w:val="28"/>
          <w:szCs w:val="28"/>
          <w:lang w:eastAsia="zh-CN"/>
        </w:rPr>
        <w:t>。</w:t>
      </w:r>
    </w:p>
    <w:p w14:paraId="6AE155CF">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lang w:val="en-US" w:eastAsia="zh-CN"/>
        </w:rPr>
        <w:t>4、</w:t>
      </w:r>
      <w:r>
        <w:rPr>
          <w:rStyle w:val="16"/>
          <w:rFonts w:hint="eastAsia" w:ascii="仿宋_GB2312" w:hAnsi="仿宋_GB2312" w:eastAsia="仿宋_GB2312" w:cs="仿宋_GB2312"/>
          <w:b w:val="0"/>
          <w:spacing w:val="-4"/>
          <w:sz w:val="28"/>
          <w:szCs w:val="28"/>
        </w:rPr>
        <w:t>业务人员工作积极、认真负责，抓好项目实施的绩效评价。</w:t>
      </w:r>
    </w:p>
    <w:p w14:paraId="19DEFD3F">
      <w:pPr>
        <w:keepNext w:val="0"/>
        <w:keepLines w:val="0"/>
        <w:pageBreakBefore w:val="0"/>
        <w:kinsoku/>
        <w:wordWrap/>
        <w:overflowPunct/>
        <w:topLinePunct w:val="0"/>
        <w:autoSpaceDE/>
        <w:autoSpaceDN/>
        <w:bidi w:val="0"/>
        <w:adjustRightInd/>
        <w:snapToGrid/>
        <w:spacing w:after="0" w:line="560" w:lineRule="exact"/>
        <w:ind w:left="0" w:leftChars="0" w:right="0" w:rightChars="0" w:firstLine="492" w:firstLineChars="181"/>
        <w:jc w:val="both"/>
        <w:textAlignment w:val="auto"/>
        <w:rPr>
          <w:rStyle w:val="16"/>
          <w:rFonts w:hint="eastAsia" w:ascii="仿宋_GB2312" w:hAnsi="仿宋_GB2312" w:eastAsia="仿宋_GB2312" w:cs="仿宋_GB2312"/>
          <w:b w:val="0"/>
          <w:bCs w:val="0"/>
          <w:spacing w:val="-4"/>
          <w:sz w:val="28"/>
          <w:szCs w:val="28"/>
          <w:lang w:eastAsia="zh-CN"/>
        </w:rPr>
      </w:pPr>
      <w:r>
        <w:rPr>
          <w:rStyle w:val="16"/>
          <w:rFonts w:hint="eastAsia" w:ascii="仿宋_GB2312" w:hAnsi="仿宋_GB2312" w:eastAsia="仿宋_GB2312" w:cs="仿宋_GB2312"/>
          <w:b w:val="0"/>
          <w:bCs w:val="0"/>
          <w:spacing w:val="-4"/>
          <w:sz w:val="28"/>
          <w:szCs w:val="28"/>
          <w:lang w:eastAsia="zh-CN"/>
        </w:rPr>
        <w:t>（二）存在的问题及原因分析存在的问题：</w:t>
      </w:r>
    </w:p>
    <w:p w14:paraId="7B7694D8">
      <w:pPr>
        <w:keepNext w:val="0"/>
        <w:keepLines w:val="0"/>
        <w:pageBreakBefore w:val="0"/>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Style w:val="16"/>
          <w:rFonts w:hint="eastAsia" w:ascii="仿宋_GB2312" w:hAnsi="仿宋_GB2312" w:eastAsia="仿宋_GB2312" w:cs="仿宋_GB2312"/>
          <w:b/>
          <w:bCs/>
          <w:spacing w:val="-4"/>
          <w:sz w:val="28"/>
          <w:szCs w:val="28"/>
          <w:lang w:eastAsia="zh-CN"/>
        </w:rPr>
      </w:pPr>
      <w:r>
        <w:rPr>
          <w:rFonts w:hint="eastAsia" w:ascii="仿宋_GB2312" w:hAnsi="仿宋_GB2312" w:eastAsia="仿宋_GB2312" w:cs="仿宋_GB2312"/>
          <w:b w:val="0"/>
          <w:bCs w:val="0"/>
          <w:kern w:val="2"/>
          <w:sz w:val="28"/>
          <w:szCs w:val="28"/>
          <w:lang w:val="en-US" w:eastAsia="zh-CN" w:bidi="ar-SA"/>
        </w:rPr>
        <w:t>存在的问题：</w:t>
      </w:r>
    </w:p>
    <w:p w14:paraId="019A282C">
      <w:pPr>
        <w:keepNext w:val="0"/>
        <w:keepLines w:val="0"/>
        <w:pageBreakBefore w:val="0"/>
        <w:numPr>
          <w:ilvl w:val="0"/>
          <w:numId w:val="8"/>
        </w:numPr>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Fonts w:hint="eastAsia" w:ascii="仿宋_GB2312" w:hAnsi="仿宋_GB2312" w:eastAsia="仿宋_GB2312" w:cs="仿宋_GB2312"/>
          <w:i w:val="0"/>
          <w:caps w:val="0"/>
          <w:color w:val="030303"/>
          <w:spacing w:val="0"/>
          <w:sz w:val="28"/>
          <w:szCs w:val="28"/>
          <w:shd w:val="clear" w:color="auto" w:fill="FFFFFF"/>
        </w:rPr>
      </w:pPr>
      <w:r>
        <w:rPr>
          <w:rFonts w:hint="eastAsia" w:ascii="仿宋_GB2312" w:hAnsi="仿宋_GB2312" w:eastAsia="仿宋_GB2312" w:cs="仿宋_GB2312"/>
          <w:i w:val="0"/>
          <w:caps w:val="0"/>
          <w:color w:val="030303"/>
          <w:spacing w:val="0"/>
          <w:sz w:val="28"/>
          <w:szCs w:val="28"/>
          <w:shd w:val="clear" w:color="auto" w:fill="FFFFFF"/>
        </w:rPr>
        <w:t>作为项目实施部门，对绩效考核还缺乏充分的认识，快速反应的意识有待加强，服务方式有待改进，服务质量有待提高，管理制度还需要进一步完善和健全。</w:t>
      </w:r>
    </w:p>
    <w:p w14:paraId="74DE7779">
      <w:pPr>
        <w:keepNext w:val="0"/>
        <w:keepLines w:val="0"/>
        <w:pageBreakBefore w:val="0"/>
        <w:numPr>
          <w:ilvl w:val="0"/>
          <w:numId w:val="8"/>
        </w:numPr>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Fonts w:hint="eastAsia" w:ascii="仿宋_GB2312" w:hAnsi="仿宋_GB2312" w:eastAsia="仿宋_GB2312" w:cs="仿宋_GB2312"/>
          <w:i w:val="0"/>
          <w:caps w:val="0"/>
          <w:color w:val="030303"/>
          <w:spacing w:val="0"/>
          <w:sz w:val="28"/>
          <w:szCs w:val="28"/>
          <w:shd w:val="clear" w:color="auto" w:fill="FFFFFF"/>
        </w:rPr>
      </w:pPr>
      <w:r>
        <w:rPr>
          <w:rFonts w:hint="eastAsia" w:ascii="仿宋_GB2312" w:hAnsi="仿宋_GB2312" w:eastAsia="仿宋_GB2312" w:cs="仿宋_GB2312"/>
          <w:i w:val="0"/>
          <w:caps w:val="0"/>
          <w:color w:val="030303"/>
          <w:spacing w:val="0"/>
          <w:sz w:val="28"/>
          <w:szCs w:val="28"/>
          <w:shd w:val="clear" w:color="auto" w:fill="FFFFFF"/>
          <w:lang w:val="en-US" w:eastAsia="zh-CN"/>
        </w:rPr>
        <w:t>由于是破产企业，补助资金发放存在一定的难度。</w:t>
      </w:r>
    </w:p>
    <w:p w14:paraId="0116F4A0">
      <w:pPr>
        <w:keepNext w:val="0"/>
        <w:keepLines w:val="0"/>
        <w:pageBreakBefore w:val="0"/>
        <w:kinsoku/>
        <w:wordWrap/>
        <w:overflowPunct/>
        <w:topLinePunct w:val="0"/>
        <w:autoSpaceDE/>
        <w:autoSpaceDN/>
        <w:bidi w:val="0"/>
        <w:adjustRightInd/>
        <w:snapToGrid/>
        <w:spacing w:after="0" w:line="560" w:lineRule="exact"/>
        <w:ind w:left="0" w:leftChars="0" w:right="0" w:rightChars="0" w:firstLine="506" w:firstLineChars="181"/>
        <w:jc w:val="both"/>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原因分析：</w:t>
      </w:r>
    </w:p>
    <w:p w14:paraId="3E6E221A">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rPr>
          <w:rStyle w:val="16"/>
          <w:rFonts w:hint="eastAsia" w:ascii="仿宋_GB2312" w:hAnsi="仿宋_GB2312" w:eastAsia="仿宋_GB2312" w:cs="仿宋_GB2312"/>
          <w:b w:val="0"/>
          <w:spacing w:val="-4"/>
          <w:sz w:val="28"/>
          <w:szCs w:val="28"/>
        </w:rPr>
      </w:pPr>
      <w:r>
        <w:rPr>
          <w:rStyle w:val="16"/>
          <w:rFonts w:hint="eastAsia" w:ascii="仿宋_GB2312" w:hAnsi="仿宋_GB2312" w:eastAsia="仿宋_GB2312" w:cs="仿宋_GB2312"/>
          <w:b w:val="0"/>
          <w:spacing w:val="-4"/>
          <w:sz w:val="28"/>
          <w:szCs w:val="28"/>
          <w:highlight w:val="none"/>
          <w:lang w:eastAsia="zh-CN"/>
        </w:rPr>
        <w:t>原因为</w:t>
      </w:r>
      <w:r>
        <w:rPr>
          <w:rStyle w:val="16"/>
          <w:rFonts w:hint="eastAsia" w:ascii="仿宋_GB2312" w:hAnsi="仿宋_GB2312" w:eastAsia="仿宋_GB2312" w:cs="仿宋_GB2312"/>
          <w:b w:val="0"/>
          <w:spacing w:val="-4"/>
          <w:sz w:val="28"/>
          <w:szCs w:val="28"/>
          <w:highlight w:val="none"/>
        </w:rPr>
        <w:t>编制的项目自评指标体系不够精细，绩效目标不具体，绩效目标未完全细化，分解工作任务</w:t>
      </w:r>
      <w:r>
        <w:rPr>
          <w:rStyle w:val="16"/>
          <w:rFonts w:hint="eastAsia" w:ascii="仿宋_GB2312" w:hAnsi="仿宋_GB2312" w:eastAsia="仿宋_GB2312" w:cs="仿宋_GB2312"/>
          <w:b w:val="0"/>
          <w:spacing w:val="-4"/>
          <w:sz w:val="28"/>
          <w:szCs w:val="28"/>
          <w:highlight w:val="none"/>
          <w:lang w:eastAsia="zh-CN"/>
        </w:rPr>
        <w:t>还</w:t>
      </w:r>
      <w:r>
        <w:rPr>
          <w:rStyle w:val="16"/>
          <w:rFonts w:hint="eastAsia" w:ascii="仿宋_GB2312" w:hAnsi="仿宋_GB2312" w:eastAsia="仿宋_GB2312" w:cs="仿宋_GB2312"/>
          <w:b w:val="0"/>
          <w:spacing w:val="-4"/>
          <w:sz w:val="28"/>
          <w:szCs w:val="28"/>
          <w:highlight w:val="none"/>
        </w:rPr>
        <w:t>不够具体</w:t>
      </w:r>
      <w:r>
        <w:rPr>
          <w:rStyle w:val="16"/>
          <w:rFonts w:hint="eastAsia" w:ascii="仿宋_GB2312" w:hAnsi="仿宋_GB2312" w:eastAsia="仿宋_GB2312" w:cs="仿宋_GB2312"/>
          <w:b w:val="0"/>
          <w:spacing w:val="-4"/>
          <w:sz w:val="28"/>
          <w:szCs w:val="28"/>
          <w:highlight w:val="none"/>
          <w:lang w:eastAsia="zh-CN"/>
        </w:rPr>
        <w:t>。</w:t>
      </w:r>
    </w:p>
    <w:p w14:paraId="08A35099">
      <w:pPr>
        <w:keepNext w:val="0"/>
        <w:keepLines w:val="0"/>
        <w:pageBreakBefore w:val="0"/>
        <w:numPr>
          <w:ilvl w:val="0"/>
          <w:numId w:val="9"/>
        </w:numPr>
        <w:kinsoku/>
        <w:wordWrap/>
        <w:overflowPunct/>
        <w:topLinePunct w:val="0"/>
        <w:autoSpaceDE/>
        <w:autoSpaceDN/>
        <w:bidi w:val="0"/>
        <w:adjustRightInd/>
        <w:snapToGrid/>
        <w:spacing w:after="0" w:line="560" w:lineRule="exact"/>
        <w:ind w:left="0" w:leftChars="0" w:right="0" w:rightChars="0" w:firstLine="640"/>
        <w:textAlignment w:val="auto"/>
        <w:outlineLvl w:val="0"/>
        <w:rPr>
          <w:rStyle w:val="16"/>
          <w:rFonts w:hint="eastAsia" w:ascii="仿宋_GB2312" w:hAnsi="仿宋_GB2312" w:eastAsia="仿宋_GB2312" w:cs="仿宋_GB2312"/>
          <w:b w:val="0"/>
          <w:bCs w:val="0"/>
          <w:spacing w:val="-4"/>
          <w:sz w:val="28"/>
          <w:szCs w:val="28"/>
          <w:lang w:val="en-US" w:eastAsia="zh-CN"/>
        </w:rPr>
      </w:pPr>
      <w:bookmarkStart w:id="11" w:name="_Toc4534"/>
      <w:r>
        <w:rPr>
          <w:rStyle w:val="16"/>
          <w:rFonts w:hint="eastAsia" w:ascii="仿宋_GB2312" w:hAnsi="仿宋_GB2312" w:eastAsia="仿宋_GB2312" w:cs="仿宋_GB2312"/>
          <w:b w:val="0"/>
          <w:bCs w:val="0"/>
          <w:spacing w:val="-4"/>
          <w:sz w:val="28"/>
          <w:szCs w:val="28"/>
          <w:lang w:val="en-US" w:eastAsia="zh-CN"/>
        </w:rPr>
        <w:t>有关建议：</w:t>
      </w:r>
      <w:bookmarkEnd w:id="11"/>
    </w:p>
    <w:p w14:paraId="7F8379C6">
      <w:pPr>
        <w:pStyle w:val="2"/>
        <w:ind w:left="0" w:leftChars="0" w:firstLine="544" w:firstLineChars="200"/>
        <w:rPr>
          <w:rStyle w:val="16"/>
          <w:rFonts w:hint="eastAsia" w:ascii="仿宋_GB2312" w:hAnsi="仿宋_GB2312" w:eastAsia="仿宋_GB2312" w:cs="仿宋_GB2312"/>
          <w:b w:val="0"/>
          <w:spacing w:val="-4"/>
          <w:kern w:val="2"/>
          <w:sz w:val="28"/>
          <w:szCs w:val="28"/>
          <w:highlight w:val="none"/>
          <w:lang w:val="en-US" w:eastAsia="zh-CN" w:bidi="ar-SA"/>
        </w:rPr>
      </w:pPr>
      <w:r>
        <w:rPr>
          <w:rStyle w:val="16"/>
          <w:rFonts w:hint="eastAsia" w:ascii="仿宋_GB2312" w:hAnsi="仿宋_GB2312" w:eastAsia="仿宋_GB2312" w:cs="仿宋_GB2312"/>
          <w:b w:val="0"/>
          <w:spacing w:val="-4"/>
          <w:kern w:val="2"/>
          <w:sz w:val="28"/>
          <w:szCs w:val="28"/>
          <w:highlight w:val="none"/>
          <w:lang w:val="en-US" w:eastAsia="zh-CN" w:bidi="ar-SA"/>
        </w:rPr>
        <w:t>无</w:t>
      </w:r>
    </w:p>
    <w:p w14:paraId="0C9A6DDC">
      <w:pPr>
        <w:keepNext w:val="0"/>
        <w:keepLines w:val="0"/>
        <w:pageBreakBefore w:val="0"/>
        <w:numPr>
          <w:ilvl w:val="0"/>
          <w:numId w:val="9"/>
        </w:numPr>
        <w:kinsoku/>
        <w:wordWrap/>
        <w:overflowPunct/>
        <w:topLinePunct w:val="0"/>
        <w:autoSpaceDE/>
        <w:autoSpaceDN/>
        <w:bidi w:val="0"/>
        <w:adjustRightInd/>
        <w:snapToGrid/>
        <w:spacing w:after="0" w:line="560" w:lineRule="exact"/>
        <w:ind w:left="0" w:leftChars="0" w:right="0" w:rightChars="0" w:firstLine="640" w:firstLineChars="0"/>
        <w:textAlignment w:val="auto"/>
        <w:outlineLvl w:val="0"/>
        <w:rPr>
          <w:rStyle w:val="16"/>
          <w:rFonts w:hint="eastAsia" w:ascii="仿宋_GB2312" w:hAnsi="仿宋_GB2312" w:eastAsia="仿宋_GB2312" w:cs="仿宋_GB2312"/>
          <w:b w:val="0"/>
          <w:bCs w:val="0"/>
          <w:spacing w:val="-4"/>
          <w:sz w:val="28"/>
          <w:szCs w:val="28"/>
          <w:lang w:eastAsia="zh-CN"/>
        </w:rPr>
      </w:pPr>
      <w:bookmarkStart w:id="12" w:name="_Toc11134"/>
      <w:r>
        <w:rPr>
          <w:rStyle w:val="16"/>
          <w:rFonts w:hint="eastAsia" w:ascii="仿宋_GB2312" w:hAnsi="仿宋_GB2312" w:eastAsia="仿宋_GB2312" w:cs="仿宋_GB2312"/>
          <w:b w:val="0"/>
          <w:bCs w:val="0"/>
          <w:spacing w:val="-4"/>
          <w:sz w:val="28"/>
          <w:szCs w:val="28"/>
          <w:lang w:eastAsia="zh-CN"/>
        </w:rPr>
        <w:t>其他需要说明的问题：</w:t>
      </w:r>
      <w:bookmarkEnd w:id="12"/>
    </w:p>
    <w:p w14:paraId="74184565">
      <w:pPr>
        <w:keepNext w:val="0"/>
        <w:keepLines w:val="0"/>
        <w:pageBreakBefore w:val="0"/>
        <w:numPr>
          <w:ilvl w:val="0"/>
          <w:numId w:val="0"/>
        </w:numPr>
        <w:kinsoku/>
        <w:wordWrap/>
        <w:overflowPunct/>
        <w:topLinePunct w:val="0"/>
        <w:autoSpaceDE/>
        <w:autoSpaceDN/>
        <w:bidi w:val="0"/>
        <w:adjustRightInd/>
        <w:snapToGrid/>
        <w:spacing w:after="0" w:line="560" w:lineRule="exact"/>
        <w:ind w:left="640" w:leftChars="0" w:right="0" w:rightChars="0"/>
        <w:textAlignment w:val="auto"/>
        <w:rPr>
          <w:rFonts w:hint="eastAsia" w:ascii="新宋体" w:hAnsi="新宋体" w:eastAsia="新宋体" w:cs="新宋体"/>
          <w:sz w:val="28"/>
          <w:szCs w:val="28"/>
        </w:rPr>
      </w:pPr>
      <w:r>
        <w:rPr>
          <w:rStyle w:val="16"/>
          <w:rFonts w:hint="eastAsia" w:ascii="仿宋_GB2312" w:hAnsi="仿宋_GB2312" w:eastAsia="仿宋_GB2312" w:cs="仿宋_GB2312"/>
          <w:b w:val="0"/>
          <w:spacing w:val="-4"/>
          <w:sz w:val="28"/>
          <w:szCs w:val="28"/>
          <w:lang w:val="en-US" w:eastAsia="zh-CN"/>
        </w:rPr>
        <w:t>无</w:t>
      </w:r>
      <w:bookmarkStart w:id="13" w:name="_GoBack"/>
      <w:bookmarkEnd w:id="13"/>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FEB0F">
    <w:pPr>
      <w:pStyle w:val="7"/>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23A0A4">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23A0A4">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5353D"/>
    <w:multiLevelType w:val="singleLevel"/>
    <w:tmpl w:val="B7A5353D"/>
    <w:lvl w:ilvl="0" w:tentative="0">
      <w:start w:val="2"/>
      <w:numFmt w:val="chineseCounting"/>
      <w:suff w:val="nothing"/>
      <w:lvlText w:val="（%1）"/>
      <w:lvlJc w:val="left"/>
      <w:rPr>
        <w:rFonts w:hint="eastAsia"/>
      </w:rPr>
    </w:lvl>
  </w:abstractNum>
  <w:abstractNum w:abstractNumId="1">
    <w:nsid w:val="E8FA4C4D"/>
    <w:multiLevelType w:val="singleLevel"/>
    <w:tmpl w:val="E8FA4C4D"/>
    <w:lvl w:ilvl="0" w:tentative="0">
      <w:start w:val="2"/>
      <w:numFmt w:val="chineseCounting"/>
      <w:suff w:val="nothing"/>
      <w:lvlText w:val="（%1）"/>
      <w:lvlJc w:val="left"/>
      <w:rPr>
        <w:rFonts w:hint="eastAsia"/>
      </w:rPr>
    </w:lvl>
  </w:abstractNum>
  <w:abstractNum w:abstractNumId="2">
    <w:nsid w:val="FFBCAE95"/>
    <w:multiLevelType w:val="singleLevel"/>
    <w:tmpl w:val="FFBCAE95"/>
    <w:lvl w:ilvl="0" w:tentative="0">
      <w:start w:val="3"/>
      <w:numFmt w:val="decimal"/>
      <w:suff w:val="nothing"/>
      <w:lvlText w:val="%1、"/>
      <w:lvlJc w:val="left"/>
      <w:pPr>
        <w:ind w:left="-430"/>
      </w:pPr>
    </w:lvl>
  </w:abstractNum>
  <w:abstractNum w:abstractNumId="3">
    <w:nsid w:val="FFD797BE"/>
    <w:multiLevelType w:val="singleLevel"/>
    <w:tmpl w:val="FFD797BE"/>
    <w:lvl w:ilvl="0" w:tentative="0">
      <w:start w:val="2"/>
      <w:numFmt w:val="decimal"/>
      <w:suff w:val="nothing"/>
      <w:lvlText w:val="%1、"/>
      <w:lvlJc w:val="left"/>
    </w:lvl>
  </w:abstractNum>
  <w:abstractNum w:abstractNumId="4">
    <w:nsid w:val="27813159"/>
    <w:multiLevelType w:val="singleLevel"/>
    <w:tmpl w:val="27813159"/>
    <w:lvl w:ilvl="0" w:tentative="0">
      <w:start w:val="3"/>
      <w:numFmt w:val="chineseCounting"/>
      <w:suff w:val="nothing"/>
      <w:lvlText w:val="（%1）"/>
      <w:lvlJc w:val="left"/>
      <w:pPr>
        <w:ind w:left="-711"/>
      </w:pPr>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5E96D33C"/>
    <w:multiLevelType w:val="singleLevel"/>
    <w:tmpl w:val="5E96D33C"/>
    <w:lvl w:ilvl="0" w:tentative="0">
      <w:start w:val="3"/>
      <w:numFmt w:val="chineseCounting"/>
      <w:suff w:val="nothing"/>
      <w:lvlText w:val="（%1）"/>
      <w:lvlJc w:val="left"/>
    </w:lvl>
  </w:abstractNum>
  <w:abstractNum w:abstractNumId="7">
    <w:nsid w:val="5E99939F"/>
    <w:multiLevelType w:val="singleLevel"/>
    <w:tmpl w:val="5E99939F"/>
    <w:lvl w:ilvl="0" w:tentative="0">
      <w:start w:val="1"/>
      <w:numFmt w:val="decimal"/>
      <w:suff w:val="nothing"/>
      <w:lvlText w:val="%1、"/>
      <w:lvlJc w:val="left"/>
    </w:lvl>
  </w:abstractNum>
  <w:abstractNum w:abstractNumId="8">
    <w:nsid w:val="60388638"/>
    <w:multiLevelType w:val="singleLevel"/>
    <w:tmpl w:val="60388638"/>
    <w:lvl w:ilvl="0" w:tentative="0">
      <w:start w:val="6"/>
      <w:numFmt w:val="chineseCounting"/>
      <w:suff w:val="nothing"/>
      <w:lvlText w:val="%1、"/>
      <w:lvlJc w:val="left"/>
    </w:lvl>
  </w:abstractNum>
  <w:num w:numId="1">
    <w:abstractNumId w:val="1"/>
  </w:num>
  <w:num w:numId="2">
    <w:abstractNumId w:val="2"/>
  </w:num>
  <w:num w:numId="3">
    <w:abstractNumId w:val="4"/>
  </w:num>
  <w:num w:numId="4">
    <w:abstractNumId w:val="5"/>
  </w:num>
  <w:num w:numId="5">
    <w:abstractNumId w:val="3"/>
  </w:num>
  <w:num w:numId="6">
    <w:abstractNumId w:val="0"/>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B1E6B4F"/>
    <w:rsid w:val="00DF3F59"/>
    <w:rsid w:val="00FB4547"/>
    <w:rsid w:val="01300309"/>
    <w:rsid w:val="01657919"/>
    <w:rsid w:val="017442FA"/>
    <w:rsid w:val="01791910"/>
    <w:rsid w:val="018D0F17"/>
    <w:rsid w:val="01EF4EF7"/>
    <w:rsid w:val="03766107"/>
    <w:rsid w:val="038E028D"/>
    <w:rsid w:val="046441B2"/>
    <w:rsid w:val="04BC5D9C"/>
    <w:rsid w:val="04F75026"/>
    <w:rsid w:val="050C5090"/>
    <w:rsid w:val="05D67331"/>
    <w:rsid w:val="05EF57E4"/>
    <w:rsid w:val="062C3026"/>
    <w:rsid w:val="0780000F"/>
    <w:rsid w:val="07CF2281"/>
    <w:rsid w:val="09685350"/>
    <w:rsid w:val="09DA5642"/>
    <w:rsid w:val="0A510B74"/>
    <w:rsid w:val="0A59313F"/>
    <w:rsid w:val="0AB65779"/>
    <w:rsid w:val="0B1E6B4F"/>
    <w:rsid w:val="0B3F5205"/>
    <w:rsid w:val="0C1F5710"/>
    <w:rsid w:val="0C6234E6"/>
    <w:rsid w:val="0C822209"/>
    <w:rsid w:val="0DA82E6A"/>
    <w:rsid w:val="0E460E4F"/>
    <w:rsid w:val="0EB75826"/>
    <w:rsid w:val="0ED70E7F"/>
    <w:rsid w:val="10066A65"/>
    <w:rsid w:val="105453B4"/>
    <w:rsid w:val="11CE710E"/>
    <w:rsid w:val="11FF376C"/>
    <w:rsid w:val="12154734"/>
    <w:rsid w:val="121D0997"/>
    <w:rsid w:val="12752BEF"/>
    <w:rsid w:val="133E13C7"/>
    <w:rsid w:val="13904FC3"/>
    <w:rsid w:val="151823B4"/>
    <w:rsid w:val="15A210AB"/>
    <w:rsid w:val="15DC6F25"/>
    <w:rsid w:val="1612587A"/>
    <w:rsid w:val="164F280E"/>
    <w:rsid w:val="16936F52"/>
    <w:rsid w:val="173731C6"/>
    <w:rsid w:val="180E295A"/>
    <w:rsid w:val="181109B7"/>
    <w:rsid w:val="1A140049"/>
    <w:rsid w:val="1A564F51"/>
    <w:rsid w:val="1ABF7656"/>
    <w:rsid w:val="1B487F31"/>
    <w:rsid w:val="1B840893"/>
    <w:rsid w:val="1C5F3784"/>
    <w:rsid w:val="1D507571"/>
    <w:rsid w:val="1D9D2E6B"/>
    <w:rsid w:val="1E894AE9"/>
    <w:rsid w:val="1F566050"/>
    <w:rsid w:val="1F62731D"/>
    <w:rsid w:val="1FA37E2C"/>
    <w:rsid w:val="20BE2EA1"/>
    <w:rsid w:val="21BE719F"/>
    <w:rsid w:val="21F4496F"/>
    <w:rsid w:val="21FE0B92"/>
    <w:rsid w:val="22717C64"/>
    <w:rsid w:val="234A05BF"/>
    <w:rsid w:val="236E24FF"/>
    <w:rsid w:val="23825060"/>
    <w:rsid w:val="23BC326A"/>
    <w:rsid w:val="25287ADA"/>
    <w:rsid w:val="25744A0D"/>
    <w:rsid w:val="25787665"/>
    <w:rsid w:val="25E85857"/>
    <w:rsid w:val="26630315"/>
    <w:rsid w:val="27A85F06"/>
    <w:rsid w:val="27AF6A91"/>
    <w:rsid w:val="27CB6172"/>
    <w:rsid w:val="29B11398"/>
    <w:rsid w:val="2A68414C"/>
    <w:rsid w:val="2B0A7C37"/>
    <w:rsid w:val="2B2F07C6"/>
    <w:rsid w:val="2B9E7034"/>
    <w:rsid w:val="2BFB2D9E"/>
    <w:rsid w:val="2C1A1476"/>
    <w:rsid w:val="2C701096"/>
    <w:rsid w:val="2EEA15D4"/>
    <w:rsid w:val="2F88799F"/>
    <w:rsid w:val="300954A7"/>
    <w:rsid w:val="30BD4AC6"/>
    <w:rsid w:val="31F52A85"/>
    <w:rsid w:val="322070BA"/>
    <w:rsid w:val="32235A31"/>
    <w:rsid w:val="32865FFD"/>
    <w:rsid w:val="32FA5B5D"/>
    <w:rsid w:val="33162906"/>
    <w:rsid w:val="335E27A0"/>
    <w:rsid w:val="339A3D17"/>
    <w:rsid w:val="33C365BE"/>
    <w:rsid w:val="33F14691"/>
    <w:rsid w:val="33FC1696"/>
    <w:rsid w:val="34713BFD"/>
    <w:rsid w:val="34AC2E87"/>
    <w:rsid w:val="354D3BD6"/>
    <w:rsid w:val="3575771D"/>
    <w:rsid w:val="36624145"/>
    <w:rsid w:val="36E44B5A"/>
    <w:rsid w:val="36E92171"/>
    <w:rsid w:val="372C02AF"/>
    <w:rsid w:val="38623649"/>
    <w:rsid w:val="3894610C"/>
    <w:rsid w:val="39262B30"/>
    <w:rsid w:val="396B3311"/>
    <w:rsid w:val="39A30DB5"/>
    <w:rsid w:val="3ADE0ED3"/>
    <w:rsid w:val="3B7C461F"/>
    <w:rsid w:val="3BAC19BF"/>
    <w:rsid w:val="3BAC33C2"/>
    <w:rsid w:val="3BC66F24"/>
    <w:rsid w:val="3C6D1AC5"/>
    <w:rsid w:val="3CE358B4"/>
    <w:rsid w:val="3D204322"/>
    <w:rsid w:val="3DAE593B"/>
    <w:rsid w:val="3DBF1E7D"/>
    <w:rsid w:val="3F2D72BA"/>
    <w:rsid w:val="3F7B0026"/>
    <w:rsid w:val="3FCD1618"/>
    <w:rsid w:val="40D051F2"/>
    <w:rsid w:val="415B010F"/>
    <w:rsid w:val="416F3A16"/>
    <w:rsid w:val="42E93B5B"/>
    <w:rsid w:val="43611516"/>
    <w:rsid w:val="43AE5F4B"/>
    <w:rsid w:val="43CA50D8"/>
    <w:rsid w:val="452A2AD5"/>
    <w:rsid w:val="4536178A"/>
    <w:rsid w:val="455925D8"/>
    <w:rsid w:val="45A300DD"/>
    <w:rsid w:val="45BC0C85"/>
    <w:rsid w:val="462D22EA"/>
    <w:rsid w:val="466435C2"/>
    <w:rsid w:val="46967F48"/>
    <w:rsid w:val="46B2764F"/>
    <w:rsid w:val="46CD22A9"/>
    <w:rsid w:val="478A3170"/>
    <w:rsid w:val="478A4CF6"/>
    <w:rsid w:val="47AD6EE6"/>
    <w:rsid w:val="4847319B"/>
    <w:rsid w:val="48783354"/>
    <w:rsid w:val="49EF3AEA"/>
    <w:rsid w:val="49F92273"/>
    <w:rsid w:val="4A016901"/>
    <w:rsid w:val="4B9A78C8"/>
    <w:rsid w:val="4BA42578"/>
    <w:rsid w:val="4BC10550"/>
    <w:rsid w:val="4C2E1C6C"/>
    <w:rsid w:val="4D6A5796"/>
    <w:rsid w:val="4E285CDD"/>
    <w:rsid w:val="4E422524"/>
    <w:rsid w:val="4E7A0A87"/>
    <w:rsid w:val="4EE803ED"/>
    <w:rsid w:val="4F29184C"/>
    <w:rsid w:val="4F563CC4"/>
    <w:rsid w:val="4FA113E3"/>
    <w:rsid w:val="50402154"/>
    <w:rsid w:val="50404643"/>
    <w:rsid w:val="524A4729"/>
    <w:rsid w:val="52A1541C"/>
    <w:rsid w:val="52AF39FE"/>
    <w:rsid w:val="52DB1B50"/>
    <w:rsid w:val="5368429E"/>
    <w:rsid w:val="536F6083"/>
    <w:rsid w:val="53810704"/>
    <w:rsid w:val="54183C3E"/>
    <w:rsid w:val="542C1497"/>
    <w:rsid w:val="5445741F"/>
    <w:rsid w:val="5449120A"/>
    <w:rsid w:val="55366A71"/>
    <w:rsid w:val="553B4087"/>
    <w:rsid w:val="554C26BD"/>
    <w:rsid w:val="56DA167E"/>
    <w:rsid w:val="574A2360"/>
    <w:rsid w:val="57511449"/>
    <w:rsid w:val="57E00F16"/>
    <w:rsid w:val="580C1DB3"/>
    <w:rsid w:val="583A7A46"/>
    <w:rsid w:val="58785B62"/>
    <w:rsid w:val="587873A1"/>
    <w:rsid w:val="58D148E2"/>
    <w:rsid w:val="5B2E1820"/>
    <w:rsid w:val="5B737BE0"/>
    <w:rsid w:val="5B8C0CA2"/>
    <w:rsid w:val="5C005890"/>
    <w:rsid w:val="5CA01745"/>
    <w:rsid w:val="5CD051F5"/>
    <w:rsid w:val="5D5B47F4"/>
    <w:rsid w:val="5D8FE3CC"/>
    <w:rsid w:val="5DF46579"/>
    <w:rsid w:val="5DFE5C52"/>
    <w:rsid w:val="5E986F61"/>
    <w:rsid w:val="5EB56C59"/>
    <w:rsid w:val="5F155949"/>
    <w:rsid w:val="5F5917A7"/>
    <w:rsid w:val="5F66462A"/>
    <w:rsid w:val="5FAD16DE"/>
    <w:rsid w:val="5FD27396"/>
    <w:rsid w:val="601C6864"/>
    <w:rsid w:val="60624BBE"/>
    <w:rsid w:val="60963565"/>
    <w:rsid w:val="60C767CF"/>
    <w:rsid w:val="619A3EE4"/>
    <w:rsid w:val="62FD4869"/>
    <w:rsid w:val="63351CAA"/>
    <w:rsid w:val="633D0FCB"/>
    <w:rsid w:val="635B67D6"/>
    <w:rsid w:val="639C0E1B"/>
    <w:rsid w:val="63D873CA"/>
    <w:rsid w:val="63DC4C88"/>
    <w:rsid w:val="64512DB0"/>
    <w:rsid w:val="64903815"/>
    <w:rsid w:val="64DD2A65"/>
    <w:rsid w:val="650368EF"/>
    <w:rsid w:val="65E676F8"/>
    <w:rsid w:val="663B00BC"/>
    <w:rsid w:val="66A90583"/>
    <w:rsid w:val="66BE798B"/>
    <w:rsid w:val="673F666C"/>
    <w:rsid w:val="68CF0917"/>
    <w:rsid w:val="68F05ACE"/>
    <w:rsid w:val="69513A22"/>
    <w:rsid w:val="6999443A"/>
    <w:rsid w:val="699F5C23"/>
    <w:rsid w:val="6A280C56"/>
    <w:rsid w:val="6A635D10"/>
    <w:rsid w:val="6A952A22"/>
    <w:rsid w:val="6AF503DD"/>
    <w:rsid w:val="6B5119FB"/>
    <w:rsid w:val="6CA420BB"/>
    <w:rsid w:val="6CC369E5"/>
    <w:rsid w:val="6CF17004"/>
    <w:rsid w:val="6D4D45DB"/>
    <w:rsid w:val="6E0E3C8F"/>
    <w:rsid w:val="6EC96431"/>
    <w:rsid w:val="6FDC3B4E"/>
    <w:rsid w:val="6FE84420"/>
    <w:rsid w:val="703B5DC1"/>
    <w:rsid w:val="70541937"/>
    <w:rsid w:val="706D792C"/>
    <w:rsid w:val="70BA1A32"/>
    <w:rsid w:val="70BD17DF"/>
    <w:rsid w:val="70E92792"/>
    <w:rsid w:val="71D13952"/>
    <w:rsid w:val="720B63B5"/>
    <w:rsid w:val="7251791D"/>
    <w:rsid w:val="73005DA6"/>
    <w:rsid w:val="746D3939"/>
    <w:rsid w:val="7491561A"/>
    <w:rsid w:val="74F31E31"/>
    <w:rsid w:val="750B31FF"/>
    <w:rsid w:val="753C7334"/>
    <w:rsid w:val="763E26CA"/>
    <w:rsid w:val="765D3A06"/>
    <w:rsid w:val="775032EA"/>
    <w:rsid w:val="77A3469E"/>
    <w:rsid w:val="780B73A4"/>
    <w:rsid w:val="79830FD2"/>
    <w:rsid w:val="7A6537B6"/>
    <w:rsid w:val="7B66335D"/>
    <w:rsid w:val="7B6F4DBE"/>
    <w:rsid w:val="7B8318FB"/>
    <w:rsid w:val="7C3945CD"/>
    <w:rsid w:val="7CEA218F"/>
    <w:rsid w:val="7DBA7CAB"/>
    <w:rsid w:val="7DBD6980"/>
    <w:rsid w:val="7E8E6727"/>
    <w:rsid w:val="7EB95812"/>
    <w:rsid w:val="7FAB5F3D"/>
    <w:rsid w:val="7FF7CAC5"/>
    <w:rsid w:val="9FF567C6"/>
    <w:rsid w:val="9FFF8DC7"/>
    <w:rsid w:val="B2EB2BCC"/>
    <w:rsid w:val="B9777222"/>
    <w:rsid w:val="BBFFC3F4"/>
    <w:rsid w:val="CF6F2564"/>
    <w:rsid w:val="DDCD6299"/>
    <w:rsid w:val="F39F3782"/>
    <w:rsid w:val="FF5504AC"/>
    <w:rsid w:val="FFFB19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outlineLvl w:val="0"/>
    </w:pPr>
    <w:rPr>
      <w:rFonts w:ascii="黑体" w:eastAsia="黑体"/>
      <w:bCs/>
      <w:kern w:val="44"/>
      <w:szCs w:val="44"/>
    </w:rPr>
  </w:style>
  <w:style w:type="paragraph" w:styleId="5">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both"/>
    </w:pPr>
    <w:rPr>
      <w:color w:val="000000"/>
    </w:rPr>
  </w:style>
  <w:style w:type="paragraph" w:styleId="3">
    <w:name w:val="Body Text Indent"/>
    <w:basedOn w:val="1"/>
    <w:qFormat/>
    <w:uiPriority w:val="0"/>
    <w:pPr>
      <w:spacing w:line="360" w:lineRule="auto"/>
      <w:ind w:firstLine="540"/>
      <w:jc w:val="left"/>
    </w:pPr>
    <w:rPr>
      <w:rFonts w:ascii="仿宋_GB2312" w:eastAsia="仿宋_GB2312"/>
      <w:sz w:val="32"/>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widowControl/>
      <w:spacing w:after="100" w:line="259" w:lineRule="auto"/>
      <w:jc w:val="left"/>
    </w:pPr>
    <w:rPr>
      <w:rFonts w:ascii="Calibri" w:hAnsi="Calibri" w:eastAsia="宋体"/>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Calibri" w:hAnsi="Calibri" w:eastAsia="宋体"/>
      <w:kern w:val="0"/>
      <w:sz w:val="22"/>
      <w:szCs w:val="22"/>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Cambria" w:hAnsi="Cambria" w:eastAsia="宋体"/>
      <w:b/>
      <w:bCs/>
      <w:kern w:val="28"/>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rFonts w:ascii="Times New Roman" w:hAnsi="Times New Roman" w:eastAsia="宋体" w:cs="Times New Roman"/>
      <w:b/>
      <w:bCs/>
    </w:rPr>
  </w:style>
  <w:style w:type="character" w:styleId="17">
    <w:name w:val="Hyperlink"/>
    <w:basedOn w:val="15"/>
    <w:unhideWhenUsed/>
    <w:qFormat/>
    <w:uiPriority w:val="99"/>
    <w:rPr>
      <w:color w:val="0000FF"/>
      <w:u w:val="single"/>
    </w:rPr>
  </w:style>
  <w:style w:type="paragraph" w:customStyle="1" w:styleId="18">
    <w:name w:val="TOC Heading"/>
    <w:basedOn w:val="4"/>
    <w:next w:val="1"/>
    <w:unhideWhenUsed/>
    <w:qFormat/>
    <w:uiPriority w:val="39"/>
    <w:pPr>
      <w:widowControl/>
      <w:spacing w:before="240" w:after="0" w:line="259" w:lineRule="auto"/>
      <w:jc w:val="left"/>
      <w:outlineLvl w:val="9"/>
    </w:pPr>
    <w:rPr>
      <w:rFonts w:ascii="Cambria" w:hAnsi="Cambria" w:eastAsia="宋体" w:cs="Times New Roman"/>
      <w:bCs w:val="0"/>
      <w:color w:val="366091"/>
      <w:kern w:val="0"/>
      <w:sz w:val="32"/>
      <w:szCs w:val="32"/>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6470</Words>
  <Characters>6797</Characters>
  <Lines>0</Lines>
  <Paragraphs>0</Paragraphs>
  <TotalTime>22</TotalTime>
  <ScaleCrop>false</ScaleCrop>
  <LinksUpToDate>false</LinksUpToDate>
  <CharactersWithSpaces>6951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2021-02-28T12:22:00Z</dcterms:created>
  <dc:creator>1</dc:creator>
  <cp:lastModifiedBy>岁月无痕</cp:lastModifiedBy>
  <cp:lastPrinted>2024-03-15T10:30:00Z</cp:lastPrinted>
  <dcterms:modified xsi:type="dcterms:W3CDTF">2024-08-16T03:33:54Z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7259256A5BED45DEBE95E9E54ACB601B_13</vt:lpwstr>
  </property>
</Properties>
</file>