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883C59">
      <w:pPr>
        <w:spacing w:line="540" w:lineRule="exact"/>
        <w:jc w:val="center"/>
        <w:rPr>
          <w:rFonts w:hint="eastAsia" w:ascii="新宋体" w:hAnsi="新宋体" w:eastAsia="新宋体" w:cs="新宋体"/>
          <w:b/>
          <w:kern w:val="0"/>
          <w:sz w:val="28"/>
          <w:szCs w:val="28"/>
        </w:rPr>
      </w:pPr>
    </w:p>
    <w:p w14:paraId="771AB806">
      <w:pPr>
        <w:spacing w:line="540" w:lineRule="exact"/>
        <w:jc w:val="center"/>
        <w:rPr>
          <w:rFonts w:hint="eastAsia" w:ascii="新宋体" w:hAnsi="新宋体" w:eastAsia="新宋体" w:cs="新宋体"/>
          <w:b/>
          <w:kern w:val="0"/>
          <w:sz w:val="28"/>
          <w:szCs w:val="28"/>
        </w:rPr>
      </w:pPr>
    </w:p>
    <w:p w14:paraId="203DE357">
      <w:pPr>
        <w:spacing w:line="540" w:lineRule="exact"/>
        <w:jc w:val="center"/>
        <w:rPr>
          <w:rFonts w:hint="eastAsia" w:ascii="新宋体" w:hAnsi="新宋体" w:eastAsia="新宋体" w:cs="新宋体"/>
          <w:b/>
          <w:kern w:val="0"/>
          <w:sz w:val="28"/>
          <w:szCs w:val="28"/>
        </w:rPr>
      </w:pPr>
    </w:p>
    <w:p w14:paraId="5BA1B9D8">
      <w:pPr>
        <w:spacing w:line="540" w:lineRule="exact"/>
        <w:jc w:val="center"/>
        <w:outlineLvl w:val="0"/>
        <w:rPr>
          <w:rFonts w:hint="eastAsia" w:ascii="新宋体" w:hAnsi="新宋体" w:eastAsia="新宋体" w:cs="新宋体"/>
          <w:b/>
          <w:kern w:val="0"/>
          <w:sz w:val="44"/>
          <w:szCs w:val="44"/>
        </w:rPr>
      </w:pPr>
      <w:bookmarkStart w:id="0" w:name="_Toc15826"/>
      <w:r>
        <w:rPr>
          <w:rFonts w:hint="eastAsia" w:ascii="方正小标宋简体" w:hAnsi="方正小标宋简体" w:eastAsia="方正小标宋简体" w:cs="方正小标宋简体"/>
          <w:b w:val="0"/>
          <w:bCs/>
          <w:kern w:val="0"/>
          <w:sz w:val="44"/>
          <w:szCs w:val="44"/>
          <w:lang w:val="en-US" w:eastAsia="zh-CN"/>
        </w:rPr>
        <w:t>原破产企业职工暖气费生活补助及养老保险金</w:t>
      </w:r>
      <w:r>
        <w:rPr>
          <w:rFonts w:hint="eastAsia" w:ascii="方正小标宋简体" w:hAnsi="方正小标宋简体" w:eastAsia="方正小标宋简体" w:cs="方正小标宋简体"/>
          <w:b w:val="0"/>
          <w:bCs/>
          <w:kern w:val="0"/>
          <w:sz w:val="44"/>
          <w:szCs w:val="44"/>
        </w:rPr>
        <w:t>项目支出绩效</w:t>
      </w:r>
      <w:r>
        <w:rPr>
          <w:rFonts w:hint="eastAsia" w:ascii="方正小标宋简体" w:hAnsi="方正小标宋简体" w:eastAsia="方正小标宋简体" w:cs="方正小标宋简体"/>
          <w:b w:val="0"/>
          <w:bCs/>
          <w:kern w:val="0"/>
          <w:sz w:val="44"/>
          <w:szCs w:val="44"/>
          <w:lang w:eastAsia="zh-CN"/>
        </w:rPr>
        <w:t>评价</w:t>
      </w:r>
      <w:r>
        <w:rPr>
          <w:rFonts w:hint="eastAsia" w:ascii="方正小标宋简体" w:hAnsi="方正小标宋简体" w:eastAsia="方正小标宋简体" w:cs="方正小标宋简体"/>
          <w:b w:val="0"/>
          <w:bCs/>
          <w:kern w:val="0"/>
          <w:sz w:val="44"/>
          <w:szCs w:val="44"/>
        </w:rPr>
        <w:t>报告</w:t>
      </w:r>
      <w:bookmarkEnd w:id="0"/>
    </w:p>
    <w:p w14:paraId="445E10C7">
      <w:pPr>
        <w:spacing w:line="540" w:lineRule="exact"/>
        <w:jc w:val="center"/>
        <w:rPr>
          <w:rFonts w:hint="eastAsia" w:ascii="新宋体" w:hAnsi="新宋体" w:eastAsia="新宋体" w:cs="新宋体"/>
          <w:b/>
          <w:kern w:val="0"/>
          <w:sz w:val="36"/>
          <w:szCs w:val="36"/>
        </w:rPr>
      </w:pPr>
    </w:p>
    <w:p w14:paraId="5C0B11D7">
      <w:pPr>
        <w:spacing w:line="540" w:lineRule="exact"/>
        <w:jc w:val="center"/>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（20</w:t>
      </w:r>
      <w:r>
        <w:rPr>
          <w:rFonts w:hint="eastAsia" w:ascii="仿宋_GB2312" w:hAnsi="仿宋_GB2312" w:eastAsia="仿宋_GB2312" w:cs="仿宋_GB2312"/>
          <w:kern w:val="0"/>
          <w:sz w:val="32"/>
          <w:szCs w:val="32"/>
          <w:lang w:val="en-US" w:eastAsia="zh-CN"/>
        </w:rPr>
        <w:t>23</w:t>
      </w:r>
      <w:r>
        <w:rPr>
          <w:rFonts w:hint="eastAsia" w:ascii="仿宋_GB2312" w:hAnsi="仿宋_GB2312" w:eastAsia="仿宋_GB2312" w:cs="仿宋_GB2312"/>
          <w:kern w:val="0"/>
          <w:sz w:val="32"/>
          <w:szCs w:val="32"/>
        </w:rPr>
        <w:t>年度）</w:t>
      </w:r>
    </w:p>
    <w:p w14:paraId="6360860C">
      <w:pPr>
        <w:spacing w:line="540" w:lineRule="exact"/>
        <w:jc w:val="center"/>
        <w:rPr>
          <w:rFonts w:hint="eastAsia" w:ascii="仿宋_GB2312" w:hAnsi="仿宋_GB2312" w:eastAsia="仿宋_GB2312" w:cs="仿宋_GB2312"/>
          <w:kern w:val="0"/>
          <w:sz w:val="32"/>
          <w:szCs w:val="32"/>
        </w:rPr>
      </w:pPr>
    </w:p>
    <w:p w14:paraId="62CE28A8">
      <w:pPr>
        <w:tabs>
          <w:tab w:val="left" w:pos="6897"/>
        </w:tabs>
        <w:spacing w:line="540" w:lineRule="exact"/>
        <w:jc w:val="left"/>
        <w:rPr>
          <w:rFonts w:hint="eastAsia" w:ascii="仿宋_GB2312" w:hAnsi="仿宋_GB2312" w:eastAsia="仿宋_GB2312" w:cs="仿宋_GB2312"/>
          <w:kern w:val="0"/>
          <w:sz w:val="32"/>
          <w:szCs w:val="32"/>
          <w:lang w:eastAsia="zh-CN"/>
        </w:rPr>
      </w:pPr>
      <w:r>
        <w:rPr>
          <w:rFonts w:hint="eastAsia" w:ascii="仿宋_GB2312" w:hAnsi="仿宋_GB2312" w:eastAsia="仿宋_GB2312" w:cs="仿宋_GB2312"/>
          <w:kern w:val="0"/>
          <w:sz w:val="32"/>
          <w:szCs w:val="32"/>
          <w:lang w:eastAsia="zh-CN"/>
        </w:rPr>
        <w:tab/>
      </w:r>
    </w:p>
    <w:p w14:paraId="23C0A053">
      <w:pPr>
        <w:spacing w:line="540" w:lineRule="exact"/>
        <w:jc w:val="center"/>
        <w:rPr>
          <w:rFonts w:hint="eastAsia" w:ascii="仿宋_GB2312" w:hAnsi="仿宋_GB2312" w:eastAsia="仿宋_GB2312" w:cs="仿宋_GB2312"/>
          <w:kern w:val="0"/>
          <w:sz w:val="32"/>
          <w:szCs w:val="32"/>
        </w:rPr>
      </w:pPr>
    </w:p>
    <w:p w14:paraId="301785BA">
      <w:pPr>
        <w:spacing w:line="540" w:lineRule="exact"/>
        <w:jc w:val="center"/>
        <w:rPr>
          <w:rFonts w:hint="eastAsia" w:ascii="仿宋_GB2312" w:hAnsi="仿宋_GB2312" w:eastAsia="仿宋_GB2312" w:cs="仿宋_GB2312"/>
          <w:kern w:val="0"/>
          <w:sz w:val="32"/>
          <w:szCs w:val="32"/>
        </w:rPr>
      </w:pPr>
    </w:p>
    <w:p w14:paraId="70CCEBED">
      <w:pPr>
        <w:spacing w:line="540" w:lineRule="exact"/>
        <w:jc w:val="center"/>
        <w:rPr>
          <w:rFonts w:hint="eastAsia" w:ascii="仿宋_GB2312" w:hAnsi="仿宋_GB2312" w:eastAsia="仿宋_GB2312" w:cs="仿宋_GB2312"/>
          <w:b/>
          <w:kern w:val="0"/>
          <w:sz w:val="32"/>
          <w:szCs w:val="32"/>
        </w:rPr>
      </w:pPr>
    </w:p>
    <w:p w14:paraId="4BF57F04">
      <w:pPr>
        <w:spacing w:line="540" w:lineRule="exact"/>
        <w:jc w:val="center"/>
        <w:rPr>
          <w:rFonts w:hint="eastAsia" w:ascii="仿宋_GB2312" w:hAnsi="仿宋_GB2312" w:eastAsia="仿宋_GB2312" w:cs="仿宋_GB2312"/>
          <w:kern w:val="0"/>
          <w:sz w:val="32"/>
          <w:szCs w:val="32"/>
        </w:rPr>
      </w:pPr>
    </w:p>
    <w:p w14:paraId="32AEB7FD">
      <w:pPr>
        <w:keepNext w:val="0"/>
        <w:keepLines w:val="0"/>
        <w:pageBreakBefore w:val="0"/>
        <w:widowControl w:val="0"/>
        <w:kinsoku/>
        <w:wordWrap/>
        <w:overflowPunct/>
        <w:topLinePunct w:val="0"/>
        <w:autoSpaceDE/>
        <w:autoSpaceDN/>
        <w:bidi w:val="0"/>
        <w:adjustRightInd/>
        <w:snapToGrid/>
        <w:spacing w:line="740" w:lineRule="exact"/>
        <w:jc w:val="both"/>
        <w:textAlignment w:val="auto"/>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rPr>
        <w:t>项目名称：</w:t>
      </w:r>
      <w:r>
        <w:rPr>
          <w:rFonts w:hint="eastAsia" w:ascii="仿宋_GB2312" w:hAnsi="仿宋_GB2312" w:eastAsia="仿宋_GB2312" w:cs="仿宋_GB2312"/>
          <w:kern w:val="0"/>
          <w:sz w:val="32"/>
          <w:szCs w:val="32"/>
          <w:lang w:val="en-US" w:eastAsia="zh-CN"/>
        </w:rPr>
        <w:t>原破产企业职工暖气费生活补助及养老保险金</w:t>
      </w:r>
    </w:p>
    <w:p w14:paraId="61EBCEE0">
      <w:pPr>
        <w:keepNext w:val="0"/>
        <w:keepLines w:val="0"/>
        <w:pageBreakBefore w:val="0"/>
        <w:widowControl w:val="0"/>
        <w:kinsoku/>
        <w:wordWrap/>
        <w:overflowPunct/>
        <w:topLinePunct w:val="0"/>
        <w:autoSpaceDE/>
        <w:autoSpaceDN/>
        <w:bidi w:val="0"/>
        <w:adjustRightInd/>
        <w:snapToGrid/>
        <w:spacing w:line="740" w:lineRule="exact"/>
        <w:ind w:left="2560" w:hanging="2560" w:hangingChars="800"/>
        <w:jc w:val="both"/>
        <w:textAlignment w:val="auto"/>
        <w:rPr>
          <w:rFonts w:hint="eastAsia" w:ascii="仿宋_GB2312" w:hAnsi="仿宋_GB2312" w:eastAsia="仿宋_GB2312" w:cs="仿宋_GB2312"/>
          <w:kern w:val="0"/>
          <w:sz w:val="32"/>
          <w:szCs w:val="32"/>
          <w:highlight w:val="yellow"/>
          <w:lang w:eastAsia="zh-CN"/>
        </w:rPr>
      </w:pPr>
      <w:r>
        <w:rPr>
          <w:rFonts w:hint="eastAsia" w:ascii="仿宋_GB2312" w:hAnsi="仿宋_GB2312" w:eastAsia="仿宋_GB2312" w:cs="仿宋_GB2312"/>
          <w:kern w:val="0"/>
          <w:sz w:val="32"/>
          <w:szCs w:val="32"/>
        </w:rPr>
        <w:t>实施单位（公章）：</w:t>
      </w:r>
      <w:r>
        <w:rPr>
          <w:rFonts w:hint="eastAsia" w:ascii="仿宋_GB2312" w:hAnsi="仿宋_GB2312" w:eastAsia="仿宋_GB2312" w:cs="仿宋_GB2312"/>
          <w:spacing w:val="-34"/>
          <w:kern w:val="0"/>
          <w:sz w:val="32"/>
          <w:szCs w:val="32"/>
          <w:lang w:eastAsia="zh-CN"/>
        </w:rPr>
        <w:t>新</w:t>
      </w:r>
      <w:r>
        <w:rPr>
          <w:rFonts w:hint="eastAsia" w:ascii="仿宋_GB2312" w:hAnsi="仿宋_GB2312" w:eastAsia="仿宋_GB2312" w:cs="仿宋_GB2312"/>
          <w:spacing w:val="-34"/>
          <w:kern w:val="0"/>
          <w:sz w:val="32"/>
          <w:szCs w:val="32"/>
          <w:lang w:val="en-US" w:eastAsia="zh-CN"/>
        </w:rPr>
        <w:t xml:space="preserve"> </w:t>
      </w:r>
      <w:r>
        <w:rPr>
          <w:rFonts w:hint="eastAsia" w:ascii="仿宋_GB2312" w:hAnsi="仿宋_GB2312" w:eastAsia="仿宋_GB2312" w:cs="仿宋_GB2312"/>
          <w:spacing w:val="-34"/>
          <w:kern w:val="0"/>
          <w:sz w:val="32"/>
          <w:szCs w:val="32"/>
          <w:lang w:eastAsia="zh-CN"/>
        </w:rPr>
        <w:t>疆</w:t>
      </w:r>
      <w:r>
        <w:rPr>
          <w:rFonts w:hint="eastAsia" w:ascii="仿宋_GB2312" w:hAnsi="仿宋_GB2312" w:eastAsia="仿宋_GB2312" w:cs="仿宋_GB2312"/>
          <w:spacing w:val="-34"/>
          <w:kern w:val="0"/>
          <w:sz w:val="32"/>
          <w:szCs w:val="32"/>
          <w:lang w:val="en-US" w:eastAsia="zh-CN"/>
        </w:rPr>
        <w:t xml:space="preserve"> </w:t>
      </w:r>
      <w:r>
        <w:rPr>
          <w:rFonts w:hint="eastAsia" w:ascii="仿宋_GB2312" w:hAnsi="仿宋_GB2312" w:eastAsia="仿宋_GB2312" w:cs="仿宋_GB2312"/>
          <w:spacing w:val="-34"/>
          <w:kern w:val="0"/>
          <w:sz w:val="32"/>
          <w:szCs w:val="32"/>
          <w:lang w:eastAsia="zh-CN"/>
        </w:rPr>
        <w:t>维</w:t>
      </w:r>
      <w:r>
        <w:rPr>
          <w:rFonts w:hint="eastAsia" w:ascii="仿宋_GB2312" w:hAnsi="仿宋_GB2312" w:eastAsia="仿宋_GB2312" w:cs="仿宋_GB2312"/>
          <w:spacing w:val="-34"/>
          <w:kern w:val="0"/>
          <w:sz w:val="32"/>
          <w:szCs w:val="32"/>
          <w:lang w:val="en-US" w:eastAsia="zh-CN"/>
        </w:rPr>
        <w:t xml:space="preserve"> </w:t>
      </w:r>
      <w:r>
        <w:rPr>
          <w:rFonts w:hint="eastAsia" w:ascii="仿宋_GB2312" w:hAnsi="仿宋_GB2312" w:eastAsia="仿宋_GB2312" w:cs="仿宋_GB2312"/>
          <w:spacing w:val="-34"/>
          <w:kern w:val="0"/>
          <w:sz w:val="32"/>
          <w:szCs w:val="32"/>
          <w:lang w:eastAsia="zh-CN"/>
        </w:rPr>
        <w:t>吾</w:t>
      </w:r>
      <w:r>
        <w:rPr>
          <w:rFonts w:hint="eastAsia" w:ascii="仿宋_GB2312" w:hAnsi="仿宋_GB2312" w:eastAsia="仿宋_GB2312" w:cs="仿宋_GB2312"/>
          <w:spacing w:val="-34"/>
          <w:kern w:val="0"/>
          <w:sz w:val="32"/>
          <w:szCs w:val="32"/>
          <w:lang w:val="en-US" w:eastAsia="zh-CN"/>
        </w:rPr>
        <w:t xml:space="preserve"> </w:t>
      </w:r>
      <w:r>
        <w:rPr>
          <w:rFonts w:hint="eastAsia" w:ascii="仿宋_GB2312" w:hAnsi="仿宋_GB2312" w:eastAsia="仿宋_GB2312" w:cs="仿宋_GB2312"/>
          <w:spacing w:val="-34"/>
          <w:kern w:val="0"/>
          <w:sz w:val="32"/>
          <w:szCs w:val="32"/>
          <w:lang w:eastAsia="zh-CN"/>
        </w:rPr>
        <w:t>尔</w:t>
      </w:r>
      <w:r>
        <w:rPr>
          <w:rFonts w:hint="eastAsia" w:ascii="仿宋_GB2312" w:hAnsi="仿宋_GB2312" w:eastAsia="仿宋_GB2312" w:cs="仿宋_GB2312"/>
          <w:spacing w:val="-34"/>
          <w:kern w:val="0"/>
          <w:sz w:val="32"/>
          <w:szCs w:val="32"/>
          <w:lang w:val="en-US" w:eastAsia="zh-CN"/>
        </w:rPr>
        <w:t xml:space="preserve"> </w:t>
      </w:r>
      <w:r>
        <w:rPr>
          <w:rFonts w:hint="eastAsia" w:ascii="仿宋_GB2312" w:hAnsi="仿宋_GB2312" w:eastAsia="仿宋_GB2312" w:cs="仿宋_GB2312"/>
          <w:spacing w:val="-34"/>
          <w:kern w:val="0"/>
          <w:sz w:val="32"/>
          <w:szCs w:val="32"/>
        </w:rPr>
        <w:t>自</w:t>
      </w:r>
      <w:r>
        <w:rPr>
          <w:rFonts w:hint="eastAsia" w:ascii="仿宋_GB2312" w:hAnsi="仿宋_GB2312" w:eastAsia="仿宋_GB2312" w:cs="仿宋_GB2312"/>
          <w:spacing w:val="-34"/>
          <w:kern w:val="0"/>
          <w:sz w:val="32"/>
          <w:szCs w:val="32"/>
          <w:lang w:val="en-US" w:eastAsia="zh-CN"/>
        </w:rPr>
        <w:t xml:space="preserve"> </w:t>
      </w:r>
      <w:r>
        <w:rPr>
          <w:rFonts w:hint="eastAsia" w:ascii="仿宋_GB2312" w:hAnsi="仿宋_GB2312" w:eastAsia="仿宋_GB2312" w:cs="仿宋_GB2312"/>
          <w:spacing w:val="-34"/>
          <w:kern w:val="0"/>
          <w:sz w:val="32"/>
          <w:szCs w:val="32"/>
        </w:rPr>
        <w:t>治</w:t>
      </w:r>
      <w:r>
        <w:rPr>
          <w:rFonts w:hint="eastAsia" w:ascii="仿宋_GB2312" w:hAnsi="仿宋_GB2312" w:eastAsia="仿宋_GB2312" w:cs="仿宋_GB2312"/>
          <w:spacing w:val="-34"/>
          <w:kern w:val="0"/>
          <w:sz w:val="32"/>
          <w:szCs w:val="32"/>
          <w:lang w:val="en-US" w:eastAsia="zh-CN"/>
        </w:rPr>
        <w:t xml:space="preserve"> </w:t>
      </w:r>
      <w:r>
        <w:rPr>
          <w:rFonts w:hint="eastAsia" w:ascii="仿宋_GB2312" w:hAnsi="仿宋_GB2312" w:eastAsia="仿宋_GB2312" w:cs="仿宋_GB2312"/>
          <w:spacing w:val="-34"/>
          <w:kern w:val="0"/>
          <w:sz w:val="32"/>
          <w:szCs w:val="32"/>
        </w:rPr>
        <w:t>区</w:t>
      </w:r>
      <w:r>
        <w:rPr>
          <w:rFonts w:hint="eastAsia" w:ascii="仿宋_GB2312" w:hAnsi="仿宋_GB2312" w:eastAsia="仿宋_GB2312" w:cs="仿宋_GB2312"/>
          <w:spacing w:val="-34"/>
          <w:kern w:val="0"/>
          <w:sz w:val="32"/>
          <w:szCs w:val="32"/>
          <w:lang w:val="en-US" w:eastAsia="zh-CN"/>
        </w:rPr>
        <w:t xml:space="preserve"> </w:t>
      </w:r>
      <w:r>
        <w:rPr>
          <w:rFonts w:hint="eastAsia" w:ascii="仿宋_GB2312" w:hAnsi="仿宋_GB2312" w:eastAsia="仿宋_GB2312" w:cs="仿宋_GB2312"/>
          <w:spacing w:val="-34"/>
          <w:kern w:val="0"/>
          <w:sz w:val="32"/>
          <w:szCs w:val="32"/>
        </w:rPr>
        <w:t>工</w:t>
      </w:r>
      <w:r>
        <w:rPr>
          <w:rFonts w:hint="eastAsia" w:ascii="仿宋_GB2312" w:hAnsi="仿宋_GB2312" w:eastAsia="仿宋_GB2312" w:cs="仿宋_GB2312"/>
          <w:spacing w:val="-34"/>
          <w:kern w:val="0"/>
          <w:sz w:val="32"/>
          <w:szCs w:val="32"/>
          <w:lang w:val="en-US" w:eastAsia="zh-CN"/>
        </w:rPr>
        <w:t xml:space="preserve"> </w:t>
      </w:r>
      <w:r>
        <w:rPr>
          <w:rFonts w:hint="eastAsia" w:ascii="仿宋_GB2312" w:hAnsi="仿宋_GB2312" w:eastAsia="仿宋_GB2312" w:cs="仿宋_GB2312"/>
          <w:spacing w:val="-34"/>
          <w:kern w:val="0"/>
          <w:sz w:val="32"/>
          <w:szCs w:val="32"/>
        </w:rPr>
        <w:t>业</w:t>
      </w:r>
      <w:r>
        <w:rPr>
          <w:rFonts w:hint="eastAsia" w:ascii="仿宋_GB2312" w:hAnsi="仿宋_GB2312" w:eastAsia="仿宋_GB2312" w:cs="仿宋_GB2312"/>
          <w:spacing w:val="-34"/>
          <w:kern w:val="0"/>
          <w:sz w:val="32"/>
          <w:szCs w:val="32"/>
          <w:lang w:val="en-US" w:eastAsia="zh-CN"/>
        </w:rPr>
        <w:t xml:space="preserve"> </w:t>
      </w:r>
      <w:r>
        <w:rPr>
          <w:rFonts w:hint="eastAsia" w:ascii="仿宋_GB2312" w:hAnsi="仿宋_GB2312" w:eastAsia="仿宋_GB2312" w:cs="仿宋_GB2312"/>
          <w:spacing w:val="-34"/>
          <w:kern w:val="0"/>
          <w:sz w:val="32"/>
          <w:szCs w:val="32"/>
        </w:rPr>
        <w:t>和</w:t>
      </w:r>
      <w:r>
        <w:rPr>
          <w:rFonts w:hint="eastAsia" w:ascii="仿宋_GB2312" w:hAnsi="仿宋_GB2312" w:eastAsia="仿宋_GB2312" w:cs="仿宋_GB2312"/>
          <w:spacing w:val="-34"/>
          <w:kern w:val="0"/>
          <w:sz w:val="32"/>
          <w:szCs w:val="32"/>
          <w:lang w:val="en-US" w:eastAsia="zh-CN"/>
        </w:rPr>
        <w:t xml:space="preserve"> </w:t>
      </w:r>
      <w:r>
        <w:rPr>
          <w:rFonts w:hint="eastAsia" w:ascii="仿宋_GB2312" w:hAnsi="仿宋_GB2312" w:eastAsia="仿宋_GB2312" w:cs="仿宋_GB2312"/>
          <w:spacing w:val="-34"/>
          <w:kern w:val="0"/>
          <w:sz w:val="32"/>
          <w:szCs w:val="32"/>
        </w:rPr>
        <w:t>信</w:t>
      </w:r>
      <w:r>
        <w:rPr>
          <w:rFonts w:hint="eastAsia" w:ascii="仿宋_GB2312" w:hAnsi="仿宋_GB2312" w:eastAsia="仿宋_GB2312" w:cs="仿宋_GB2312"/>
          <w:spacing w:val="-34"/>
          <w:kern w:val="0"/>
          <w:sz w:val="32"/>
          <w:szCs w:val="32"/>
          <w:lang w:val="en-US" w:eastAsia="zh-CN"/>
        </w:rPr>
        <w:t xml:space="preserve"> </w:t>
      </w:r>
      <w:r>
        <w:rPr>
          <w:rFonts w:hint="eastAsia" w:ascii="仿宋_GB2312" w:hAnsi="仿宋_GB2312" w:eastAsia="仿宋_GB2312" w:cs="仿宋_GB2312"/>
          <w:spacing w:val="-34"/>
          <w:kern w:val="0"/>
          <w:sz w:val="32"/>
          <w:szCs w:val="32"/>
        </w:rPr>
        <w:t>息</w:t>
      </w:r>
      <w:r>
        <w:rPr>
          <w:rFonts w:hint="eastAsia" w:ascii="仿宋_GB2312" w:hAnsi="仿宋_GB2312" w:eastAsia="仿宋_GB2312" w:cs="仿宋_GB2312"/>
          <w:spacing w:val="-34"/>
          <w:kern w:val="0"/>
          <w:sz w:val="32"/>
          <w:szCs w:val="32"/>
          <w:lang w:val="en-US" w:eastAsia="zh-CN"/>
        </w:rPr>
        <w:t xml:space="preserve"> </w:t>
      </w:r>
      <w:r>
        <w:rPr>
          <w:rFonts w:hint="eastAsia" w:ascii="仿宋_GB2312" w:hAnsi="仿宋_GB2312" w:eastAsia="仿宋_GB2312" w:cs="仿宋_GB2312"/>
          <w:spacing w:val="-34"/>
          <w:kern w:val="0"/>
          <w:sz w:val="32"/>
          <w:szCs w:val="32"/>
        </w:rPr>
        <w:t>化</w:t>
      </w:r>
      <w:r>
        <w:rPr>
          <w:rFonts w:hint="eastAsia" w:ascii="仿宋_GB2312" w:hAnsi="仿宋_GB2312" w:eastAsia="仿宋_GB2312" w:cs="仿宋_GB2312"/>
          <w:spacing w:val="-34"/>
          <w:kern w:val="0"/>
          <w:sz w:val="32"/>
          <w:szCs w:val="32"/>
          <w:lang w:val="en-US" w:eastAsia="zh-CN"/>
        </w:rPr>
        <w:t xml:space="preserve"> </w:t>
      </w:r>
      <w:r>
        <w:rPr>
          <w:rFonts w:hint="eastAsia" w:ascii="仿宋_GB2312" w:hAnsi="仿宋_GB2312" w:eastAsia="仿宋_GB2312" w:cs="仿宋_GB2312"/>
          <w:spacing w:val="-34"/>
          <w:kern w:val="0"/>
          <w:sz w:val="32"/>
          <w:szCs w:val="32"/>
        </w:rPr>
        <w:t>厅</w:t>
      </w:r>
      <w:r>
        <w:rPr>
          <w:rFonts w:hint="eastAsia" w:ascii="仿宋_GB2312" w:hAnsi="仿宋_GB2312" w:eastAsia="仿宋_GB2312" w:cs="仿宋_GB2312"/>
          <w:spacing w:val="-34"/>
          <w:kern w:val="0"/>
          <w:sz w:val="32"/>
          <w:szCs w:val="32"/>
          <w:lang w:val="en-US" w:eastAsia="zh-CN"/>
        </w:rPr>
        <w:t xml:space="preserve"> </w:t>
      </w:r>
      <w:r>
        <w:rPr>
          <w:rFonts w:hint="eastAsia" w:ascii="仿宋_GB2312" w:hAnsi="仿宋_GB2312" w:eastAsia="仿宋_GB2312" w:cs="仿宋_GB2312"/>
          <w:spacing w:val="-34"/>
          <w:kern w:val="0"/>
          <w:sz w:val="32"/>
          <w:szCs w:val="32"/>
          <w:lang w:eastAsia="zh-CN"/>
        </w:rPr>
        <w:t>轻</w:t>
      </w:r>
      <w:r>
        <w:rPr>
          <w:rFonts w:hint="eastAsia" w:ascii="仿宋_GB2312" w:hAnsi="仿宋_GB2312" w:eastAsia="仿宋_GB2312" w:cs="仿宋_GB2312"/>
          <w:spacing w:val="-34"/>
          <w:kern w:val="0"/>
          <w:sz w:val="32"/>
          <w:szCs w:val="32"/>
          <w:lang w:val="en-US" w:eastAsia="zh-CN"/>
        </w:rPr>
        <w:t xml:space="preserve"> </w:t>
      </w:r>
      <w:r>
        <w:rPr>
          <w:rFonts w:hint="eastAsia" w:ascii="仿宋_GB2312" w:hAnsi="仿宋_GB2312" w:eastAsia="仿宋_GB2312" w:cs="仿宋_GB2312"/>
          <w:spacing w:val="-34"/>
          <w:kern w:val="0"/>
          <w:sz w:val="32"/>
          <w:szCs w:val="32"/>
          <w:lang w:eastAsia="zh-CN"/>
        </w:rPr>
        <w:t>工</w:t>
      </w:r>
      <w:r>
        <w:rPr>
          <w:rFonts w:hint="eastAsia" w:ascii="仿宋_GB2312" w:hAnsi="仿宋_GB2312" w:eastAsia="仿宋_GB2312" w:cs="仿宋_GB2312"/>
          <w:spacing w:val="-34"/>
          <w:kern w:val="0"/>
          <w:sz w:val="32"/>
          <w:szCs w:val="32"/>
          <w:lang w:val="en-US" w:eastAsia="zh-CN"/>
        </w:rPr>
        <w:t xml:space="preserve"> </w:t>
      </w:r>
      <w:r>
        <w:rPr>
          <w:rFonts w:hint="eastAsia" w:ascii="仿宋_GB2312" w:hAnsi="仿宋_GB2312" w:eastAsia="仿宋_GB2312" w:cs="仿宋_GB2312"/>
          <w:spacing w:val="-34"/>
          <w:kern w:val="0"/>
          <w:sz w:val="32"/>
          <w:szCs w:val="32"/>
          <w:lang w:eastAsia="zh-CN"/>
        </w:rPr>
        <w:t>处</w:t>
      </w:r>
    </w:p>
    <w:p w14:paraId="5A232865">
      <w:pPr>
        <w:keepNext w:val="0"/>
        <w:keepLines w:val="0"/>
        <w:pageBreakBefore w:val="0"/>
        <w:widowControl w:val="0"/>
        <w:kinsoku/>
        <w:wordWrap/>
        <w:overflowPunct/>
        <w:topLinePunct w:val="0"/>
        <w:autoSpaceDE/>
        <w:autoSpaceDN/>
        <w:bidi w:val="0"/>
        <w:adjustRightInd/>
        <w:snapToGrid/>
        <w:spacing w:line="740" w:lineRule="exact"/>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主管部门（公章）：</w:t>
      </w:r>
      <w:r>
        <w:rPr>
          <w:rFonts w:hint="eastAsia" w:ascii="仿宋_GB2312" w:hAnsi="仿宋_GB2312" w:eastAsia="仿宋_GB2312" w:cs="仿宋_GB2312"/>
          <w:spacing w:val="-34"/>
          <w:kern w:val="0"/>
          <w:sz w:val="32"/>
          <w:szCs w:val="32"/>
          <w:lang w:eastAsia="zh-CN"/>
        </w:rPr>
        <w:t>新</w:t>
      </w:r>
      <w:r>
        <w:rPr>
          <w:rFonts w:hint="eastAsia" w:ascii="仿宋_GB2312" w:hAnsi="仿宋_GB2312" w:eastAsia="仿宋_GB2312" w:cs="仿宋_GB2312"/>
          <w:spacing w:val="-34"/>
          <w:kern w:val="0"/>
          <w:sz w:val="32"/>
          <w:szCs w:val="32"/>
          <w:lang w:val="en-US" w:eastAsia="zh-CN"/>
        </w:rPr>
        <w:t xml:space="preserve"> </w:t>
      </w:r>
      <w:r>
        <w:rPr>
          <w:rFonts w:hint="eastAsia" w:ascii="仿宋_GB2312" w:hAnsi="仿宋_GB2312" w:eastAsia="仿宋_GB2312" w:cs="仿宋_GB2312"/>
          <w:spacing w:val="-34"/>
          <w:kern w:val="0"/>
          <w:sz w:val="32"/>
          <w:szCs w:val="32"/>
          <w:lang w:eastAsia="zh-CN"/>
        </w:rPr>
        <w:t>疆</w:t>
      </w:r>
      <w:r>
        <w:rPr>
          <w:rFonts w:hint="eastAsia" w:ascii="仿宋_GB2312" w:hAnsi="仿宋_GB2312" w:eastAsia="仿宋_GB2312" w:cs="仿宋_GB2312"/>
          <w:spacing w:val="-34"/>
          <w:kern w:val="0"/>
          <w:sz w:val="32"/>
          <w:szCs w:val="32"/>
          <w:lang w:val="en-US" w:eastAsia="zh-CN"/>
        </w:rPr>
        <w:t xml:space="preserve"> </w:t>
      </w:r>
      <w:r>
        <w:rPr>
          <w:rFonts w:hint="eastAsia" w:ascii="仿宋_GB2312" w:hAnsi="仿宋_GB2312" w:eastAsia="仿宋_GB2312" w:cs="仿宋_GB2312"/>
          <w:spacing w:val="-34"/>
          <w:kern w:val="0"/>
          <w:sz w:val="32"/>
          <w:szCs w:val="32"/>
          <w:lang w:eastAsia="zh-CN"/>
        </w:rPr>
        <w:t>维</w:t>
      </w:r>
      <w:r>
        <w:rPr>
          <w:rFonts w:hint="eastAsia" w:ascii="仿宋_GB2312" w:hAnsi="仿宋_GB2312" w:eastAsia="仿宋_GB2312" w:cs="仿宋_GB2312"/>
          <w:spacing w:val="-34"/>
          <w:kern w:val="0"/>
          <w:sz w:val="32"/>
          <w:szCs w:val="32"/>
          <w:lang w:val="en-US" w:eastAsia="zh-CN"/>
        </w:rPr>
        <w:t xml:space="preserve"> </w:t>
      </w:r>
      <w:r>
        <w:rPr>
          <w:rFonts w:hint="eastAsia" w:ascii="仿宋_GB2312" w:hAnsi="仿宋_GB2312" w:eastAsia="仿宋_GB2312" w:cs="仿宋_GB2312"/>
          <w:spacing w:val="-34"/>
          <w:kern w:val="0"/>
          <w:sz w:val="32"/>
          <w:szCs w:val="32"/>
          <w:lang w:eastAsia="zh-CN"/>
        </w:rPr>
        <w:t>吾</w:t>
      </w:r>
      <w:r>
        <w:rPr>
          <w:rFonts w:hint="eastAsia" w:ascii="仿宋_GB2312" w:hAnsi="仿宋_GB2312" w:eastAsia="仿宋_GB2312" w:cs="仿宋_GB2312"/>
          <w:spacing w:val="-34"/>
          <w:kern w:val="0"/>
          <w:sz w:val="32"/>
          <w:szCs w:val="32"/>
          <w:lang w:val="en-US" w:eastAsia="zh-CN"/>
        </w:rPr>
        <w:t xml:space="preserve"> </w:t>
      </w:r>
      <w:r>
        <w:rPr>
          <w:rFonts w:hint="eastAsia" w:ascii="仿宋_GB2312" w:hAnsi="仿宋_GB2312" w:eastAsia="仿宋_GB2312" w:cs="仿宋_GB2312"/>
          <w:spacing w:val="-34"/>
          <w:kern w:val="0"/>
          <w:sz w:val="32"/>
          <w:szCs w:val="32"/>
          <w:lang w:eastAsia="zh-CN"/>
        </w:rPr>
        <w:t>尔</w:t>
      </w:r>
      <w:r>
        <w:rPr>
          <w:rFonts w:hint="eastAsia" w:ascii="仿宋_GB2312" w:hAnsi="仿宋_GB2312" w:eastAsia="仿宋_GB2312" w:cs="仿宋_GB2312"/>
          <w:spacing w:val="-34"/>
          <w:kern w:val="0"/>
          <w:sz w:val="32"/>
          <w:szCs w:val="32"/>
          <w:lang w:val="en-US" w:eastAsia="zh-CN"/>
        </w:rPr>
        <w:t xml:space="preserve"> </w:t>
      </w:r>
      <w:r>
        <w:rPr>
          <w:rFonts w:hint="eastAsia" w:ascii="仿宋_GB2312" w:hAnsi="仿宋_GB2312" w:eastAsia="仿宋_GB2312" w:cs="仿宋_GB2312"/>
          <w:spacing w:val="-34"/>
          <w:kern w:val="0"/>
          <w:sz w:val="32"/>
          <w:szCs w:val="32"/>
        </w:rPr>
        <w:t>自</w:t>
      </w:r>
      <w:r>
        <w:rPr>
          <w:rFonts w:hint="eastAsia" w:ascii="仿宋_GB2312" w:hAnsi="仿宋_GB2312" w:eastAsia="仿宋_GB2312" w:cs="仿宋_GB2312"/>
          <w:spacing w:val="-34"/>
          <w:kern w:val="0"/>
          <w:sz w:val="32"/>
          <w:szCs w:val="32"/>
          <w:lang w:val="en-US" w:eastAsia="zh-CN"/>
        </w:rPr>
        <w:t xml:space="preserve"> </w:t>
      </w:r>
      <w:r>
        <w:rPr>
          <w:rFonts w:hint="eastAsia" w:ascii="仿宋_GB2312" w:hAnsi="仿宋_GB2312" w:eastAsia="仿宋_GB2312" w:cs="仿宋_GB2312"/>
          <w:spacing w:val="-34"/>
          <w:kern w:val="0"/>
          <w:sz w:val="32"/>
          <w:szCs w:val="32"/>
        </w:rPr>
        <w:t>治</w:t>
      </w:r>
      <w:r>
        <w:rPr>
          <w:rFonts w:hint="eastAsia" w:ascii="仿宋_GB2312" w:hAnsi="仿宋_GB2312" w:eastAsia="仿宋_GB2312" w:cs="仿宋_GB2312"/>
          <w:spacing w:val="-34"/>
          <w:kern w:val="0"/>
          <w:sz w:val="32"/>
          <w:szCs w:val="32"/>
          <w:lang w:val="en-US" w:eastAsia="zh-CN"/>
        </w:rPr>
        <w:t xml:space="preserve"> </w:t>
      </w:r>
      <w:r>
        <w:rPr>
          <w:rFonts w:hint="eastAsia" w:ascii="仿宋_GB2312" w:hAnsi="仿宋_GB2312" w:eastAsia="仿宋_GB2312" w:cs="仿宋_GB2312"/>
          <w:spacing w:val="-34"/>
          <w:kern w:val="0"/>
          <w:sz w:val="32"/>
          <w:szCs w:val="32"/>
        </w:rPr>
        <w:t>区</w:t>
      </w:r>
      <w:r>
        <w:rPr>
          <w:rFonts w:hint="eastAsia" w:ascii="仿宋_GB2312" w:hAnsi="仿宋_GB2312" w:eastAsia="仿宋_GB2312" w:cs="仿宋_GB2312"/>
          <w:spacing w:val="-34"/>
          <w:kern w:val="0"/>
          <w:sz w:val="32"/>
          <w:szCs w:val="32"/>
          <w:lang w:val="en-US" w:eastAsia="zh-CN"/>
        </w:rPr>
        <w:t xml:space="preserve"> </w:t>
      </w:r>
      <w:r>
        <w:rPr>
          <w:rFonts w:hint="eastAsia" w:ascii="仿宋_GB2312" w:hAnsi="仿宋_GB2312" w:eastAsia="仿宋_GB2312" w:cs="仿宋_GB2312"/>
          <w:spacing w:val="-34"/>
          <w:kern w:val="0"/>
          <w:sz w:val="32"/>
          <w:szCs w:val="32"/>
        </w:rPr>
        <w:t>工</w:t>
      </w:r>
      <w:r>
        <w:rPr>
          <w:rFonts w:hint="eastAsia" w:ascii="仿宋_GB2312" w:hAnsi="仿宋_GB2312" w:eastAsia="仿宋_GB2312" w:cs="仿宋_GB2312"/>
          <w:spacing w:val="-34"/>
          <w:kern w:val="0"/>
          <w:sz w:val="32"/>
          <w:szCs w:val="32"/>
          <w:lang w:val="en-US" w:eastAsia="zh-CN"/>
        </w:rPr>
        <w:t xml:space="preserve"> </w:t>
      </w:r>
      <w:r>
        <w:rPr>
          <w:rFonts w:hint="eastAsia" w:ascii="仿宋_GB2312" w:hAnsi="仿宋_GB2312" w:eastAsia="仿宋_GB2312" w:cs="仿宋_GB2312"/>
          <w:spacing w:val="-34"/>
          <w:kern w:val="0"/>
          <w:sz w:val="32"/>
          <w:szCs w:val="32"/>
        </w:rPr>
        <w:t>业</w:t>
      </w:r>
      <w:r>
        <w:rPr>
          <w:rFonts w:hint="eastAsia" w:ascii="仿宋_GB2312" w:hAnsi="仿宋_GB2312" w:eastAsia="仿宋_GB2312" w:cs="仿宋_GB2312"/>
          <w:spacing w:val="-34"/>
          <w:kern w:val="0"/>
          <w:sz w:val="32"/>
          <w:szCs w:val="32"/>
          <w:lang w:val="en-US" w:eastAsia="zh-CN"/>
        </w:rPr>
        <w:t xml:space="preserve"> </w:t>
      </w:r>
      <w:r>
        <w:rPr>
          <w:rFonts w:hint="eastAsia" w:ascii="仿宋_GB2312" w:hAnsi="仿宋_GB2312" w:eastAsia="仿宋_GB2312" w:cs="仿宋_GB2312"/>
          <w:spacing w:val="-34"/>
          <w:kern w:val="0"/>
          <w:sz w:val="32"/>
          <w:szCs w:val="32"/>
        </w:rPr>
        <w:t>和</w:t>
      </w:r>
      <w:r>
        <w:rPr>
          <w:rFonts w:hint="eastAsia" w:ascii="仿宋_GB2312" w:hAnsi="仿宋_GB2312" w:eastAsia="仿宋_GB2312" w:cs="仿宋_GB2312"/>
          <w:spacing w:val="-34"/>
          <w:kern w:val="0"/>
          <w:sz w:val="32"/>
          <w:szCs w:val="32"/>
          <w:lang w:val="en-US" w:eastAsia="zh-CN"/>
        </w:rPr>
        <w:t xml:space="preserve"> </w:t>
      </w:r>
      <w:r>
        <w:rPr>
          <w:rFonts w:hint="eastAsia" w:ascii="仿宋_GB2312" w:hAnsi="仿宋_GB2312" w:eastAsia="仿宋_GB2312" w:cs="仿宋_GB2312"/>
          <w:spacing w:val="-34"/>
          <w:kern w:val="0"/>
          <w:sz w:val="32"/>
          <w:szCs w:val="32"/>
        </w:rPr>
        <w:t>信</w:t>
      </w:r>
      <w:r>
        <w:rPr>
          <w:rFonts w:hint="eastAsia" w:ascii="仿宋_GB2312" w:hAnsi="仿宋_GB2312" w:eastAsia="仿宋_GB2312" w:cs="仿宋_GB2312"/>
          <w:spacing w:val="-34"/>
          <w:kern w:val="0"/>
          <w:sz w:val="32"/>
          <w:szCs w:val="32"/>
          <w:lang w:val="en-US" w:eastAsia="zh-CN"/>
        </w:rPr>
        <w:t xml:space="preserve"> </w:t>
      </w:r>
      <w:r>
        <w:rPr>
          <w:rFonts w:hint="eastAsia" w:ascii="仿宋_GB2312" w:hAnsi="仿宋_GB2312" w:eastAsia="仿宋_GB2312" w:cs="仿宋_GB2312"/>
          <w:spacing w:val="-34"/>
          <w:kern w:val="0"/>
          <w:sz w:val="32"/>
          <w:szCs w:val="32"/>
        </w:rPr>
        <w:t>息</w:t>
      </w:r>
      <w:r>
        <w:rPr>
          <w:rFonts w:hint="eastAsia" w:ascii="仿宋_GB2312" w:hAnsi="仿宋_GB2312" w:eastAsia="仿宋_GB2312" w:cs="仿宋_GB2312"/>
          <w:spacing w:val="-34"/>
          <w:kern w:val="0"/>
          <w:sz w:val="32"/>
          <w:szCs w:val="32"/>
          <w:lang w:val="en-US" w:eastAsia="zh-CN"/>
        </w:rPr>
        <w:t xml:space="preserve"> </w:t>
      </w:r>
      <w:r>
        <w:rPr>
          <w:rFonts w:hint="eastAsia" w:ascii="仿宋_GB2312" w:hAnsi="仿宋_GB2312" w:eastAsia="仿宋_GB2312" w:cs="仿宋_GB2312"/>
          <w:spacing w:val="-34"/>
          <w:kern w:val="0"/>
          <w:sz w:val="32"/>
          <w:szCs w:val="32"/>
        </w:rPr>
        <w:t>化</w:t>
      </w:r>
      <w:r>
        <w:rPr>
          <w:rFonts w:hint="eastAsia" w:ascii="仿宋_GB2312" w:hAnsi="仿宋_GB2312" w:eastAsia="仿宋_GB2312" w:cs="仿宋_GB2312"/>
          <w:spacing w:val="-34"/>
          <w:kern w:val="0"/>
          <w:sz w:val="32"/>
          <w:szCs w:val="32"/>
          <w:lang w:val="en-US" w:eastAsia="zh-CN"/>
        </w:rPr>
        <w:t xml:space="preserve"> </w:t>
      </w:r>
      <w:r>
        <w:rPr>
          <w:rFonts w:hint="eastAsia" w:ascii="仿宋_GB2312" w:hAnsi="仿宋_GB2312" w:eastAsia="仿宋_GB2312" w:cs="仿宋_GB2312"/>
          <w:spacing w:val="-34"/>
          <w:kern w:val="0"/>
          <w:sz w:val="32"/>
          <w:szCs w:val="32"/>
        </w:rPr>
        <w:t>厅</w:t>
      </w:r>
    </w:p>
    <w:p w14:paraId="2D563879">
      <w:pPr>
        <w:keepNext w:val="0"/>
        <w:keepLines w:val="0"/>
        <w:pageBreakBefore w:val="0"/>
        <w:widowControl w:val="0"/>
        <w:tabs>
          <w:tab w:val="center" w:pos="3940"/>
        </w:tabs>
        <w:kinsoku/>
        <w:wordWrap/>
        <w:overflowPunct/>
        <w:topLinePunct w:val="0"/>
        <w:autoSpaceDE/>
        <w:autoSpaceDN/>
        <w:bidi w:val="0"/>
        <w:adjustRightInd/>
        <w:snapToGrid/>
        <w:spacing w:line="740" w:lineRule="exact"/>
        <w:jc w:val="left"/>
        <w:textAlignment w:val="auto"/>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rPr>
        <w:t>项目负责人（签章）：</w:t>
      </w:r>
      <w:r>
        <w:rPr>
          <w:rFonts w:hint="eastAsia" w:ascii="仿宋_GB2312" w:hAnsi="仿宋_GB2312" w:eastAsia="仿宋_GB2312" w:cs="仿宋_GB2312"/>
          <w:kern w:val="0"/>
          <w:sz w:val="32"/>
          <w:szCs w:val="32"/>
          <w:lang w:eastAsia="zh-CN"/>
        </w:rPr>
        <w:t>张百武</w:t>
      </w:r>
    </w:p>
    <w:p w14:paraId="253DC53A">
      <w:pPr>
        <w:keepNext w:val="0"/>
        <w:keepLines w:val="0"/>
        <w:pageBreakBefore w:val="0"/>
        <w:widowControl w:val="0"/>
        <w:kinsoku/>
        <w:wordWrap/>
        <w:overflowPunct/>
        <w:topLinePunct w:val="0"/>
        <w:autoSpaceDE/>
        <w:autoSpaceDN/>
        <w:bidi w:val="0"/>
        <w:adjustRightInd/>
        <w:snapToGrid/>
        <w:spacing w:line="740" w:lineRule="exact"/>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eastAsia="zh-CN"/>
        </w:rPr>
        <w:t>填报</w:t>
      </w:r>
      <w:r>
        <w:rPr>
          <w:rFonts w:hint="eastAsia" w:ascii="仿宋_GB2312" w:hAnsi="仿宋_GB2312" w:eastAsia="仿宋_GB2312" w:cs="仿宋_GB2312"/>
          <w:kern w:val="0"/>
          <w:sz w:val="32"/>
          <w:szCs w:val="32"/>
        </w:rPr>
        <w:t>时间： 202</w:t>
      </w:r>
      <w:r>
        <w:rPr>
          <w:rFonts w:hint="eastAsia" w:ascii="仿宋_GB2312" w:hAnsi="仿宋_GB2312" w:eastAsia="仿宋_GB2312" w:cs="仿宋_GB2312"/>
          <w:kern w:val="0"/>
          <w:sz w:val="32"/>
          <w:szCs w:val="32"/>
          <w:lang w:val="en-US" w:eastAsia="zh-CN"/>
        </w:rPr>
        <w:t>4</w:t>
      </w:r>
      <w:r>
        <w:rPr>
          <w:rFonts w:hint="eastAsia" w:ascii="仿宋_GB2312" w:hAnsi="仿宋_GB2312" w:eastAsia="仿宋_GB2312" w:cs="仿宋_GB2312"/>
          <w:kern w:val="0"/>
          <w:sz w:val="32"/>
          <w:szCs w:val="32"/>
        </w:rPr>
        <w:t>年</w:t>
      </w:r>
      <w:r>
        <w:rPr>
          <w:rFonts w:hint="eastAsia" w:ascii="仿宋_GB2312" w:hAnsi="仿宋_GB2312" w:eastAsia="仿宋_GB2312" w:cs="仿宋_GB2312"/>
          <w:kern w:val="0"/>
          <w:sz w:val="32"/>
          <w:szCs w:val="32"/>
          <w:lang w:val="en-US" w:eastAsia="zh-CN"/>
        </w:rPr>
        <w:t>3</w:t>
      </w:r>
      <w:r>
        <w:rPr>
          <w:rFonts w:hint="eastAsia" w:ascii="仿宋_GB2312" w:hAnsi="仿宋_GB2312" w:eastAsia="仿宋_GB2312" w:cs="仿宋_GB2312"/>
          <w:kern w:val="0"/>
          <w:sz w:val="32"/>
          <w:szCs w:val="32"/>
        </w:rPr>
        <w:t>月</w:t>
      </w:r>
      <w:r>
        <w:rPr>
          <w:rFonts w:hint="eastAsia" w:ascii="仿宋_GB2312" w:hAnsi="仿宋_GB2312" w:eastAsia="仿宋_GB2312" w:cs="仿宋_GB2312"/>
          <w:kern w:val="0"/>
          <w:sz w:val="32"/>
          <w:szCs w:val="32"/>
          <w:lang w:val="en-US" w:eastAsia="zh-CN"/>
        </w:rPr>
        <w:t>13</w:t>
      </w:r>
      <w:r>
        <w:rPr>
          <w:rFonts w:hint="eastAsia" w:ascii="仿宋_GB2312" w:hAnsi="仿宋_GB2312" w:eastAsia="仿宋_GB2312" w:cs="仿宋_GB2312"/>
          <w:kern w:val="0"/>
          <w:sz w:val="32"/>
          <w:szCs w:val="32"/>
        </w:rPr>
        <w:t>日</w:t>
      </w:r>
    </w:p>
    <w:p w14:paraId="6EAFF70D">
      <w:pPr>
        <w:keepNext w:val="0"/>
        <w:keepLines w:val="0"/>
        <w:pageBreakBefore w:val="0"/>
        <w:widowControl/>
        <w:kinsoku/>
        <w:wordWrap/>
        <w:overflowPunct/>
        <w:topLinePunct w:val="0"/>
        <w:autoSpaceDE/>
        <w:autoSpaceDN/>
        <w:bidi w:val="0"/>
        <w:adjustRightInd/>
        <w:snapToGrid/>
        <w:spacing w:line="620" w:lineRule="exact"/>
        <w:jc w:val="left"/>
        <w:textAlignment w:val="auto"/>
        <w:rPr>
          <w:rFonts w:hint="eastAsia" w:ascii="新宋体" w:hAnsi="新宋体" w:eastAsia="新宋体" w:cs="新宋体"/>
          <w:kern w:val="0"/>
          <w:sz w:val="28"/>
          <w:szCs w:val="28"/>
        </w:rPr>
      </w:pPr>
    </w:p>
    <w:p w14:paraId="142EDBE6">
      <w:pPr>
        <w:keepNext w:val="0"/>
        <w:keepLines w:val="0"/>
        <w:pageBreakBefore w:val="0"/>
        <w:kinsoku/>
        <w:wordWrap/>
        <w:overflowPunct/>
        <w:topLinePunct w:val="0"/>
        <w:autoSpaceDE/>
        <w:autoSpaceDN/>
        <w:bidi w:val="0"/>
        <w:adjustRightInd/>
        <w:snapToGrid/>
        <w:spacing w:line="620" w:lineRule="exact"/>
        <w:jc w:val="center"/>
        <w:textAlignment w:val="auto"/>
        <w:rPr>
          <w:rFonts w:hint="eastAsia" w:ascii="新宋体" w:hAnsi="新宋体" w:eastAsia="新宋体" w:cs="新宋体"/>
          <w:sz w:val="28"/>
          <w:szCs w:val="28"/>
          <w:lang w:eastAsia="zh-CN"/>
        </w:rPr>
      </w:pPr>
    </w:p>
    <w:p w14:paraId="338524F9">
      <w:pPr>
        <w:pStyle w:val="2"/>
        <w:rPr>
          <w:rFonts w:hint="eastAsia" w:ascii="新宋体" w:hAnsi="新宋体" w:eastAsia="新宋体" w:cs="新宋体"/>
          <w:lang w:eastAsia="zh-CN"/>
        </w:rPr>
      </w:pPr>
    </w:p>
    <w:p w14:paraId="3D88A9B4">
      <w:pPr>
        <w:pStyle w:val="2"/>
        <w:rPr>
          <w:rFonts w:hint="eastAsia" w:ascii="新宋体" w:hAnsi="新宋体" w:eastAsia="新宋体" w:cs="新宋体"/>
          <w:sz w:val="24"/>
          <w:szCs w:val="24"/>
          <w:lang w:eastAsia="zh-CN"/>
        </w:rPr>
      </w:pPr>
    </w:p>
    <w:p w14:paraId="75C2B789">
      <w:pPr>
        <w:keepNext w:val="0"/>
        <w:keepLines w:val="0"/>
        <w:pageBreakBefore w:val="0"/>
        <w:kinsoku/>
        <w:wordWrap/>
        <w:overflowPunct/>
        <w:topLinePunct w:val="0"/>
        <w:autoSpaceDE/>
        <w:autoSpaceDN/>
        <w:bidi w:val="0"/>
        <w:adjustRightInd/>
        <w:snapToGrid/>
        <w:spacing w:line="600" w:lineRule="exact"/>
        <w:ind w:firstLine="880" w:firstLineChars="200"/>
        <w:jc w:val="both"/>
        <w:textAlignment w:val="auto"/>
        <w:rPr>
          <w:rFonts w:hint="eastAsia" w:ascii="方正小标宋简体" w:hAnsi="方正小标宋简体" w:eastAsia="方正小标宋简体" w:cs="方正小标宋简体"/>
          <w:b w:val="0"/>
          <w:bCs w:val="0"/>
          <w:kern w:val="0"/>
          <w:sz w:val="44"/>
          <w:szCs w:val="44"/>
          <w:lang w:val="en-US" w:eastAsia="zh-CN"/>
        </w:rPr>
      </w:pPr>
      <w:r>
        <w:rPr>
          <w:rFonts w:hint="eastAsia" w:ascii="方正小标宋简体" w:hAnsi="方正小标宋简体" w:eastAsia="方正小标宋简体" w:cs="方正小标宋简体"/>
          <w:b w:val="0"/>
          <w:bCs w:val="0"/>
          <w:kern w:val="0"/>
          <w:sz w:val="44"/>
          <w:szCs w:val="44"/>
          <w:lang w:val="en-US" w:eastAsia="zh-CN"/>
        </w:rPr>
        <w:t>原破产企业职工暖气费生活补助</w:t>
      </w:r>
    </w:p>
    <w:p w14:paraId="23DF13C6">
      <w:pPr>
        <w:keepNext w:val="0"/>
        <w:keepLines w:val="0"/>
        <w:pageBreakBefore w:val="0"/>
        <w:kinsoku/>
        <w:wordWrap/>
        <w:overflowPunct/>
        <w:topLinePunct w:val="0"/>
        <w:autoSpaceDE/>
        <w:autoSpaceDN/>
        <w:bidi w:val="0"/>
        <w:adjustRightInd/>
        <w:snapToGrid/>
        <w:spacing w:line="600" w:lineRule="exact"/>
        <w:jc w:val="center"/>
        <w:textAlignment w:val="auto"/>
        <w:rPr>
          <w:rFonts w:hint="default" w:ascii="方正小标宋简体" w:hAnsi="方正小标宋简体" w:eastAsia="方正小标宋简体" w:cs="方正小标宋简体"/>
          <w:b/>
          <w:kern w:val="0"/>
          <w:sz w:val="44"/>
          <w:szCs w:val="44"/>
          <w:lang w:val="en-US"/>
        </w:rPr>
      </w:pPr>
      <w:r>
        <w:rPr>
          <w:rFonts w:hint="eastAsia" w:ascii="方正小标宋简体" w:hAnsi="方正小标宋简体" w:eastAsia="方正小标宋简体" w:cs="方正小标宋简体"/>
          <w:b w:val="0"/>
          <w:bCs w:val="0"/>
          <w:kern w:val="0"/>
          <w:sz w:val="44"/>
          <w:szCs w:val="44"/>
          <w:lang w:val="en-US" w:eastAsia="zh-CN"/>
        </w:rPr>
        <w:t>及养老保险金绩效评价报告</w:t>
      </w:r>
    </w:p>
    <w:p w14:paraId="177D7366">
      <w:pPr>
        <w:keepNext w:val="0"/>
        <w:keepLines w:val="0"/>
        <w:pageBreakBefore w:val="0"/>
        <w:kinsoku/>
        <w:wordWrap/>
        <w:overflowPunct/>
        <w:topLinePunct w:val="0"/>
        <w:autoSpaceDE/>
        <w:autoSpaceDN/>
        <w:bidi w:val="0"/>
        <w:adjustRightInd/>
        <w:snapToGrid/>
        <w:spacing w:after="0" w:line="600" w:lineRule="exact"/>
        <w:ind w:left="0" w:leftChars="0" w:right="0" w:rightChars="0" w:firstLine="640"/>
        <w:textAlignment w:val="auto"/>
        <w:outlineLvl w:val="0"/>
        <w:rPr>
          <w:rStyle w:val="16"/>
          <w:rFonts w:hint="eastAsia" w:ascii="新宋体" w:hAnsi="新宋体" w:eastAsia="新宋体" w:cs="新宋体"/>
          <w:b w:val="0"/>
          <w:spacing w:val="-4"/>
          <w:sz w:val="44"/>
          <w:szCs w:val="44"/>
          <w:lang w:eastAsia="zh-CN"/>
        </w:rPr>
      </w:pPr>
      <w:bookmarkStart w:id="1" w:name="_Toc7644"/>
    </w:p>
    <w:p w14:paraId="577647E7">
      <w:pPr>
        <w:keepNext w:val="0"/>
        <w:keepLines w:val="0"/>
        <w:pageBreakBefore w:val="0"/>
        <w:kinsoku/>
        <w:wordWrap/>
        <w:overflowPunct/>
        <w:topLinePunct w:val="0"/>
        <w:autoSpaceDE/>
        <w:autoSpaceDN/>
        <w:bidi w:val="0"/>
        <w:adjustRightInd/>
        <w:snapToGrid/>
        <w:spacing w:after="0" w:line="600" w:lineRule="exact"/>
        <w:ind w:left="0" w:leftChars="0" w:right="0" w:rightChars="0" w:firstLine="640"/>
        <w:textAlignment w:val="auto"/>
        <w:outlineLvl w:val="0"/>
        <w:rPr>
          <w:rStyle w:val="16"/>
          <w:rFonts w:hint="eastAsia" w:ascii="黑体" w:hAnsi="黑体" w:eastAsia="黑体" w:cs="黑体"/>
          <w:b w:val="0"/>
          <w:spacing w:val="-4"/>
          <w:sz w:val="32"/>
          <w:szCs w:val="32"/>
          <w:lang w:eastAsia="zh-CN"/>
        </w:rPr>
      </w:pPr>
      <w:r>
        <w:rPr>
          <w:rStyle w:val="16"/>
          <w:rFonts w:hint="eastAsia" w:ascii="黑体" w:hAnsi="黑体" w:eastAsia="黑体" w:cs="黑体"/>
          <w:b w:val="0"/>
          <w:spacing w:val="-4"/>
          <w:sz w:val="32"/>
          <w:szCs w:val="32"/>
          <w:lang w:eastAsia="zh-CN"/>
        </w:rPr>
        <w:t>一、基本情况</w:t>
      </w:r>
      <w:bookmarkEnd w:id="1"/>
    </w:p>
    <w:p w14:paraId="30632BCE">
      <w:pPr>
        <w:keepNext w:val="0"/>
        <w:keepLines w:val="0"/>
        <w:pageBreakBefore w:val="0"/>
        <w:kinsoku/>
        <w:wordWrap/>
        <w:overflowPunct/>
        <w:topLinePunct w:val="0"/>
        <w:autoSpaceDE/>
        <w:autoSpaceDN/>
        <w:bidi w:val="0"/>
        <w:adjustRightInd/>
        <w:snapToGrid/>
        <w:spacing w:after="0" w:line="600" w:lineRule="exact"/>
        <w:ind w:left="0" w:leftChars="0" w:right="0" w:rightChars="0" w:firstLine="567" w:firstLineChars="181"/>
        <w:textAlignment w:val="auto"/>
        <w:rPr>
          <w:rStyle w:val="16"/>
          <w:rFonts w:hint="eastAsia" w:ascii="仿宋_GB2312" w:hAnsi="仿宋_GB2312" w:eastAsia="仿宋_GB2312" w:cs="仿宋_GB2312"/>
          <w:spacing w:val="-4"/>
          <w:sz w:val="32"/>
          <w:szCs w:val="32"/>
          <w:lang w:val="en-US" w:eastAsia="zh-CN"/>
        </w:rPr>
      </w:pPr>
      <w:r>
        <w:rPr>
          <w:rStyle w:val="16"/>
          <w:rFonts w:hint="eastAsia" w:ascii="仿宋_GB2312" w:hAnsi="仿宋_GB2312" w:eastAsia="仿宋_GB2312" w:cs="仿宋_GB2312"/>
          <w:spacing w:val="-4"/>
          <w:sz w:val="32"/>
          <w:szCs w:val="32"/>
          <w:lang w:eastAsia="zh-CN"/>
        </w:rPr>
        <w:t>（</w:t>
      </w:r>
      <w:r>
        <w:rPr>
          <w:rStyle w:val="16"/>
          <w:rFonts w:hint="eastAsia" w:ascii="仿宋_GB2312" w:hAnsi="仿宋_GB2312" w:eastAsia="仿宋_GB2312" w:cs="仿宋_GB2312"/>
          <w:spacing w:val="-4"/>
          <w:sz w:val="32"/>
          <w:szCs w:val="32"/>
        </w:rPr>
        <w:t>一</w:t>
      </w:r>
      <w:r>
        <w:rPr>
          <w:rStyle w:val="16"/>
          <w:rFonts w:hint="eastAsia" w:ascii="仿宋_GB2312" w:hAnsi="仿宋_GB2312" w:eastAsia="仿宋_GB2312" w:cs="仿宋_GB2312"/>
          <w:spacing w:val="-4"/>
          <w:sz w:val="32"/>
          <w:szCs w:val="32"/>
          <w:lang w:eastAsia="zh-CN"/>
        </w:rPr>
        <w:t>）</w:t>
      </w:r>
      <w:r>
        <w:rPr>
          <w:rStyle w:val="16"/>
          <w:rFonts w:hint="eastAsia" w:ascii="仿宋_GB2312" w:hAnsi="仿宋_GB2312" w:eastAsia="仿宋_GB2312" w:cs="仿宋_GB2312"/>
          <w:spacing w:val="-4"/>
          <w:sz w:val="32"/>
          <w:szCs w:val="32"/>
        </w:rPr>
        <w:t>项目概况</w:t>
      </w:r>
      <w:r>
        <w:rPr>
          <w:rStyle w:val="16"/>
          <w:rFonts w:hint="eastAsia" w:ascii="仿宋_GB2312" w:hAnsi="仿宋_GB2312" w:eastAsia="仿宋_GB2312" w:cs="仿宋_GB2312"/>
          <w:spacing w:val="-4"/>
          <w:sz w:val="32"/>
          <w:szCs w:val="32"/>
          <w:lang w:val="en-US" w:eastAsia="zh-CN"/>
        </w:rPr>
        <w:t>:</w:t>
      </w:r>
    </w:p>
    <w:p w14:paraId="1BE2CF0C">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right="0" w:rightChars="0" w:firstLine="546" w:firstLineChars="200"/>
        <w:jc w:val="left"/>
        <w:textAlignment w:val="auto"/>
        <w:outlineLvl w:val="9"/>
        <w:rPr>
          <w:rFonts w:hint="eastAsia" w:ascii="仿宋_GB2312" w:hAnsi="仿宋_GB2312" w:eastAsia="仿宋_GB2312" w:cs="仿宋_GB2312"/>
          <w:kern w:val="10"/>
          <w:sz w:val="28"/>
          <w:szCs w:val="28"/>
        </w:rPr>
      </w:pPr>
      <w:bookmarkStart w:id="2" w:name="_Toc13198"/>
      <w:r>
        <w:rPr>
          <w:rStyle w:val="16"/>
          <w:rFonts w:hint="eastAsia" w:ascii="仿宋_GB2312" w:hAnsi="仿宋_GB2312" w:eastAsia="仿宋_GB2312" w:cs="仿宋_GB2312"/>
          <w:b/>
          <w:bCs w:val="0"/>
          <w:spacing w:val="-4"/>
          <w:sz w:val="28"/>
          <w:szCs w:val="28"/>
          <w:highlight w:val="none"/>
          <w:lang w:val="en-US" w:eastAsia="zh-CN"/>
        </w:rPr>
        <w:t>1.</w:t>
      </w:r>
      <w:r>
        <w:rPr>
          <w:rStyle w:val="16"/>
          <w:rFonts w:hint="eastAsia" w:ascii="仿宋_GB2312" w:hAnsi="仿宋_GB2312" w:eastAsia="仿宋_GB2312" w:cs="仿宋_GB2312"/>
          <w:b/>
          <w:bCs w:val="0"/>
          <w:spacing w:val="-4"/>
          <w:sz w:val="28"/>
          <w:szCs w:val="28"/>
          <w:highlight w:val="none"/>
          <w:lang w:eastAsia="zh-CN"/>
        </w:rPr>
        <w:t>项目背景：</w:t>
      </w:r>
      <w:r>
        <w:rPr>
          <w:rFonts w:hint="eastAsia" w:ascii="仿宋_GB2312" w:hAnsi="仿宋_GB2312" w:eastAsia="仿宋_GB2312" w:cs="仿宋_GB2312"/>
          <w:kern w:val="10"/>
          <w:sz w:val="28"/>
          <w:szCs w:val="28"/>
          <w:lang w:val="en-US" w:eastAsia="zh-CN"/>
        </w:rPr>
        <w:t>新疆盐湖化工厂于2006年5月10日经乌鲁木齐市中级人民法院宣告破产，2011年破产终结。根据新疆维吾尔自治区人力资源和社会保障厅[2010]535号《关于增补新疆盐湖化工厂49名无固定收入遗孀取暖费的复函》，由原自治区轻工业行业管理办公室从资产变现清算费用中每年负责发放</w:t>
      </w:r>
      <w:r>
        <w:rPr>
          <w:rFonts w:hint="eastAsia" w:ascii="仿宋_GB2312" w:hAnsi="仿宋_GB2312" w:eastAsia="仿宋_GB2312" w:cs="仿宋_GB2312"/>
          <w:b w:val="0"/>
          <w:bCs w:val="0"/>
          <w:kern w:val="10"/>
          <w:sz w:val="28"/>
          <w:szCs w:val="28"/>
          <w:lang w:val="en-US" w:eastAsia="zh-CN"/>
        </w:rPr>
        <w:t>原盐湖化工厂企业供养人员的采暖费39人，遗属</w:t>
      </w:r>
      <w:r>
        <w:rPr>
          <w:rFonts w:hint="eastAsia" w:ascii="仿宋_GB2312" w:hAnsi="仿宋_GB2312" w:eastAsia="仿宋_GB2312" w:cs="仿宋_GB2312"/>
          <w:kern w:val="10"/>
          <w:sz w:val="28"/>
          <w:szCs w:val="28"/>
          <w:lang w:val="en-US" w:eastAsia="zh-CN"/>
        </w:rPr>
        <w:t>（无收入人员）生活费</w:t>
      </w:r>
      <w:r>
        <w:rPr>
          <w:rFonts w:hint="eastAsia" w:ascii="仿宋_GB2312" w:hAnsi="仿宋_GB2312" w:eastAsia="仿宋_GB2312" w:cs="仿宋_GB2312"/>
          <w:b w:val="0"/>
          <w:bCs w:val="0"/>
          <w:kern w:val="10"/>
          <w:sz w:val="28"/>
          <w:szCs w:val="28"/>
          <w:lang w:val="en-US" w:eastAsia="zh-CN"/>
        </w:rPr>
        <w:t>2人</w:t>
      </w:r>
      <w:r>
        <w:rPr>
          <w:rFonts w:hint="eastAsia" w:ascii="仿宋_GB2312" w:hAnsi="仿宋_GB2312" w:eastAsia="仿宋_GB2312" w:cs="仿宋_GB2312"/>
          <w:kern w:val="10"/>
          <w:sz w:val="28"/>
          <w:szCs w:val="28"/>
          <w:lang w:val="en-US" w:eastAsia="zh-CN"/>
        </w:rPr>
        <w:t>。5-6级工伤养老保险金3人。</w:t>
      </w:r>
      <w:r>
        <w:rPr>
          <w:rFonts w:hint="eastAsia" w:ascii="仿宋_GB2312" w:hAnsi="仿宋_GB2312" w:eastAsia="仿宋_GB2312" w:cs="仿宋_GB2312"/>
          <w:kern w:val="10"/>
          <w:sz w:val="28"/>
          <w:szCs w:val="28"/>
        </w:rPr>
        <w:t>以保障破产</w:t>
      </w:r>
      <w:r>
        <w:rPr>
          <w:rFonts w:hint="eastAsia" w:ascii="仿宋_GB2312" w:hAnsi="仿宋_GB2312" w:eastAsia="仿宋_GB2312" w:cs="仿宋_GB2312"/>
          <w:kern w:val="10"/>
          <w:sz w:val="28"/>
          <w:szCs w:val="28"/>
          <w:lang w:eastAsia="zh-CN"/>
        </w:rPr>
        <w:t>企业供养人员的</w:t>
      </w:r>
      <w:r>
        <w:rPr>
          <w:rFonts w:hint="eastAsia" w:ascii="仿宋_GB2312" w:hAnsi="仿宋_GB2312" w:eastAsia="仿宋_GB2312" w:cs="仿宋_GB2312"/>
          <w:kern w:val="10"/>
          <w:sz w:val="28"/>
          <w:szCs w:val="28"/>
        </w:rPr>
        <w:t>基本生活，</w:t>
      </w:r>
      <w:r>
        <w:rPr>
          <w:rFonts w:hint="eastAsia" w:ascii="仿宋_GB2312" w:hAnsi="仿宋_GB2312" w:eastAsia="仿宋_GB2312" w:cs="仿宋_GB2312"/>
          <w:kern w:val="10"/>
          <w:sz w:val="28"/>
          <w:szCs w:val="28"/>
          <w:lang w:eastAsia="zh-CN"/>
        </w:rPr>
        <w:t>让盐湖供养人员</w:t>
      </w:r>
      <w:r>
        <w:rPr>
          <w:rFonts w:hint="eastAsia" w:ascii="仿宋_GB2312" w:hAnsi="仿宋_GB2312" w:eastAsia="仿宋_GB2312" w:cs="仿宋_GB2312"/>
          <w:kern w:val="10"/>
          <w:sz w:val="28"/>
          <w:szCs w:val="28"/>
        </w:rPr>
        <w:t>感受到党和政府的关怀，使他们能安度晚年，维护了社会大局稳定。</w:t>
      </w:r>
      <w:bookmarkEnd w:id="2"/>
    </w:p>
    <w:p w14:paraId="0DD29745">
      <w:pPr>
        <w:pStyle w:val="4"/>
        <w:pageBreakBefore w:val="0"/>
        <w:widowControl w:val="0"/>
        <w:kinsoku/>
        <w:wordWrap/>
        <w:overflowPunct/>
        <w:topLinePunct w:val="0"/>
        <w:autoSpaceDE/>
        <w:autoSpaceDN/>
        <w:bidi w:val="0"/>
        <w:adjustRightInd/>
        <w:snapToGrid/>
        <w:spacing w:line="600" w:lineRule="exact"/>
        <w:ind w:firstLine="819" w:firstLineChars="300"/>
        <w:jc w:val="left"/>
        <w:textAlignment w:val="auto"/>
        <w:rPr>
          <w:rFonts w:hint="eastAsia" w:ascii="仿宋_GB2312" w:hAnsi="仿宋_GB2312" w:eastAsia="仿宋_GB2312" w:cs="仿宋_GB2312"/>
          <w:b w:val="0"/>
          <w:bCs w:val="0"/>
          <w:sz w:val="28"/>
          <w:szCs w:val="28"/>
        </w:rPr>
      </w:pPr>
      <w:bookmarkStart w:id="3" w:name="_Toc11006"/>
      <w:r>
        <w:rPr>
          <w:rStyle w:val="16"/>
          <w:rFonts w:hint="eastAsia" w:ascii="仿宋_GB2312" w:hAnsi="仿宋_GB2312" w:eastAsia="仿宋_GB2312" w:cs="仿宋_GB2312"/>
          <w:b/>
          <w:bCs w:val="0"/>
          <w:spacing w:val="-4"/>
          <w:kern w:val="10"/>
          <w:sz w:val="28"/>
          <w:szCs w:val="28"/>
          <w:highlight w:val="none"/>
          <w:lang w:val="en-US" w:eastAsia="zh-CN"/>
        </w:rPr>
        <w:t>2.</w:t>
      </w:r>
      <w:r>
        <w:rPr>
          <w:rStyle w:val="16"/>
          <w:rFonts w:hint="eastAsia" w:ascii="仿宋_GB2312" w:hAnsi="仿宋_GB2312" w:eastAsia="仿宋_GB2312" w:cs="仿宋_GB2312"/>
          <w:b/>
          <w:bCs w:val="0"/>
          <w:spacing w:val="-4"/>
          <w:kern w:val="10"/>
          <w:sz w:val="28"/>
          <w:szCs w:val="28"/>
          <w:highlight w:val="none"/>
          <w:lang w:eastAsia="zh-CN"/>
        </w:rPr>
        <w:t>项目主要内容：</w:t>
      </w:r>
      <w:r>
        <w:rPr>
          <w:rFonts w:hint="eastAsia" w:ascii="仿宋_GB2312" w:hAnsi="仿宋_GB2312" w:eastAsia="仿宋_GB2312" w:cs="仿宋_GB2312"/>
          <w:kern w:val="10"/>
          <w:sz w:val="28"/>
          <w:szCs w:val="28"/>
        </w:rPr>
        <w:t>经</w:t>
      </w:r>
      <w:r>
        <w:rPr>
          <w:rFonts w:hint="eastAsia" w:ascii="仿宋_GB2312" w:hAnsi="仿宋_GB2312" w:eastAsia="仿宋_GB2312" w:cs="仿宋_GB2312"/>
          <w:kern w:val="10"/>
          <w:sz w:val="28"/>
          <w:szCs w:val="28"/>
          <w:lang w:eastAsia="zh-CN"/>
        </w:rPr>
        <w:t>过核查测算</w:t>
      </w:r>
      <w:r>
        <w:rPr>
          <w:rFonts w:hint="eastAsia" w:ascii="仿宋_GB2312" w:hAnsi="仿宋_GB2312" w:eastAsia="仿宋_GB2312" w:cs="仿宋_GB2312"/>
          <w:kern w:val="10"/>
          <w:sz w:val="28"/>
          <w:szCs w:val="28"/>
          <w:lang w:val="en-US" w:eastAsia="zh-CN"/>
        </w:rPr>
        <w:t>，领取原破产企业职工暖气费生活补助及养老保险金的共45人，申请暖气费、</w:t>
      </w:r>
      <w:r>
        <w:rPr>
          <w:rFonts w:hint="eastAsia" w:ascii="仿宋_GB2312" w:hAnsi="仿宋_GB2312" w:eastAsia="仿宋_GB2312" w:cs="仿宋_GB2312"/>
          <w:sz w:val="28"/>
          <w:szCs w:val="28"/>
          <w:lang w:val="en-US" w:eastAsia="zh-CN"/>
        </w:rPr>
        <w:t>生活补助及养老保险金共计：10.78万。</w:t>
      </w:r>
      <w:bookmarkEnd w:id="3"/>
    </w:p>
    <w:p w14:paraId="7E392A0B">
      <w:pPr>
        <w:pageBreakBefore w:val="0"/>
        <w:kinsoku/>
        <w:wordWrap/>
        <w:overflowPunct/>
        <w:topLinePunct w:val="0"/>
        <w:autoSpaceDE/>
        <w:autoSpaceDN/>
        <w:bidi w:val="0"/>
        <w:adjustRightInd/>
        <w:snapToGrid/>
        <w:spacing w:line="540" w:lineRule="exact"/>
        <w:ind w:firstLine="819" w:firstLineChars="300"/>
        <w:jc w:val="left"/>
        <w:textAlignment w:val="auto"/>
        <w:rPr>
          <w:rStyle w:val="16"/>
          <w:rFonts w:hint="eastAsia" w:ascii="仿宋_GB2312" w:hAnsi="仿宋_GB2312" w:eastAsia="仿宋_GB2312" w:cs="仿宋_GB2312"/>
          <w:b/>
          <w:bCs w:val="0"/>
          <w:spacing w:val="-4"/>
          <w:sz w:val="28"/>
          <w:szCs w:val="28"/>
          <w:highlight w:val="none"/>
          <w:lang w:val="en-US" w:eastAsia="zh-CN"/>
        </w:rPr>
      </w:pPr>
      <w:r>
        <w:rPr>
          <w:rStyle w:val="16"/>
          <w:rFonts w:hint="eastAsia" w:ascii="仿宋_GB2312" w:hAnsi="仿宋_GB2312" w:eastAsia="仿宋_GB2312" w:cs="仿宋_GB2312"/>
          <w:b/>
          <w:bCs w:val="0"/>
          <w:spacing w:val="-4"/>
          <w:sz w:val="28"/>
          <w:szCs w:val="28"/>
          <w:highlight w:val="none"/>
          <w:lang w:val="en-US" w:eastAsia="zh-CN"/>
        </w:rPr>
        <w:t>3.项目实施情况：</w:t>
      </w:r>
    </w:p>
    <w:p w14:paraId="47A42D2E">
      <w:pPr>
        <w:pageBreakBefore w:val="0"/>
        <w:kinsoku/>
        <w:wordWrap/>
        <w:overflowPunct/>
        <w:topLinePunct w:val="0"/>
        <w:autoSpaceDE/>
        <w:autoSpaceDN/>
        <w:bidi w:val="0"/>
        <w:adjustRightInd/>
        <w:snapToGrid/>
        <w:spacing w:line="540" w:lineRule="exact"/>
        <w:ind w:firstLine="560" w:firstLineChars="200"/>
        <w:jc w:val="left"/>
        <w:textAlignment w:val="auto"/>
        <w:rPr>
          <w:rFonts w:hint="eastAsia" w:ascii="仿宋_GB2312" w:hAnsi="仿宋_GB2312" w:eastAsia="仿宋_GB2312" w:cs="仿宋_GB2312"/>
          <w:b w:val="0"/>
          <w:bCs w:val="0"/>
          <w:sz w:val="28"/>
          <w:szCs w:val="28"/>
          <w:lang w:val="en-US" w:eastAsia="zh-CN"/>
        </w:rPr>
      </w:pPr>
      <w:r>
        <w:rPr>
          <w:rFonts w:hint="eastAsia" w:ascii="仿宋_GB2312" w:hAnsi="仿宋_GB2312" w:eastAsia="仿宋_GB2312" w:cs="仿宋_GB2312"/>
          <w:b w:val="0"/>
          <w:bCs w:val="0"/>
          <w:sz w:val="28"/>
          <w:szCs w:val="28"/>
          <w:lang w:val="en-US" w:eastAsia="zh-CN"/>
        </w:rPr>
        <w:t>(</w:t>
      </w:r>
      <w:r>
        <w:rPr>
          <w:rFonts w:hint="eastAsia" w:ascii="仿宋_GB2312" w:hAnsi="仿宋_GB2312" w:eastAsia="仿宋_GB2312" w:cs="仿宋_GB2312"/>
          <w:b w:val="0"/>
          <w:bCs w:val="0"/>
          <w:sz w:val="28"/>
          <w:szCs w:val="28"/>
        </w:rPr>
        <w:t>1</w:t>
      </w:r>
      <w:r>
        <w:rPr>
          <w:rFonts w:hint="eastAsia" w:ascii="仿宋_GB2312" w:hAnsi="仿宋_GB2312" w:eastAsia="仿宋_GB2312" w:cs="仿宋_GB2312"/>
          <w:b w:val="0"/>
          <w:bCs w:val="0"/>
          <w:sz w:val="28"/>
          <w:szCs w:val="28"/>
          <w:lang w:val="en-US" w:eastAsia="zh-CN"/>
        </w:rPr>
        <w:t>)原皮破产企业职工领取暖气费、生活补助41人，三项经费共计：5.9万元，5-6级工伤养老保险的4人，需报销养老保险金4.77万。</w:t>
      </w:r>
    </w:p>
    <w:p w14:paraId="54647C5E">
      <w:pPr>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b w:val="0"/>
          <w:bCs w:val="0"/>
          <w:sz w:val="28"/>
          <w:szCs w:val="28"/>
          <w:lang w:val="en-US" w:eastAsia="zh-CN"/>
        </w:rPr>
        <w:t>确保原破产企业职工暖气费、生活补助及养老保险金按时发放，指标完成率100%。让原破产企业盐湖供养人员深切感受到党和政府的关怀，效果显著满意度100%。</w:t>
      </w:r>
    </w:p>
    <w:p w14:paraId="51313866">
      <w:pPr>
        <w:pStyle w:val="11"/>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right="0" w:rightChars="0" w:firstLine="546" w:firstLineChars="200"/>
        <w:jc w:val="both"/>
        <w:textAlignment w:val="auto"/>
        <w:rPr>
          <w:rStyle w:val="16"/>
          <w:rFonts w:hint="eastAsia" w:ascii="仿宋_GB2312" w:hAnsi="仿宋_GB2312" w:eastAsia="仿宋_GB2312" w:cs="仿宋_GB2312"/>
          <w:b/>
          <w:bCs w:val="0"/>
          <w:spacing w:val="-4"/>
          <w:sz w:val="28"/>
          <w:szCs w:val="28"/>
          <w:highlight w:val="none"/>
          <w:lang w:eastAsia="zh-CN"/>
        </w:rPr>
      </w:pPr>
      <w:r>
        <w:rPr>
          <w:rStyle w:val="16"/>
          <w:rFonts w:hint="eastAsia" w:ascii="仿宋_GB2312" w:hAnsi="仿宋_GB2312" w:eastAsia="仿宋_GB2312" w:cs="仿宋_GB2312"/>
          <w:b/>
          <w:bCs w:val="0"/>
          <w:spacing w:val="-4"/>
          <w:sz w:val="28"/>
          <w:szCs w:val="28"/>
          <w:highlight w:val="none"/>
          <w:lang w:val="en-US" w:eastAsia="zh-CN"/>
        </w:rPr>
        <w:t>4.</w:t>
      </w:r>
      <w:r>
        <w:rPr>
          <w:rStyle w:val="16"/>
          <w:rFonts w:hint="eastAsia" w:ascii="仿宋_GB2312" w:hAnsi="仿宋_GB2312" w:eastAsia="仿宋_GB2312" w:cs="仿宋_GB2312"/>
          <w:b/>
          <w:bCs w:val="0"/>
          <w:spacing w:val="-4"/>
          <w:sz w:val="28"/>
          <w:szCs w:val="28"/>
          <w:highlight w:val="none"/>
          <w:lang w:eastAsia="zh-CN"/>
        </w:rPr>
        <w:t>资金投入和使用情况：</w:t>
      </w:r>
    </w:p>
    <w:p w14:paraId="2FA379EC">
      <w:pPr>
        <w:pStyle w:val="11"/>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right="0" w:rightChars="0" w:firstLine="560" w:firstLineChars="200"/>
        <w:jc w:val="both"/>
        <w:textAlignment w:val="auto"/>
        <w:rPr>
          <w:rFonts w:hint="eastAsia" w:ascii="仿宋_GB2312" w:hAnsi="仿宋_GB2312" w:eastAsia="仿宋_GB2312" w:cs="仿宋_GB2312"/>
          <w:sz w:val="28"/>
          <w:szCs w:val="28"/>
          <w:lang w:val="en-US" w:eastAsia="zh-CN"/>
        </w:rPr>
      </w:pPr>
      <w:r>
        <w:rPr>
          <w:rStyle w:val="16"/>
          <w:rFonts w:hint="eastAsia" w:ascii="仿宋_GB2312" w:hAnsi="仿宋_GB2312" w:eastAsia="仿宋_GB2312" w:cs="仿宋_GB2312"/>
          <w:b w:val="0"/>
          <w:bCs/>
          <w:i w:val="0"/>
          <w:caps w:val="0"/>
          <w:color w:val="030303"/>
          <w:spacing w:val="0"/>
          <w:sz w:val="28"/>
          <w:szCs w:val="28"/>
          <w:shd w:val="clear" w:color="auto" w:fill="FFFFFF"/>
          <w:lang w:val="en-US" w:eastAsia="zh-CN"/>
        </w:rPr>
        <w:t>资金</w:t>
      </w:r>
      <w:r>
        <w:rPr>
          <w:rStyle w:val="16"/>
          <w:rFonts w:hint="eastAsia" w:ascii="仿宋_GB2312" w:hAnsi="仿宋_GB2312" w:eastAsia="仿宋_GB2312" w:cs="仿宋_GB2312"/>
          <w:b w:val="0"/>
          <w:bCs w:val="0"/>
          <w:spacing w:val="-4"/>
          <w:sz w:val="28"/>
          <w:szCs w:val="28"/>
          <w:lang w:eastAsia="zh-CN"/>
        </w:rPr>
        <w:t>投入情况：该项目年初预算数</w:t>
      </w:r>
      <w:r>
        <w:rPr>
          <w:rStyle w:val="16"/>
          <w:rFonts w:hint="eastAsia" w:ascii="仿宋_GB2312" w:hAnsi="仿宋_GB2312" w:eastAsia="仿宋_GB2312" w:cs="仿宋_GB2312"/>
          <w:b w:val="0"/>
          <w:bCs w:val="0"/>
          <w:i w:val="0"/>
          <w:caps w:val="0"/>
          <w:color w:val="030303"/>
          <w:spacing w:val="0"/>
          <w:sz w:val="28"/>
          <w:szCs w:val="28"/>
          <w:shd w:val="clear" w:color="auto" w:fill="FFFFFF"/>
          <w:lang w:val="en-US" w:eastAsia="zh-CN"/>
        </w:rPr>
        <w:t>10.78</w:t>
      </w:r>
      <w:r>
        <w:rPr>
          <w:rStyle w:val="16"/>
          <w:rFonts w:hint="eastAsia" w:ascii="仿宋_GB2312" w:hAnsi="仿宋_GB2312" w:eastAsia="仿宋_GB2312" w:cs="仿宋_GB2312"/>
          <w:b w:val="0"/>
          <w:bCs w:val="0"/>
          <w:spacing w:val="-4"/>
          <w:sz w:val="28"/>
          <w:szCs w:val="28"/>
          <w:lang w:eastAsia="zh-CN"/>
        </w:rPr>
        <w:t>万元，全年预算数</w:t>
      </w:r>
      <w:r>
        <w:rPr>
          <w:rStyle w:val="16"/>
          <w:rFonts w:hint="eastAsia" w:ascii="仿宋_GB2312" w:hAnsi="仿宋_GB2312" w:eastAsia="仿宋_GB2312" w:cs="仿宋_GB2312"/>
          <w:b w:val="0"/>
          <w:bCs w:val="0"/>
          <w:i w:val="0"/>
          <w:caps w:val="0"/>
          <w:color w:val="030303"/>
          <w:spacing w:val="0"/>
          <w:sz w:val="28"/>
          <w:szCs w:val="28"/>
          <w:shd w:val="clear" w:color="auto" w:fill="FFFFFF"/>
          <w:lang w:val="en-US" w:eastAsia="zh-CN"/>
        </w:rPr>
        <w:t>10.78</w:t>
      </w:r>
      <w:r>
        <w:rPr>
          <w:rStyle w:val="16"/>
          <w:rFonts w:hint="eastAsia" w:ascii="仿宋_GB2312" w:hAnsi="仿宋_GB2312" w:eastAsia="仿宋_GB2312" w:cs="仿宋_GB2312"/>
          <w:b w:val="0"/>
          <w:bCs w:val="0"/>
          <w:spacing w:val="-4"/>
          <w:sz w:val="28"/>
          <w:szCs w:val="28"/>
          <w:lang w:eastAsia="zh-CN"/>
        </w:rPr>
        <w:t>万元，实际总投入</w:t>
      </w:r>
      <w:r>
        <w:rPr>
          <w:rStyle w:val="16"/>
          <w:rFonts w:hint="eastAsia" w:ascii="仿宋_GB2312" w:hAnsi="仿宋_GB2312" w:eastAsia="仿宋_GB2312" w:cs="仿宋_GB2312"/>
          <w:b w:val="0"/>
          <w:bCs w:val="0"/>
          <w:spacing w:val="-4"/>
          <w:sz w:val="28"/>
          <w:szCs w:val="28"/>
          <w:lang w:val="en-US" w:eastAsia="zh-CN"/>
        </w:rPr>
        <w:t>10.78</w:t>
      </w:r>
      <w:r>
        <w:rPr>
          <w:rStyle w:val="16"/>
          <w:rFonts w:hint="eastAsia" w:ascii="仿宋_GB2312" w:hAnsi="仿宋_GB2312" w:eastAsia="仿宋_GB2312" w:cs="仿宋_GB2312"/>
          <w:b w:val="0"/>
          <w:bCs w:val="0"/>
          <w:spacing w:val="-4"/>
          <w:sz w:val="28"/>
          <w:szCs w:val="28"/>
          <w:lang w:eastAsia="zh-CN"/>
        </w:rPr>
        <w:t>万元，资金来源为</w:t>
      </w:r>
      <w:r>
        <w:rPr>
          <w:rStyle w:val="16"/>
          <w:rFonts w:hint="eastAsia" w:ascii="仿宋_GB2312" w:hAnsi="仿宋_GB2312" w:eastAsia="仿宋_GB2312" w:cs="仿宋_GB2312"/>
          <w:b w:val="0"/>
          <w:bCs w:val="0"/>
          <w:spacing w:val="-4"/>
          <w:sz w:val="28"/>
          <w:szCs w:val="28"/>
          <w:lang w:val="en-US" w:eastAsia="zh-CN"/>
        </w:rPr>
        <w:t>轻工行办合并破产企业遗留问题账户其他结余资金（非财政资金）</w:t>
      </w:r>
      <w:r>
        <w:rPr>
          <w:rStyle w:val="16"/>
          <w:rFonts w:hint="eastAsia" w:ascii="仿宋_GB2312" w:hAnsi="仿宋_GB2312" w:eastAsia="仿宋_GB2312" w:cs="仿宋_GB2312"/>
          <w:b w:val="0"/>
          <w:bCs w:val="0"/>
          <w:spacing w:val="-4"/>
          <w:sz w:val="28"/>
          <w:szCs w:val="28"/>
          <w:lang w:eastAsia="zh-CN"/>
        </w:rPr>
        <w:t>。</w:t>
      </w:r>
      <w:r>
        <w:rPr>
          <w:rFonts w:hint="eastAsia" w:ascii="仿宋_GB2312" w:hAnsi="仿宋_GB2312" w:eastAsia="仿宋_GB2312" w:cs="仿宋_GB2312"/>
          <w:b w:val="0"/>
          <w:bCs w:val="0"/>
          <w:sz w:val="28"/>
          <w:szCs w:val="28"/>
          <w:lang w:val="en-US" w:eastAsia="zh-CN"/>
        </w:rPr>
        <w:t>原新疆盐湖化工厂</w:t>
      </w:r>
      <w:r>
        <w:rPr>
          <w:rFonts w:hint="eastAsia" w:ascii="仿宋_GB2312" w:hAnsi="仿宋_GB2312" w:eastAsia="仿宋_GB2312" w:cs="仿宋_GB2312"/>
          <w:sz w:val="28"/>
          <w:szCs w:val="28"/>
          <w:lang w:val="en-US" w:eastAsia="zh-CN"/>
        </w:rPr>
        <w:t>符合领取暖气费的供养人员共计41人，领取工伤保险金的4人，共计报销补助资金10.78万元。</w:t>
      </w:r>
    </w:p>
    <w:p w14:paraId="4DA4B178">
      <w:pPr>
        <w:keepNext w:val="0"/>
        <w:keepLines w:val="0"/>
        <w:pageBreakBefore w:val="0"/>
        <w:numPr>
          <w:ilvl w:val="0"/>
          <w:numId w:val="1"/>
        </w:numPr>
        <w:kinsoku/>
        <w:wordWrap/>
        <w:overflowPunct/>
        <w:topLinePunct w:val="0"/>
        <w:autoSpaceDE/>
        <w:autoSpaceDN/>
        <w:bidi w:val="0"/>
        <w:adjustRightInd/>
        <w:snapToGrid/>
        <w:spacing w:after="0" w:line="600" w:lineRule="exact"/>
        <w:ind w:right="0" w:rightChars="0" w:firstLine="313" w:firstLineChars="100"/>
        <w:textAlignment w:val="auto"/>
        <w:outlineLvl w:val="9"/>
        <w:rPr>
          <w:rStyle w:val="16"/>
          <w:rFonts w:hint="eastAsia" w:ascii="仿宋_GB2312" w:hAnsi="仿宋_GB2312" w:eastAsia="仿宋_GB2312" w:cs="仿宋_GB2312"/>
          <w:b/>
          <w:bCs/>
          <w:spacing w:val="-4"/>
          <w:sz w:val="32"/>
          <w:szCs w:val="32"/>
          <w:lang w:eastAsia="zh-CN"/>
        </w:rPr>
      </w:pPr>
      <w:r>
        <w:rPr>
          <w:rStyle w:val="16"/>
          <w:rFonts w:hint="eastAsia" w:ascii="仿宋_GB2312" w:hAnsi="仿宋_GB2312" w:eastAsia="仿宋_GB2312" w:cs="仿宋_GB2312"/>
          <w:b/>
          <w:bCs/>
          <w:spacing w:val="-4"/>
          <w:sz w:val="32"/>
          <w:szCs w:val="32"/>
        </w:rPr>
        <w:t>项目</w:t>
      </w:r>
      <w:r>
        <w:rPr>
          <w:rStyle w:val="16"/>
          <w:rFonts w:hint="eastAsia" w:ascii="仿宋_GB2312" w:hAnsi="仿宋_GB2312" w:eastAsia="仿宋_GB2312" w:cs="仿宋_GB2312"/>
          <w:b/>
          <w:bCs/>
          <w:spacing w:val="-4"/>
          <w:sz w:val="32"/>
          <w:szCs w:val="32"/>
          <w:lang w:eastAsia="zh-CN"/>
        </w:rPr>
        <w:t>绩效目标</w:t>
      </w:r>
    </w:p>
    <w:p w14:paraId="2E5D29AB">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1.总</w:t>
      </w:r>
      <w:r>
        <w:rPr>
          <w:rFonts w:hint="eastAsia" w:ascii="仿宋_GB2312" w:hAnsi="仿宋_GB2312" w:eastAsia="仿宋_GB2312" w:cs="仿宋_GB2312"/>
          <w:sz w:val="28"/>
          <w:szCs w:val="28"/>
          <w:lang w:val="en-US" w:eastAsia="zh-CN"/>
        </w:rPr>
        <w:t>体</w:t>
      </w:r>
      <w:r>
        <w:rPr>
          <w:rFonts w:hint="eastAsia" w:ascii="仿宋_GB2312" w:hAnsi="仿宋_GB2312" w:eastAsia="仿宋_GB2312" w:cs="仿宋_GB2312"/>
          <w:sz w:val="28"/>
          <w:szCs w:val="28"/>
        </w:rPr>
        <w:t>目标</w:t>
      </w:r>
    </w:p>
    <w:p w14:paraId="4603BBED">
      <w:pPr>
        <w:spacing w:line="600" w:lineRule="exact"/>
        <w:ind w:firstLine="280" w:firstLineChars="100"/>
        <w:jc w:val="left"/>
        <w:outlineLvl w:val="0"/>
        <w:rPr>
          <w:rFonts w:hint="eastAsia" w:ascii="仿宋_GB2312" w:hAnsi="仿宋_GB2312" w:eastAsia="仿宋_GB2312" w:cs="仿宋_GB2312"/>
          <w:sz w:val="28"/>
          <w:szCs w:val="28"/>
        </w:rPr>
      </w:pPr>
      <w:bookmarkStart w:id="4" w:name="_Toc19783"/>
      <w:r>
        <w:rPr>
          <w:rFonts w:hint="eastAsia" w:ascii="仿宋_GB2312" w:hAnsi="仿宋_GB2312" w:eastAsia="仿宋_GB2312" w:cs="仿宋_GB2312"/>
          <w:i w:val="0"/>
          <w:caps w:val="0"/>
          <w:color w:val="030303"/>
          <w:spacing w:val="0"/>
          <w:sz w:val="28"/>
          <w:szCs w:val="28"/>
          <w:shd w:val="clear" w:color="auto" w:fill="FFFFFF"/>
          <w:lang w:eastAsia="zh-CN"/>
        </w:rPr>
        <w:t>（</w:t>
      </w:r>
      <w:r>
        <w:rPr>
          <w:rFonts w:hint="eastAsia" w:ascii="仿宋_GB2312" w:hAnsi="仿宋_GB2312" w:eastAsia="仿宋_GB2312" w:cs="仿宋_GB2312"/>
          <w:i w:val="0"/>
          <w:caps w:val="0"/>
          <w:color w:val="030303"/>
          <w:spacing w:val="0"/>
          <w:sz w:val="28"/>
          <w:szCs w:val="28"/>
          <w:shd w:val="clear" w:color="auto" w:fill="FFFFFF"/>
          <w:lang w:val="en-US" w:eastAsia="zh-CN"/>
        </w:rPr>
        <w:t>1</w:t>
      </w:r>
      <w:r>
        <w:rPr>
          <w:rFonts w:hint="eastAsia" w:ascii="仿宋_GB2312" w:hAnsi="仿宋_GB2312" w:eastAsia="仿宋_GB2312" w:cs="仿宋_GB2312"/>
          <w:i w:val="0"/>
          <w:caps w:val="0"/>
          <w:color w:val="030303"/>
          <w:spacing w:val="0"/>
          <w:sz w:val="28"/>
          <w:szCs w:val="28"/>
          <w:shd w:val="clear" w:color="auto" w:fill="FFFFFF"/>
          <w:lang w:eastAsia="zh-CN"/>
        </w:rPr>
        <w:t>）</w:t>
      </w:r>
      <w:r>
        <w:rPr>
          <w:rStyle w:val="16"/>
          <w:rFonts w:hint="eastAsia" w:ascii="仿宋_GB2312" w:hAnsi="仿宋_GB2312" w:eastAsia="仿宋_GB2312" w:cs="仿宋_GB2312"/>
          <w:b w:val="0"/>
          <w:bCs/>
          <w:spacing w:val="-4"/>
          <w:sz w:val="28"/>
          <w:szCs w:val="28"/>
          <w:lang w:val="en-US" w:eastAsia="zh-CN"/>
        </w:rPr>
        <w:t>认真贯彻落实好党和政府给予破产企业退休职工生活待遇保障的相关政策，做好</w:t>
      </w:r>
      <w:r>
        <w:rPr>
          <w:rFonts w:hint="eastAsia" w:ascii="仿宋_GB2312" w:hAnsi="仿宋_GB2312" w:eastAsia="仿宋_GB2312" w:cs="仿宋_GB2312"/>
          <w:sz w:val="28"/>
          <w:szCs w:val="28"/>
        </w:rPr>
        <w:t>破产企业退休基本生活，</w:t>
      </w:r>
      <w:r>
        <w:rPr>
          <w:rFonts w:hint="eastAsia" w:ascii="仿宋_GB2312" w:hAnsi="仿宋_GB2312" w:eastAsia="仿宋_GB2312" w:cs="仿宋_GB2312"/>
          <w:sz w:val="28"/>
          <w:szCs w:val="28"/>
          <w:lang w:eastAsia="zh-CN"/>
        </w:rPr>
        <w:t>让</w:t>
      </w:r>
      <w:r>
        <w:rPr>
          <w:rFonts w:hint="eastAsia" w:ascii="仿宋_GB2312" w:hAnsi="仿宋_GB2312" w:eastAsia="仿宋_GB2312" w:cs="仿宋_GB2312"/>
          <w:sz w:val="28"/>
          <w:szCs w:val="28"/>
        </w:rPr>
        <w:t>破产企业退休职工感受到党和政府的关怀，使他们能安度晚年，维护了社会大局稳定。</w:t>
      </w:r>
      <w:bookmarkEnd w:id="4"/>
    </w:p>
    <w:p w14:paraId="1B0A68C7">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right="0" w:firstLine="280" w:firstLineChars="10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i w:val="0"/>
          <w:caps w:val="0"/>
          <w:color w:val="030303"/>
          <w:spacing w:val="0"/>
          <w:sz w:val="28"/>
          <w:szCs w:val="28"/>
          <w:shd w:val="clear" w:color="auto" w:fill="FFFFFF"/>
          <w:lang w:eastAsia="zh-CN"/>
        </w:rPr>
        <w:t>（</w:t>
      </w:r>
      <w:r>
        <w:rPr>
          <w:rFonts w:hint="eastAsia" w:ascii="仿宋_GB2312" w:hAnsi="仿宋_GB2312" w:eastAsia="仿宋_GB2312" w:cs="仿宋_GB2312"/>
          <w:i w:val="0"/>
          <w:caps w:val="0"/>
          <w:color w:val="030303"/>
          <w:spacing w:val="0"/>
          <w:sz w:val="28"/>
          <w:szCs w:val="28"/>
          <w:shd w:val="clear" w:color="auto" w:fill="FFFFFF"/>
        </w:rPr>
        <w:t>2</w:t>
      </w:r>
      <w:r>
        <w:rPr>
          <w:rFonts w:hint="eastAsia" w:ascii="仿宋_GB2312" w:hAnsi="仿宋_GB2312" w:eastAsia="仿宋_GB2312" w:cs="仿宋_GB2312"/>
          <w:i w:val="0"/>
          <w:caps w:val="0"/>
          <w:color w:val="030303"/>
          <w:spacing w:val="0"/>
          <w:sz w:val="28"/>
          <w:szCs w:val="28"/>
          <w:shd w:val="clear" w:color="auto" w:fill="FFFFFF"/>
          <w:lang w:eastAsia="zh-CN"/>
        </w:rPr>
        <w:t>）</w:t>
      </w:r>
      <w:r>
        <w:rPr>
          <w:rFonts w:hint="eastAsia" w:ascii="仿宋_GB2312" w:hAnsi="仿宋_GB2312" w:eastAsia="仿宋_GB2312" w:cs="仿宋_GB2312"/>
          <w:i w:val="0"/>
          <w:caps w:val="0"/>
          <w:color w:val="030303"/>
          <w:spacing w:val="0"/>
          <w:sz w:val="28"/>
          <w:szCs w:val="28"/>
          <w:shd w:val="clear" w:color="auto" w:fill="FFFFFF"/>
        </w:rPr>
        <w:t>建立健全对</w:t>
      </w:r>
      <w:r>
        <w:rPr>
          <w:rFonts w:hint="eastAsia" w:ascii="仿宋_GB2312" w:hAnsi="仿宋_GB2312" w:eastAsia="仿宋_GB2312" w:cs="仿宋_GB2312"/>
          <w:i w:val="0"/>
          <w:caps w:val="0"/>
          <w:color w:val="030303"/>
          <w:spacing w:val="0"/>
          <w:sz w:val="28"/>
          <w:szCs w:val="28"/>
          <w:shd w:val="clear" w:color="auto" w:fill="FFFFFF"/>
          <w:lang w:eastAsia="zh-CN"/>
        </w:rPr>
        <w:t>原自治区区属国有</w:t>
      </w:r>
      <w:r>
        <w:rPr>
          <w:rStyle w:val="16"/>
          <w:rFonts w:hint="eastAsia" w:ascii="仿宋_GB2312" w:hAnsi="仿宋_GB2312" w:eastAsia="仿宋_GB2312" w:cs="仿宋_GB2312"/>
          <w:b w:val="0"/>
          <w:bCs/>
          <w:spacing w:val="-4"/>
          <w:sz w:val="28"/>
          <w:szCs w:val="28"/>
          <w:lang w:val="en-US" w:eastAsia="zh-CN"/>
        </w:rPr>
        <w:t>破产改制企业退休人员及其遗属</w:t>
      </w:r>
      <w:r>
        <w:rPr>
          <w:rFonts w:hint="eastAsia" w:ascii="仿宋_GB2312" w:hAnsi="仿宋_GB2312" w:eastAsia="仿宋_GB2312" w:cs="仿宋_GB2312"/>
          <w:i w:val="0"/>
          <w:caps w:val="0"/>
          <w:color w:val="030303"/>
          <w:spacing w:val="0"/>
          <w:sz w:val="28"/>
          <w:szCs w:val="28"/>
          <w:shd w:val="clear" w:color="auto" w:fill="FFFFFF"/>
        </w:rPr>
        <w:t>管理、监督机制，提高规范化管理水平和服务质量。</w:t>
      </w:r>
    </w:p>
    <w:p w14:paraId="34F32A7D">
      <w:pPr>
        <w:keepNext w:val="0"/>
        <w:keepLines w:val="0"/>
        <w:pageBreakBefore w:val="0"/>
        <w:kinsoku/>
        <w:wordWrap/>
        <w:overflowPunct/>
        <w:topLinePunct w:val="0"/>
        <w:autoSpaceDE/>
        <w:autoSpaceDN/>
        <w:bidi w:val="0"/>
        <w:adjustRightInd/>
        <w:snapToGrid/>
        <w:spacing w:after="0" w:line="600" w:lineRule="exact"/>
        <w:ind w:right="0" w:rightChars="0"/>
        <w:textAlignment w:val="auto"/>
        <w:outlineLvl w:val="0"/>
        <w:rPr>
          <w:rStyle w:val="16"/>
          <w:rFonts w:hint="eastAsia" w:ascii="仿宋_GB2312" w:hAnsi="仿宋_GB2312" w:eastAsia="仿宋_GB2312" w:cs="仿宋_GB2312"/>
          <w:b w:val="0"/>
          <w:spacing w:val="-4"/>
          <w:sz w:val="32"/>
          <w:szCs w:val="32"/>
          <w:lang w:eastAsia="zh-CN"/>
        </w:rPr>
      </w:pPr>
      <w:bookmarkStart w:id="5" w:name="_Toc30217"/>
      <w:r>
        <w:rPr>
          <w:rStyle w:val="16"/>
          <w:rFonts w:hint="eastAsia" w:ascii="仿宋_GB2312" w:hAnsi="仿宋_GB2312" w:eastAsia="仿宋_GB2312" w:cs="仿宋_GB2312"/>
          <w:b w:val="0"/>
          <w:spacing w:val="-4"/>
          <w:sz w:val="32"/>
          <w:szCs w:val="32"/>
          <w:lang w:eastAsia="zh-CN"/>
        </w:rPr>
        <w:t>二、绩效评价工作开展情况</w:t>
      </w:r>
      <w:bookmarkEnd w:id="5"/>
    </w:p>
    <w:p w14:paraId="323FEB95">
      <w:pPr>
        <w:keepNext w:val="0"/>
        <w:keepLines w:val="0"/>
        <w:pageBreakBefore w:val="0"/>
        <w:widowControl/>
        <w:kinsoku/>
        <w:wordWrap/>
        <w:overflowPunct/>
        <w:topLinePunct w:val="0"/>
        <w:autoSpaceDE/>
        <w:autoSpaceDN/>
        <w:bidi w:val="0"/>
        <w:adjustRightInd/>
        <w:snapToGrid/>
        <w:spacing w:after="0" w:line="600" w:lineRule="exact"/>
        <w:ind w:right="0" w:rightChars="0"/>
        <w:jc w:val="left"/>
        <w:textAlignment w:val="auto"/>
        <w:outlineLvl w:val="9"/>
        <w:rPr>
          <w:rStyle w:val="16"/>
          <w:rFonts w:hint="eastAsia" w:ascii="仿宋_GB2312" w:hAnsi="仿宋_GB2312" w:eastAsia="仿宋_GB2312" w:cs="仿宋_GB2312"/>
          <w:b w:val="0"/>
          <w:bCs/>
          <w:spacing w:val="-4"/>
          <w:sz w:val="28"/>
          <w:szCs w:val="28"/>
        </w:rPr>
      </w:pPr>
      <w:r>
        <w:rPr>
          <w:rStyle w:val="16"/>
          <w:rFonts w:hint="eastAsia" w:ascii="仿宋_GB2312" w:hAnsi="仿宋_GB2312" w:eastAsia="仿宋_GB2312" w:cs="仿宋_GB2312"/>
          <w:b w:val="0"/>
          <w:bCs/>
          <w:spacing w:val="-4"/>
          <w:sz w:val="28"/>
          <w:szCs w:val="28"/>
        </w:rPr>
        <w:t>（一）绩效评价目的</w:t>
      </w:r>
      <w:r>
        <w:rPr>
          <w:rStyle w:val="16"/>
          <w:rFonts w:hint="eastAsia" w:ascii="仿宋_GB2312" w:hAnsi="仿宋_GB2312" w:eastAsia="仿宋_GB2312" w:cs="仿宋_GB2312"/>
          <w:b w:val="0"/>
          <w:bCs/>
          <w:spacing w:val="-4"/>
          <w:sz w:val="28"/>
          <w:szCs w:val="28"/>
          <w:lang w:eastAsia="zh-CN"/>
        </w:rPr>
        <w:t>、对象和范围</w:t>
      </w:r>
      <w:r>
        <w:rPr>
          <w:rStyle w:val="16"/>
          <w:rFonts w:hint="eastAsia" w:ascii="仿宋_GB2312" w:hAnsi="仿宋_GB2312" w:eastAsia="仿宋_GB2312" w:cs="仿宋_GB2312"/>
          <w:b w:val="0"/>
          <w:bCs/>
          <w:spacing w:val="-4"/>
          <w:sz w:val="28"/>
          <w:szCs w:val="28"/>
        </w:rPr>
        <w:t>。</w:t>
      </w:r>
    </w:p>
    <w:p w14:paraId="575C92BE">
      <w:pPr>
        <w:widowControl/>
        <w:spacing w:line="240" w:lineRule="exact"/>
        <w:jc w:val="left"/>
        <w:rPr>
          <w:rStyle w:val="16"/>
          <w:rFonts w:hint="eastAsia" w:ascii="仿宋_GB2312" w:hAnsi="仿宋_GB2312" w:eastAsia="仿宋_GB2312" w:cs="仿宋_GB2312"/>
          <w:b/>
          <w:bCs w:val="0"/>
          <w:spacing w:val="-4"/>
          <w:sz w:val="28"/>
          <w:szCs w:val="28"/>
          <w:lang w:val="en-US" w:eastAsia="zh-CN"/>
        </w:rPr>
      </w:pPr>
      <w:r>
        <w:rPr>
          <w:rStyle w:val="16"/>
          <w:rFonts w:hint="eastAsia" w:ascii="仿宋_GB2312" w:hAnsi="仿宋_GB2312" w:eastAsia="仿宋_GB2312" w:cs="仿宋_GB2312"/>
          <w:b/>
          <w:bCs w:val="0"/>
          <w:spacing w:val="-4"/>
          <w:sz w:val="28"/>
          <w:szCs w:val="28"/>
          <w:lang w:val="en-US" w:eastAsia="zh-CN"/>
        </w:rPr>
        <w:t xml:space="preserve">  </w:t>
      </w:r>
    </w:p>
    <w:p w14:paraId="0369C218">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546" w:firstLineChars="200"/>
        <w:jc w:val="both"/>
        <w:textAlignment w:val="auto"/>
        <w:rPr>
          <w:rStyle w:val="16"/>
          <w:rFonts w:hint="eastAsia" w:ascii="仿宋_GB2312" w:hAnsi="仿宋_GB2312" w:eastAsia="仿宋_GB2312" w:cs="仿宋_GB2312"/>
          <w:b w:val="0"/>
          <w:bCs/>
          <w:spacing w:val="-4"/>
          <w:sz w:val="28"/>
          <w:szCs w:val="28"/>
        </w:rPr>
      </w:pPr>
      <w:r>
        <w:rPr>
          <w:rStyle w:val="16"/>
          <w:rFonts w:hint="eastAsia" w:ascii="仿宋_GB2312" w:hAnsi="仿宋_GB2312" w:eastAsia="仿宋_GB2312" w:cs="仿宋_GB2312"/>
          <w:b/>
          <w:bCs w:val="0"/>
          <w:spacing w:val="-4"/>
          <w:sz w:val="28"/>
          <w:szCs w:val="28"/>
          <w:lang w:eastAsia="zh-CN"/>
        </w:rPr>
        <w:t>绩效评价目的：</w:t>
      </w:r>
      <w:r>
        <w:rPr>
          <w:rFonts w:hint="eastAsia" w:ascii="仿宋_GB2312" w:hAnsi="仿宋_GB2312" w:eastAsia="仿宋_GB2312" w:cs="仿宋_GB2312"/>
          <w:b w:val="0"/>
          <w:bCs w:val="0"/>
          <w:sz w:val="28"/>
          <w:szCs w:val="28"/>
          <w:lang w:val="en-US" w:eastAsia="zh-CN"/>
        </w:rPr>
        <w:t>本次评价目的是客观反映破产企业皮革公司、盐湖化工厂职教幼教退休职工</w:t>
      </w:r>
      <w:r>
        <w:rPr>
          <w:rStyle w:val="16"/>
          <w:rFonts w:hint="eastAsia" w:ascii="仿宋_GB2312" w:hAnsi="仿宋_GB2312" w:eastAsia="仿宋_GB2312" w:cs="仿宋_GB2312"/>
          <w:b w:val="0"/>
          <w:bCs/>
          <w:spacing w:val="-4"/>
          <w:sz w:val="28"/>
          <w:szCs w:val="28"/>
          <w:lang w:val="en-US" w:eastAsia="zh-CN"/>
        </w:rPr>
        <w:t>资金</w:t>
      </w:r>
      <w:r>
        <w:rPr>
          <w:rStyle w:val="16"/>
          <w:rFonts w:hint="eastAsia" w:ascii="仿宋_GB2312" w:hAnsi="仿宋_GB2312" w:eastAsia="仿宋_GB2312" w:cs="仿宋_GB2312"/>
          <w:b w:val="0"/>
          <w:bCs/>
          <w:spacing w:val="-4"/>
          <w:sz w:val="28"/>
          <w:szCs w:val="28"/>
          <w:lang w:eastAsia="zh-CN"/>
        </w:rPr>
        <w:t>项目的</w:t>
      </w:r>
      <w:r>
        <w:rPr>
          <w:rStyle w:val="16"/>
          <w:rFonts w:hint="eastAsia" w:ascii="仿宋_GB2312" w:hAnsi="仿宋_GB2312" w:eastAsia="仿宋_GB2312" w:cs="仿宋_GB2312"/>
          <w:b w:val="0"/>
          <w:bCs/>
          <w:spacing w:val="-4"/>
          <w:sz w:val="28"/>
          <w:szCs w:val="28"/>
          <w:lang w:val="en-US" w:eastAsia="zh-CN"/>
        </w:rPr>
        <w:t>管理情况、项目完成情况、职工满意度、取得的成绩，进而分析在政策制定、预算资金安排、</w:t>
      </w:r>
      <w:r>
        <w:rPr>
          <w:rStyle w:val="16"/>
          <w:rFonts w:hint="eastAsia" w:ascii="仿宋_GB2312" w:hAnsi="仿宋_GB2312" w:eastAsia="仿宋_GB2312" w:cs="仿宋_GB2312"/>
          <w:b w:val="0"/>
          <w:bCs/>
          <w:spacing w:val="-4"/>
          <w:sz w:val="28"/>
          <w:szCs w:val="28"/>
          <w:lang w:eastAsia="zh-CN"/>
        </w:rPr>
        <w:t>项目</w:t>
      </w:r>
      <w:r>
        <w:rPr>
          <w:rStyle w:val="16"/>
          <w:rFonts w:hint="eastAsia" w:ascii="仿宋_GB2312" w:hAnsi="仿宋_GB2312" w:eastAsia="仿宋_GB2312" w:cs="仿宋_GB2312"/>
          <w:b w:val="0"/>
          <w:bCs/>
          <w:spacing w:val="-4"/>
          <w:sz w:val="28"/>
          <w:szCs w:val="28"/>
          <w:lang w:val="en-US" w:eastAsia="zh-CN"/>
        </w:rPr>
        <w:t>管理等方面</w:t>
      </w:r>
      <w:r>
        <w:rPr>
          <w:rFonts w:hint="eastAsia" w:ascii="仿宋_GB2312" w:hAnsi="仿宋_GB2312" w:eastAsia="仿宋_GB2312" w:cs="仿宋_GB2312"/>
          <w:b w:val="0"/>
          <w:bCs w:val="0"/>
          <w:sz w:val="28"/>
          <w:szCs w:val="28"/>
          <w:lang w:val="en-US" w:eastAsia="zh-CN"/>
        </w:rPr>
        <w:t>存在的问题并提出针对性建议。</w:t>
      </w:r>
    </w:p>
    <w:p w14:paraId="6FCF9E5A">
      <w:pPr>
        <w:keepNext w:val="0"/>
        <w:keepLines w:val="0"/>
        <w:pageBreakBefore w:val="0"/>
        <w:widowControl w:val="0"/>
        <w:kinsoku/>
        <w:wordWrap/>
        <w:overflowPunct/>
        <w:topLinePunct w:val="0"/>
        <w:autoSpaceDE/>
        <w:autoSpaceDN/>
        <w:bidi w:val="0"/>
        <w:adjustRightInd/>
        <w:snapToGrid/>
        <w:spacing w:line="480" w:lineRule="auto"/>
        <w:ind w:firstLine="273" w:firstLineChars="100"/>
        <w:jc w:val="both"/>
        <w:textAlignment w:val="auto"/>
        <w:rPr>
          <w:rFonts w:hint="eastAsia" w:ascii="仿宋_GB2312" w:hAnsi="仿宋_GB2312" w:eastAsia="仿宋_GB2312" w:cs="仿宋_GB2312"/>
          <w:kern w:val="0"/>
          <w:sz w:val="28"/>
          <w:szCs w:val="28"/>
          <w:lang w:val="en-US" w:eastAsia="zh-CN"/>
        </w:rPr>
      </w:pPr>
      <w:r>
        <w:rPr>
          <w:rStyle w:val="16"/>
          <w:rFonts w:hint="eastAsia" w:ascii="仿宋_GB2312" w:hAnsi="仿宋_GB2312" w:eastAsia="仿宋_GB2312" w:cs="仿宋_GB2312"/>
          <w:b/>
          <w:bCs w:val="0"/>
          <w:spacing w:val="-4"/>
          <w:sz w:val="28"/>
          <w:szCs w:val="28"/>
          <w:lang w:eastAsia="zh-CN"/>
        </w:rPr>
        <w:t>绩效评价对象：</w:t>
      </w:r>
      <w:r>
        <w:rPr>
          <w:rFonts w:hint="eastAsia" w:ascii="仿宋_GB2312" w:hAnsi="仿宋_GB2312" w:eastAsia="仿宋_GB2312" w:cs="仿宋_GB2312"/>
          <w:kern w:val="0"/>
          <w:sz w:val="28"/>
          <w:szCs w:val="28"/>
          <w:lang w:val="en-US" w:eastAsia="zh-CN"/>
        </w:rPr>
        <w:t>原破产企业职工暖气费生活补助及养老保险金</w:t>
      </w:r>
    </w:p>
    <w:p w14:paraId="7ABEB261">
      <w:pPr>
        <w:keepNext w:val="0"/>
        <w:keepLines w:val="0"/>
        <w:pageBreakBefore w:val="0"/>
        <w:widowControl w:val="0"/>
        <w:kinsoku/>
        <w:wordWrap/>
        <w:overflowPunct/>
        <w:topLinePunct w:val="0"/>
        <w:autoSpaceDE/>
        <w:autoSpaceDN/>
        <w:bidi w:val="0"/>
        <w:adjustRightInd/>
        <w:snapToGrid/>
        <w:spacing w:line="480" w:lineRule="auto"/>
        <w:ind w:firstLine="273" w:firstLineChars="100"/>
        <w:jc w:val="both"/>
        <w:textAlignment w:val="auto"/>
        <w:rPr>
          <w:rFonts w:hint="eastAsia" w:ascii="仿宋_GB2312" w:hAnsi="仿宋_GB2312" w:eastAsia="仿宋_GB2312" w:cs="仿宋_GB2312"/>
          <w:i w:val="0"/>
          <w:caps w:val="0"/>
          <w:color w:val="030303"/>
          <w:spacing w:val="0"/>
          <w:sz w:val="28"/>
          <w:szCs w:val="28"/>
          <w:shd w:val="clear" w:color="auto" w:fill="FFFFFF"/>
          <w:lang w:eastAsia="zh-CN"/>
        </w:rPr>
      </w:pPr>
      <w:r>
        <w:rPr>
          <w:rStyle w:val="16"/>
          <w:rFonts w:hint="eastAsia" w:ascii="仿宋_GB2312" w:hAnsi="仿宋_GB2312" w:eastAsia="仿宋_GB2312" w:cs="仿宋_GB2312"/>
          <w:b/>
          <w:bCs w:val="0"/>
          <w:spacing w:val="-4"/>
          <w:sz w:val="28"/>
          <w:szCs w:val="28"/>
          <w:lang w:eastAsia="zh-CN"/>
        </w:rPr>
        <w:t>绩效评价范围：</w:t>
      </w:r>
      <w:r>
        <w:rPr>
          <w:rStyle w:val="16"/>
          <w:rFonts w:hint="eastAsia" w:ascii="仿宋_GB2312" w:hAnsi="仿宋_GB2312" w:eastAsia="仿宋_GB2312" w:cs="仿宋_GB2312"/>
          <w:b w:val="0"/>
          <w:bCs/>
          <w:spacing w:val="-4"/>
          <w:sz w:val="28"/>
          <w:szCs w:val="28"/>
          <w:lang w:eastAsia="zh-CN"/>
        </w:rPr>
        <w:t>《</w:t>
      </w:r>
      <w:r>
        <w:rPr>
          <w:rFonts w:hint="eastAsia" w:ascii="仿宋_GB2312" w:hAnsi="仿宋_GB2312" w:eastAsia="仿宋_GB2312" w:cs="仿宋_GB2312"/>
          <w:kern w:val="0"/>
          <w:sz w:val="28"/>
          <w:szCs w:val="28"/>
          <w:lang w:val="en-US" w:eastAsia="zh-CN"/>
        </w:rPr>
        <w:t>原破产企业职工暖气费生活补助及养老保险金》</w:t>
      </w:r>
      <w:r>
        <w:rPr>
          <w:rFonts w:hint="eastAsia" w:ascii="仿宋_GB2312" w:hAnsi="仿宋_GB2312" w:eastAsia="仿宋_GB2312" w:cs="仿宋_GB2312"/>
          <w:i w:val="0"/>
          <w:caps w:val="0"/>
          <w:color w:val="030303"/>
          <w:spacing w:val="0"/>
          <w:sz w:val="28"/>
          <w:szCs w:val="28"/>
          <w:shd w:val="clear" w:color="auto" w:fill="FFFFFF"/>
          <w:lang w:eastAsia="zh-CN"/>
        </w:rPr>
        <w:t>项目决策（包括绩效目标、决策过程）、项目管理（包括项目资金、项目实施）、项目产出（包括项目产出数量、产出质量、产出时效和产出成本）项目效益四个维度进行评价，评价核心为专项资金的支出完成情况和效果。</w:t>
      </w:r>
    </w:p>
    <w:p w14:paraId="6210148C">
      <w:pPr>
        <w:keepNext w:val="0"/>
        <w:keepLines w:val="0"/>
        <w:pageBreakBefore w:val="0"/>
        <w:widowControl/>
        <w:numPr>
          <w:ilvl w:val="0"/>
          <w:numId w:val="1"/>
        </w:numPr>
        <w:kinsoku/>
        <w:wordWrap/>
        <w:overflowPunct/>
        <w:topLinePunct w:val="0"/>
        <w:autoSpaceDE/>
        <w:autoSpaceDN/>
        <w:bidi w:val="0"/>
        <w:adjustRightInd/>
        <w:snapToGrid/>
        <w:spacing w:after="0" w:line="600" w:lineRule="exact"/>
        <w:ind w:left="0" w:leftChars="0" w:right="0" w:rightChars="0" w:firstLine="272" w:firstLineChars="100"/>
        <w:jc w:val="left"/>
        <w:textAlignment w:val="auto"/>
        <w:outlineLvl w:val="9"/>
        <w:rPr>
          <w:rStyle w:val="16"/>
          <w:rFonts w:hint="eastAsia" w:ascii="仿宋_GB2312" w:hAnsi="仿宋_GB2312" w:eastAsia="仿宋_GB2312" w:cs="仿宋_GB2312"/>
          <w:b w:val="0"/>
          <w:bCs/>
          <w:spacing w:val="-4"/>
          <w:sz w:val="28"/>
          <w:szCs w:val="28"/>
        </w:rPr>
      </w:pPr>
      <w:r>
        <w:rPr>
          <w:rStyle w:val="16"/>
          <w:rFonts w:hint="eastAsia" w:ascii="仿宋_GB2312" w:hAnsi="仿宋_GB2312" w:eastAsia="仿宋_GB2312" w:cs="仿宋_GB2312"/>
          <w:b w:val="0"/>
          <w:bCs/>
          <w:spacing w:val="-4"/>
          <w:sz w:val="28"/>
          <w:szCs w:val="28"/>
        </w:rPr>
        <w:t>绩效评价原则、评价指标体系、评价方法。</w:t>
      </w:r>
    </w:p>
    <w:p w14:paraId="599C1F65">
      <w:pPr>
        <w:keepNext w:val="0"/>
        <w:keepLines w:val="0"/>
        <w:pageBreakBefore w:val="0"/>
        <w:numPr>
          <w:ilvl w:val="0"/>
          <w:numId w:val="0"/>
        </w:numPr>
        <w:kinsoku/>
        <w:wordWrap/>
        <w:overflowPunct/>
        <w:topLinePunct w:val="0"/>
        <w:autoSpaceDE/>
        <w:autoSpaceDN/>
        <w:bidi w:val="0"/>
        <w:adjustRightInd/>
        <w:snapToGrid/>
        <w:spacing w:line="540" w:lineRule="exact"/>
        <w:ind w:firstLine="546" w:firstLineChars="200"/>
        <w:jc w:val="both"/>
        <w:textAlignment w:val="auto"/>
        <w:rPr>
          <w:rStyle w:val="16"/>
          <w:rFonts w:hint="eastAsia" w:ascii="仿宋_GB2312" w:hAnsi="仿宋_GB2312" w:eastAsia="仿宋_GB2312" w:cs="仿宋_GB2312"/>
          <w:b/>
          <w:bCs w:val="0"/>
          <w:spacing w:val="-4"/>
          <w:sz w:val="28"/>
          <w:szCs w:val="28"/>
        </w:rPr>
      </w:pPr>
      <w:r>
        <w:rPr>
          <w:rStyle w:val="16"/>
          <w:rFonts w:hint="eastAsia" w:ascii="仿宋_GB2312" w:hAnsi="仿宋_GB2312" w:eastAsia="仿宋_GB2312" w:cs="仿宋_GB2312"/>
          <w:b/>
          <w:bCs w:val="0"/>
          <w:spacing w:val="-4"/>
          <w:sz w:val="28"/>
          <w:szCs w:val="28"/>
          <w:lang w:val="en-US" w:eastAsia="zh-CN"/>
        </w:rPr>
        <w:t>1、</w:t>
      </w:r>
      <w:r>
        <w:rPr>
          <w:rStyle w:val="16"/>
          <w:rFonts w:hint="eastAsia" w:ascii="仿宋_GB2312" w:hAnsi="仿宋_GB2312" w:eastAsia="仿宋_GB2312" w:cs="仿宋_GB2312"/>
          <w:b/>
          <w:bCs w:val="0"/>
          <w:spacing w:val="-4"/>
          <w:sz w:val="28"/>
          <w:szCs w:val="28"/>
        </w:rPr>
        <w:t>绩效评价原则</w:t>
      </w:r>
    </w:p>
    <w:p w14:paraId="3C2C74BA">
      <w:pPr>
        <w:keepNext w:val="0"/>
        <w:keepLines w:val="0"/>
        <w:pageBreakBefore w:val="0"/>
        <w:kinsoku/>
        <w:wordWrap/>
        <w:overflowPunct/>
        <w:topLinePunct w:val="0"/>
        <w:autoSpaceDE/>
        <w:autoSpaceDN/>
        <w:bidi w:val="0"/>
        <w:adjustRightInd/>
        <w:snapToGrid/>
        <w:spacing w:after="0" w:line="540" w:lineRule="exact"/>
        <w:ind w:left="0" w:leftChars="0" w:right="0" w:rightChars="0" w:firstLine="640"/>
        <w:textAlignment w:val="auto"/>
        <w:outlineLvl w:val="9"/>
        <w:rPr>
          <w:rFonts w:hint="eastAsia" w:ascii="仿宋_GB2312" w:hAnsi="仿宋_GB2312" w:eastAsia="仿宋_GB2312" w:cs="仿宋_GB2312"/>
          <w:i w:val="0"/>
          <w:caps w:val="0"/>
          <w:color w:val="030303"/>
          <w:spacing w:val="0"/>
          <w:sz w:val="28"/>
          <w:szCs w:val="28"/>
          <w:shd w:val="clear" w:color="auto" w:fill="FFFFFF"/>
          <w:lang w:val="en-US" w:eastAsia="zh-CN"/>
        </w:rPr>
      </w:pPr>
      <w:r>
        <w:rPr>
          <w:rFonts w:hint="eastAsia" w:ascii="仿宋_GB2312" w:hAnsi="仿宋_GB2312" w:eastAsia="仿宋_GB2312" w:cs="仿宋_GB2312"/>
          <w:i w:val="0"/>
          <w:caps w:val="0"/>
          <w:color w:val="030303"/>
          <w:spacing w:val="0"/>
          <w:sz w:val="28"/>
          <w:szCs w:val="28"/>
          <w:shd w:val="clear" w:color="auto" w:fill="FFFFFF"/>
          <w:lang w:val="en-US" w:eastAsia="zh-CN"/>
        </w:rPr>
        <w:t>（一）科学公正。绩效评价应当运用科学合理的方法，按照规范的程序，对项目绩效进行客观、公正的反映。</w:t>
      </w:r>
    </w:p>
    <w:p w14:paraId="798EE7D6">
      <w:pPr>
        <w:keepNext w:val="0"/>
        <w:keepLines w:val="0"/>
        <w:pageBreakBefore w:val="0"/>
        <w:kinsoku/>
        <w:wordWrap/>
        <w:overflowPunct/>
        <w:topLinePunct w:val="0"/>
        <w:autoSpaceDE/>
        <w:autoSpaceDN/>
        <w:bidi w:val="0"/>
        <w:adjustRightInd/>
        <w:snapToGrid/>
        <w:spacing w:after="0" w:line="540" w:lineRule="exact"/>
        <w:ind w:left="0" w:leftChars="0" w:right="0" w:rightChars="0" w:firstLine="640"/>
        <w:textAlignment w:val="auto"/>
        <w:outlineLvl w:val="9"/>
        <w:rPr>
          <w:rFonts w:hint="eastAsia" w:ascii="仿宋_GB2312" w:hAnsi="仿宋_GB2312" w:eastAsia="仿宋_GB2312" w:cs="仿宋_GB2312"/>
          <w:i w:val="0"/>
          <w:caps w:val="0"/>
          <w:color w:val="030303"/>
          <w:spacing w:val="0"/>
          <w:sz w:val="28"/>
          <w:szCs w:val="28"/>
          <w:shd w:val="clear" w:color="auto" w:fill="FFFFFF"/>
          <w:lang w:val="en-US" w:eastAsia="zh-CN"/>
        </w:rPr>
      </w:pPr>
      <w:r>
        <w:rPr>
          <w:rFonts w:hint="eastAsia" w:ascii="仿宋_GB2312" w:hAnsi="仿宋_GB2312" w:eastAsia="仿宋_GB2312" w:cs="仿宋_GB2312"/>
          <w:i w:val="0"/>
          <w:caps w:val="0"/>
          <w:color w:val="030303"/>
          <w:spacing w:val="0"/>
          <w:sz w:val="28"/>
          <w:szCs w:val="28"/>
          <w:shd w:val="clear" w:color="auto" w:fill="FFFFFF"/>
          <w:lang w:val="en-US" w:eastAsia="zh-CN"/>
        </w:rPr>
        <w:t>（二）统筹兼顾。单位自评、部门评价和财政评价应职责明确，各有侧重，相互衔接。单位自评应由项目单位自主实施，即“谁支出、谁自评”。部门评价和财政评价应在单位自评的基础上开展，必要时可委托第三方机构实施。</w:t>
      </w:r>
    </w:p>
    <w:p w14:paraId="32338504">
      <w:pPr>
        <w:keepNext w:val="0"/>
        <w:keepLines w:val="0"/>
        <w:pageBreakBefore w:val="0"/>
        <w:kinsoku/>
        <w:wordWrap/>
        <w:overflowPunct/>
        <w:topLinePunct w:val="0"/>
        <w:autoSpaceDE/>
        <w:autoSpaceDN/>
        <w:bidi w:val="0"/>
        <w:adjustRightInd/>
        <w:snapToGrid/>
        <w:spacing w:after="0" w:line="540" w:lineRule="exact"/>
        <w:ind w:left="0" w:leftChars="0" w:right="0" w:rightChars="0" w:firstLine="640"/>
        <w:textAlignment w:val="auto"/>
        <w:outlineLvl w:val="9"/>
        <w:rPr>
          <w:rFonts w:hint="eastAsia" w:ascii="仿宋_GB2312" w:hAnsi="仿宋_GB2312" w:eastAsia="仿宋_GB2312" w:cs="仿宋_GB2312"/>
          <w:i w:val="0"/>
          <w:caps w:val="0"/>
          <w:color w:val="030303"/>
          <w:spacing w:val="0"/>
          <w:sz w:val="28"/>
          <w:szCs w:val="28"/>
          <w:shd w:val="clear" w:color="auto" w:fill="FFFFFF"/>
          <w:lang w:val="en-US" w:eastAsia="zh-CN"/>
        </w:rPr>
      </w:pPr>
      <w:r>
        <w:rPr>
          <w:rFonts w:hint="eastAsia" w:ascii="仿宋_GB2312" w:hAnsi="仿宋_GB2312" w:eastAsia="仿宋_GB2312" w:cs="仿宋_GB2312"/>
          <w:i w:val="0"/>
          <w:caps w:val="0"/>
          <w:color w:val="030303"/>
          <w:spacing w:val="0"/>
          <w:sz w:val="28"/>
          <w:szCs w:val="28"/>
          <w:shd w:val="clear" w:color="auto" w:fill="FFFFFF"/>
          <w:lang w:val="en-US" w:eastAsia="zh-CN"/>
        </w:rPr>
        <w:t>（三）激励约束。绩效评价结果应与预算安排、政策调整、改进管理实质性挂钩，体现奖优罚劣和激励相容导向，有效要安排、低效要压减、无效要问责。</w:t>
      </w:r>
    </w:p>
    <w:p w14:paraId="79C71DD1">
      <w:pPr>
        <w:keepNext w:val="0"/>
        <w:keepLines w:val="0"/>
        <w:pageBreakBefore w:val="0"/>
        <w:kinsoku/>
        <w:wordWrap/>
        <w:overflowPunct/>
        <w:topLinePunct w:val="0"/>
        <w:autoSpaceDE/>
        <w:autoSpaceDN/>
        <w:bidi w:val="0"/>
        <w:adjustRightInd/>
        <w:snapToGrid/>
        <w:spacing w:after="0" w:line="540" w:lineRule="exact"/>
        <w:ind w:left="0" w:leftChars="0" w:right="0" w:rightChars="0" w:firstLine="640"/>
        <w:textAlignment w:val="auto"/>
        <w:outlineLvl w:val="9"/>
        <w:rPr>
          <w:rFonts w:hint="eastAsia" w:ascii="仿宋_GB2312" w:hAnsi="仿宋_GB2312" w:eastAsia="仿宋_GB2312" w:cs="仿宋_GB2312"/>
          <w:i w:val="0"/>
          <w:caps w:val="0"/>
          <w:color w:val="030303"/>
          <w:spacing w:val="0"/>
          <w:sz w:val="28"/>
          <w:szCs w:val="28"/>
          <w:shd w:val="clear" w:color="auto" w:fill="FFFFFF"/>
          <w:lang w:val="en-US" w:eastAsia="zh-CN"/>
        </w:rPr>
      </w:pPr>
      <w:r>
        <w:rPr>
          <w:rFonts w:hint="eastAsia" w:ascii="仿宋_GB2312" w:hAnsi="仿宋_GB2312" w:eastAsia="仿宋_GB2312" w:cs="仿宋_GB2312"/>
          <w:i w:val="0"/>
          <w:caps w:val="0"/>
          <w:color w:val="030303"/>
          <w:spacing w:val="0"/>
          <w:sz w:val="28"/>
          <w:szCs w:val="28"/>
          <w:shd w:val="clear" w:color="auto" w:fill="FFFFFF"/>
          <w:lang w:val="en-US" w:eastAsia="zh-CN"/>
        </w:rPr>
        <w:t>（四）公开透明。绩效评价结果应依法依规公开，并自觉接受社会监督。</w:t>
      </w:r>
    </w:p>
    <w:p w14:paraId="618AA011">
      <w:pPr>
        <w:keepNext w:val="0"/>
        <w:keepLines w:val="0"/>
        <w:pageBreakBefore w:val="0"/>
        <w:widowControl/>
        <w:kinsoku/>
        <w:wordWrap/>
        <w:overflowPunct/>
        <w:topLinePunct w:val="0"/>
        <w:autoSpaceDE/>
        <w:autoSpaceDN/>
        <w:bidi w:val="0"/>
        <w:adjustRightInd/>
        <w:snapToGrid/>
        <w:spacing w:after="0" w:line="540" w:lineRule="exact"/>
        <w:ind w:left="0" w:leftChars="0" w:right="0" w:rightChars="0" w:firstLine="627" w:firstLineChars="200"/>
        <w:jc w:val="left"/>
        <w:textAlignment w:val="auto"/>
        <w:outlineLvl w:val="9"/>
        <w:rPr>
          <w:rStyle w:val="16"/>
          <w:rFonts w:hint="eastAsia" w:ascii="仿宋_GB2312" w:hAnsi="仿宋_GB2312" w:eastAsia="仿宋_GB2312" w:cs="仿宋_GB2312"/>
          <w:b/>
          <w:bCs w:val="0"/>
          <w:spacing w:val="-4"/>
          <w:sz w:val="32"/>
          <w:szCs w:val="32"/>
          <w:lang w:eastAsia="zh-CN"/>
        </w:rPr>
      </w:pPr>
      <w:r>
        <w:rPr>
          <w:rStyle w:val="16"/>
          <w:rFonts w:hint="eastAsia" w:ascii="仿宋_GB2312" w:hAnsi="仿宋_GB2312" w:eastAsia="仿宋_GB2312" w:cs="仿宋_GB2312"/>
          <w:b/>
          <w:bCs w:val="0"/>
          <w:spacing w:val="-4"/>
          <w:sz w:val="32"/>
          <w:szCs w:val="32"/>
          <w:lang w:val="en-US" w:eastAsia="zh-CN"/>
        </w:rPr>
        <w:t>2、</w:t>
      </w:r>
      <w:r>
        <w:rPr>
          <w:rStyle w:val="16"/>
          <w:rFonts w:hint="eastAsia" w:ascii="仿宋_GB2312" w:hAnsi="仿宋_GB2312" w:eastAsia="仿宋_GB2312" w:cs="仿宋_GB2312"/>
          <w:b/>
          <w:bCs w:val="0"/>
          <w:spacing w:val="-4"/>
          <w:sz w:val="32"/>
          <w:szCs w:val="32"/>
        </w:rPr>
        <w:t>评价指标体系（附表说明）</w:t>
      </w:r>
    </w:p>
    <w:p w14:paraId="1D1C5535">
      <w:pPr>
        <w:keepNext w:val="0"/>
        <w:keepLines w:val="0"/>
        <w:pageBreakBefore w:val="0"/>
        <w:kinsoku/>
        <w:wordWrap/>
        <w:overflowPunct/>
        <w:topLinePunct w:val="0"/>
        <w:autoSpaceDE/>
        <w:autoSpaceDN/>
        <w:bidi w:val="0"/>
        <w:adjustRightInd/>
        <w:spacing w:line="560" w:lineRule="exact"/>
        <w:ind w:firstLine="640"/>
        <w:rPr>
          <w:rStyle w:val="16"/>
          <w:rFonts w:hint="eastAsia" w:ascii="仿宋_GB2312" w:hAnsi="仿宋_GB2312" w:eastAsia="仿宋_GB2312" w:cs="仿宋_GB2312"/>
          <w:b/>
          <w:bCs w:val="0"/>
          <w:spacing w:val="-4"/>
          <w:sz w:val="32"/>
          <w:szCs w:val="32"/>
        </w:rPr>
        <w:sectPr>
          <w:footerReference r:id="rId5" w:type="default"/>
          <w:pgSz w:w="11906" w:h="16838"/>
          <w:pgMar w:top="1587" w:right="1984" w:bottom="1361" w:left="2041" w:header="851" w:footer="992" w:gutter="0"/>
          <w:pgBorders>
            <w:top w:val="none" w:sz="0" w:space="0"/>
            <w:left w:val="none" w:sz="0" w:space="0"/>
            <w:bottom w:val="none" w:sz="0" w:space="0"/>
            <w:right w:val="none" w:sz="0" w:space="0"/>
          </w:pgBorders>
          <w:pgNumType w:fmt="decimal" w:start="1"/>
          <w:cols w:space="720" w:num="1"/>
          <w:docGrid w:type="lines" w:linePitch="312" w:charSpace="0"/>
        </w:sectPr>
      </w:pPr>
    </w:p>
    <w:p w14:paraId="69E81D23">
      <w:pPr>
        <w:ind w:firstLine="5060" w:firstLineChars="1800"/>
        <w:jc w:val="both"/>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项目支出绩效评价指标体系框架</w:t>
      </w:r>
    </w:p>
    <w:p w14:paraId="08150456">
      <w:pPr>
        <w:pStyle w:val="5"/>
        <w:spacing w:before="0" w:after="0" w:line="240" w:lineRule="auto"/>
        <w:jc w:val="center"/>
        <w:outlineLvl w:val="9"/>
        <w:rPr>
          <w:rFonts w:hint="eastAsia" w:ascii="新宋体" w:hAnsi="新宋体" w:eastAsia="新宋体" w:cs="新宋体"/>
          <w:bCs w:val="0"/>
          <w:color w:val="000000"/>
        </w:rPr>
      </w:pPr>
    </w:p>
    <w:tbl>
      <w:tblPr>
        <w:tblStyle w:val="1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207"/>
        <w:gridCol w:w="1013"/>
        <w:gridCol w:w="1112"/>
        <w:gridCol w:w="2850"/>
        <w:gridCol w:w="4743"/>
        <w:gridCol w:w="699"/>
        <w:gridCol w:w="699"/>
      </w:tblGrid>
      <w:tr w14:paraId="29675B0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1207" w:type="dxa"/>
            <w:shd w:val="clear" w:color="auto" w:fill="FFFFFF"/>
            <w:noWrap w:val="0"/>
            <w:vAlign w:val="center"/>
          </w:tcPr>
          <w:p w14:paraId="603F254A">
            <w:pPr>
              <w:widowControl/>
              <w:spacing w:line="0" w:lineRule="atLeast"/>
              <w:jc w:val="center"/>
              <w:rPr>
                <w:rFonts w:hint="eastAsia" w:ascii="黑体" w:hAnsi="黑体" w:eastAsia="黑体" w:cs="黑体"/>
                <w:b/>
                <w:bCs/>
                <w:color w:val="000000"/>
                <w:kern w:val="0"/>
                <w:sz w:val="21"/>
                <w:szCs w:val="21"/>
              </w:rPr>
            </w:pPr>
            <w:r>
              <w:rPr>
                <w:rFonts w:hint="eastAsia" w:ascii="黑体" w:hAnsi="黑体" w:eastAsia="黑体" w:cs="黑体"/>
                <w:b/>
                <w:bCs/>
                <w:color w:val="000000"/>
                <w:kern w:val="0"/>
                <w:sz w:val="21"/>
                <w:szCs w:val="21"/>
              </w:rPr>
              <w:t>一级指标</w:t>
            </w:r>
          </w:p>
        </w:tc>
        <w:tc>
          <w:tcPr>
            <w:tcW w:w="1013" w:type="dxa"/>
            <w:shd w:val="clear" w:color="auto" w:fill="FFFFFF"/>
            <w:noWrap w:val="0"/>
            <w:vAlign w:val="center"/>
          </w:tcPr>
          <w:p w14:paraId="391B0CA7">
            <w:pPr>
              <w:widowControl/>
              <w:spacing w:line="0" w:lineRule="atLeast"/>
              <w:jc w:val="center"/>
              <w:rPr>
                <w:rFonts w:hint="eastAsia" w:ascii="黑体" w:hAnsi="黑体" w:eastAsia="黑体" w:cs="黑体"/>
                <w:b/>
                <w:bCs/>
                <w:color w:val="000000"/>
                <w:kern w:val="0"/>
                <w:sz w:val="21"/>
                <w:szCs w:val="21"/>
              </w:rPr>
            </w:pPr>
            <w:r>
              <w:rPr>
                <w:rFonts w:hint="eastAsia" w:ascii="黑体" w:hAnsi="黑体" w:eastAsia="黑体" w:cs="黑体"/>
                <w:b/>
                <w:bCs/>
                <w:color w:val="000000"/>
                <w:kern w:val="0"/>
                <w:sz w:val="21"/>
                <w:szCs w:val="21"/>
              </w:rPr>
              <w:t>二级指标</w:t>
            </w:r>
          </w:p>
        </w:tc>
        <w:tc>
          <w:tcPr>
            <w:tcW w:w="1112" w:type="dxa"/>
            <w:shd w:val="clear" w:color="auto" w:fill="FFFFFF"/>
            <w:noWrap w:val="0"/>
            <w:vAlign w:val="center"/>
          </w:tcPr>
          <w:p w14:paraId="720E9896">
            <w:pPr>
              <w:rPr>
                <w:rFonts w:hint="eastAsia" w:ascii="黑体" w:hAnsi="黑体" w:eastAsia="黑体" w:cs="黑体"/>
              </w:rPr>
            </w:pPr>
            <w:r>
              <w:rPr>
                <w:rFonts w:hint="eastAsia" w:ascii="黑体" w:hAnsi="黑体" w:eastAsia="黑体" w:cs="黑体"/>
              </w:rPr>
              <w:t>三级指标</w:t>
            </w:r>
          </w:p>
        </w:tc>
        <w:tc>
          <w:tcPr>
            <w:tcW w:w="2850" w:type="dxa"/>
            <w:shd w:val="clear" w:color="auto" w:fill="FFFFFF"/>
            <w:noWrap w:val="0"/>
            <w:vAlign w:val="center"/>
          </w:tcPr>
          <w:p w14:paraId="1AC99AA8">
            <w:pPr>
              <w:widowControl/>
              <w:spacing w:line="0" w:lineRule="atLeast"/>
              <w:jc w:val="center"/>
              <w:rPr>
                <w:rFonts w:hint="eastAsia" w:ascii="黑体" w:hAnsi="黑体" w:eastAsia="黑体" w:cs="黑体"/>
                <w:b/>
                <w:bCs/>
                <w:color w:val="000000"/>
                <w:kern w:val="0"/>
                <w:sz w:val="21"/>
                <w:szCs w:val="21"/>
              </w:rPr>
            </w:pPr>
            <w:r>
              <w:rPr>
                <w:rFonts w:hint="eastAsia" w:ascii="黑体" w:hAnsi="黑体" w:eastAsia="黑体" w:cs="黑体"/>
                <w:b/>
                <w:bCs/>
                <w:color w:val="000000"/>
                <w:kern w:val="0"/>
                <w:sz w:val="21"/>
                <w:szCs w:val="21"/>
              </w:rPr>
              <w:t>指标解释</w:t>
            </w:r>
          </w:p>
        </w:tc>
        <w:tc>
          <w:tcPr>
            <w:tcW w:w="4743" w:type="dxa"/>
            <w:shd w:val="clear" w:color="auto" w:fill="FFFFFF"/>
            <w:noWrap w:val="0"/>
            <w:vAlign w:val="center"/>
          </w:tcPr>
          <w:p w14:paraId="6FD3338D">
            <w:pPr>
              <w:widowControl/>
              <w:spacing w:line="0" w:lineRule="atLeast"/>
              <w:jc w:val="center"/>
              <w:rPr>
                <w:rFonts w:hint="eastAsia" w:ascii="黑体" w:hAnsi="黑体" w:eastAsia="黑体" w:cs="黑体"/>
                <w:b/>
                <w:bCs/>
                <w:color w:val="000000"/>
                <w:kern w:val="0"/>
                <w:sz w:val="21"/>
                <w:szCs w:val="21"/>
              </w:rPr>
            </w:pPr>
            <w:r>
              <w:rPr>
                <w:rFonts w:hint="eastAsia" w:ascii="黑体" w:hAnsi="黑体" w:eastAsia="黑体" w:cs="黑体"/>
                <w:b/>
                <w:bCs/>
                <w:color w:val="000000"/>
                <w:kern w:val="0"/>
                <w:sz w:val="21"/>
                <w:szCs w:val="21"/>
              </w:rPr>
              <w:t>指标说明</w:t>
            </w:r>
          </w:p>
        </w:tc>
        <w:tc>
          <w:tcPr>
            <w:tcW w:w="699" w:type="dxa"/>
            <w:shd w:val="clear" w:color="auto" w:fill="FFFFFF"/>
            <w:noWrap w:val="0"/>
            <w:vAlign w:val="center"/>
          </w:tcPr>
          <w:p w14:paraId="59CAB583">
            <w:pPr>
              <w:widowControl/>
              <w:spacing w:line="0" w:lineRule="atLeast"/>
              <w:jc w:val="center"/>
              <w:rPr>
                <w:rFonts w:hint="eastAsia" w:ascii="黑体" w:hAnsi="黑体" w:eastAsia="黑体" w:cs="黑体"/>
                <w:b/>
                <w:bCs/>
                <w:color w:val="000000"/>
                <w:kern w:val="0"/>
                <w:sz w:val="21"/>
                <w:szCs w:val="21"/>
                <w:lang w:eastAsia="zh-CN"/>
              </w:rPr>
            </w:pPr>
            <w:r>
              <w:rPr>
                <w:rFonts w:hint="eastAsia" w:ascii="黑体" w:hAnsi="黑体" w:eastAsia="黑体" w:cs="黑体"/>
                <w:b/>
                <w:bCs/>
                <w:color w:val="000000"/>
                <w:kern w:val="0"/>
                <w:sz w:val="21"/>
                <w:szCs w:val="21"/>
                <w:lang w:eastAsia="zh-CN"/>
              </w:rPr>
              <w:t>权重</w:t>
            </w:r>
          </w:p>
        </w:tc>
        <w:tc>
          <w:tcPr>
            <w:tcW w:w="699" w:type="dxa"/>
            <w:shd w:val="clear" w:color="auto" w:fill="FFFFFF"/>
            <w:noWrap w:val="0"/>
            <w:vAlign w:val="center"/>
          </w:tcPr>
          <w:p w14:paraId="3A3888E9">
            <w:pPr>
              <w:widowControl/>
              <w:spacing w:line="0" w:lineRule="atLeast"/>
              <w:jc w:val="center"/>
              <w:rPr>
                <w:rFonts w:hint="eastAsia" w:ascii="黑体" w:hAnsi="黑体" w:eastAsia="黑体" w:cs="黑体"/>
                <w:b/>
                <w:bCs/>
                <w:color w:val="000000"/>
                <w:kern w:val="0"/>
                <w:sz w:val="21"/>
                <w:szCs w:val="21"/>
                <w:lang w:eastAsia="zh-CN"/>
              </w:rPr>
            </w:pPr>
            <w:r>
              <w:rPr>
                <w:rFonts w:hint="eastAsia" w:ascii="黑体" w:hAnsi="黑体" w:eastAsia="黑体" w:cs="黑体"/>
                <w:b/>
                <w:bCs/>
                <w:color w:val="000000"/>
                <w:kern w:val="0"/>
                <w:sz w:val="21"/>
                <w:szCs w:val="21"/>
                <w:lang w:eastAsia="zh-CN"/>
              </w:rPr>
              <w:t>得分</w:t>
            </w:r>
          </w:p>
        </w:tc>
      </w:tr>
      <w:tr w14:paraId="5FD3703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18" w:hRule="atLeast"/>
          <w:jc w:val="center"/>
        </w:trPr>
        <w:tc>
          <w:tcPr>
            <w:tcW w:w="1207" w:type="dxa"/>
            <w:vMerge w:val="restart"/>
            <w:shd w:val="clear" w:color="auto" w:fill="FFFFFF"/>
            <w:noWrap w:val="0"/>
            <w:vAlign w:val="center"/>
          </w:tcPr>
          <w:p w14:paraId="4CD22E80">
            <w:pPr>
              <w:widowControl/>
              <w:spacing w:line="0" w:lineRule="atLeast"/>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决策　</w:t>
            </w:r>
          </w:p>
          <w:p w14:paraId="09F93AB3">
            <w:pPr>
              <w:widowControl/>
              <w:spacing w:line="0" w:lineRule="atLeast"/>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　</w:t>
            </w:r>
          </w:p>
          <w:p w14:paraId="68367CCB">
            <w:pPr>
              <w:spacing w:line="0" w:lineRule="atLeast"/>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　</w:t>
            </w:r>
          </w:p>
        </w:tc>
        <w:tc>
          <w:tcPr>
            <w:tcW w:w="1013" w:type="dxa"/>
            <w:vMerge w:val="restart"/>
            <w:shd w:val="clear" w:color="auto" w:fill="FFFFFF"/>
            <w:noWrap w:val="0"/>
            <w:vAlign w:val="center"/>
          </w:tcPr>
          <w:p w14:paraId="272E1BEB">
            <w:pPr>
              <w:widowControl/>
              <w:spacing w:line="0" w:lineRule="atLeast"/>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项目立项　</w:t>
            </w:r>
          </w:p>
        </w:tc>
        <w:tc>
          <w:tcPr>
            <w:tcW w:w="1112" w:type="dxa"/>
            <w:shd w:val="clear" w:color="auto" w:fill="FFFFFF"/>
            <w:noWrap w:val="0"/>
            <w:vAlign w:val="center"/>
          </w:tcPr>
          <w:p w14:paraId="4C87A098">
            <w:pPr>
              <w:widowControl/>
              <w:spacing w:line="0" w:lineRule="atLeast"/>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立项依据</w:t>
            </w:r>
          </w:p>
          <w:p w14:paraId="72D80E1D">
            <w:pPr>
              <w:widowControl/>
              <w:spacing w:line="0" w:lineRule="atLeast"/>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充分性</w:t>
            </w:r>
          </w:p>
        </w:tc>
        <w:tc>
          <w:tcPr>
            <w:tcW w:w="2850" w:type="dxa"/>
            <w:shd w:val="clear" w:color="auto" w:fill="FFFFFF"/>
            <w:noWrap w:val="0"/>
            <w:vAlign w:val="center"/>
          </w:tcPr>
          <w:p w14:paraId="01DDCE2C">
            <w:pPr>
              <w:widowControl/>
              <w:spacing w:line="0" w:lineRule="atLeast"/>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项目立项是否符合法律法规、相关政策、发展规划以及部门职责，用以反映和考核项目立项依据情况。</w:t>
            </w:r>
          </w:p>
        </w:tc>
        <w:tc>
          <w:tcPr>
            <w:tcW w:w="4743" w:type="dxa"/>
            <w:shd w:val="clear" w:color="auto" w:fill="FFFFFF"/>
            <w:noWrap w:val="0"/>
            <w:vAlign w:val="center"/>
          </w:tcPr>
          <w:p w14:paraId="3E9B9579">
            <w:pPr>
              <w:widowControl/>
              <w:spacing w:line="0" w:lineRule="atLeast"/>
              <w:jc w:val="left"/>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评价要点：</w:t>
            </w:r>
            <w:r>
              <w:rPr>
                <w:rFonts w:hint="default" w:ascii="Times New Roman" w:hAnsi="Times New Roman" w:eastAsia="仿宋_GB2312" w:cs="Times New Roman"/>
                <w:color w:val="000000"/>
                <w:kern w:val="0"/>
                <w:sz w:val="21"/>
                <w:szCs w:val="21"/>
              </w:rPr>
              <w:br w:type="textWrapping"/>
            </w:r>
            <w:r>
              <w:rPr>
                <w:rFonts w:hint="default" w:ascii="Times New Roman" w:hAnsi="Times New Roman" w:eastAsia="仿宋_GB2312" w:cs="Times New Roman"/>
                <w:color w:val="000000"/>
                <w:kern w:val="0"/>
                <w:sz w:val="21"/>
                <w:szCs w:val="21"/>
              </w:rPr>
              <w:t>①项目立项是否符合国家法律法规、国民经济发展规划和相关政策；</w:t>
            </w:r>
            <w:r>
              <w:rPr>
                <w:rFonts w:hint="default" w:ascii="Times New Roman" w:hAnsi="Times New Roman" w:eastAsia="仿宋_GB2312" w:cs="Times New Roman"/>
                <w:color w:val="000000"/>
                <w:kern w:val="0"/>
                <w:sz w:val="21"/>
                <w:szCs w:val="21"/>
              </w:rPr>
              <w:br w:type="textWrapping"/>
            </w:r>
            <w:r>
              <w:rPr>
                <w:rFonts w:hint="default" w:ascii="Times New Roman" w:hAnsi="Times New Roman" w:eastAsia="仿宋_GB2312" w:cs="Times New Roman"/>
                <w:color w:val="000000"/>
                <w:kern w:val="0"/>
                <w:sz w:val="21"/>
                <w:szCs w:val="21"/>
              </w:rPr>
              <w:t>②项目立项是否符合行业发展规划和政策要求；</w:t>
            </w:r>
            <w:r>
              <w:rPr>
                <w:rFonts w:hint="default" w:ascii="Times New Roman" w:hAnsi="Times New Roman" w:eastAsia="仿宋_GB2312" w:cs="Times New Roman"/>
                <w:color w:val="000000"/>
                <w:kern w:val="0"/>
                <w:sz w:val="21"/>
                <w:szCs w:val="21"/>
              </w:rPr>
              <w:br w:type="textWrapping"/>
            </w:r>
            <w:r>
              <w:rPr>
                <w:rFonts w:hint="default" w:ascii="Times New Roman" w:hAnsi="Times New Roman" w:eastAsia="仿宋_GB2312" w:cs="Times New Roman"/>
                <w:color w:val="000000"/>
                <w:kern w:val="0"/>
                <w:sz w:val="21"/>
                <w:szCs w:val="21"/>
              </w:rPr>
              <w:t>③项目立项是否与部门职责范围相符，属于部门履职所需；</w:t>
            </w:r>
            <w:r>
              <w:rPr>
                <w:rFonts w:hint="default" w:ascii="Times New Roman" w:hAnsi="Times New Roman" w:eastAsia="仿宋_GB2312" w:cs="Times New Roman"/>
                <w:color w:val="000000"/>
                <w:kern w:val="0"/>
                <w:sz w:val="21"/>
                <w:szCs w:val="21"/>
              </w:rPr>
              <w:br w:type="textWrapping"/>
            </w:r>
            <w:r>
              <w:rPr>
                <w:rFonts w:hint="default" w:ascii="Times New Roman" w:hAnsi="Times New Roman" w:eastAsia="仿宋_GB2312" w:cs="Times New Roman"/>
                <w:color w:val="000000"/>
                <w:kern w:val="0"/>
                <w:sz w:val="21"/>
                <w:szCs w:val="21"/>
              </w:rPr>
              <w:t>④项目是否属于公共财政支持范围，是否符合中央、地方事权支出责任划分原则；</w:t>
            </w:r>
            <w:r>
              <w:rPr>
                <w:rFonts w:hint="default" w:ascii="Times New Roman" w:hAnsi="Times New Roman" w:eastAsia="仿宋_GB2312" w:cs="Times New Roman"/>
                <w:color w:val="000000"/>
                <w:kern w:val="0"/>
                <w:sz w:val="21"/>
                <w:szCs w:val="21"/>
              </w:rPr>
              <w:br w:type="textWrapping"/>
            </w:r>
            <w:r>
              <w:rPr>
                <w:rFonts w:hint="default" w:ascii="Times New Roman" w:hAnsi="Times New Roman" w:eastAsia="仿宋_GB2312" w:cs="Times New Roman"/>
                <w:color w:val="000000"/>
                <w:kern w:val="0"/>
                <w:sz w:val="21"/>
                <w:szCs w:val="21"/>
              </w:rPr>
              <w:t>⑤项目是否与相关部门同类项目或部门内部相关项目重复。</w:t>
            </w:r>
          </w:p>
        </w:tc>
        <w:tc>
          <w:tcPr>
            <w:tcW w:w="699" w:type="dxa"/>
            <w:shd w:val="clear" w:color="auto" w:fill="FFFFFF"/>
            <w:noWrap w:val="0"/>
            <w:vAlign w:val="center"/>
          </w:tcPr>
          <w:p w14:paraId="5B1D2C34">
            <w:pPr>
              <w:widowControl/>
              <w:spacing w:line="0" w:lineRule="atLeast"/>
              <w:jc w:val="center"/>
              <w:rPr>
                <w:rFonts w:hint="default" w:ascii="Times New Roman" w:hAnsi="Times New Roman" w:eastAsia="仿宋_GB2312" w:cs="Times New Roman"/>
                <w:color w:val="000000"/>
                <w:kern w:val="0"/>
                <w:sz w:val="21"/>
                <w:szCs w:val="21"/>
                <w:lang w:val="en-US" w:eastAsia="zh-CN"/>
              </w:rPr>
            </w:pPr>
            <w:r>
              <w:rPr>
                <w:rFonts w:hint="default" w:ascii="Times New Roman" w:hAnsi="Times New Roman" w:eastAsia="仿宋_GB2312" w:cs="Times New Roman"/>
                <w:color w:val="000000"/>
                <w:kern w:val="0"/>
                <w:sz w:val="21"/>
                <w:szCs w:val="21"/>
                <w:lang w:val="en-US" w:eastAsia="zh-CN"/>
              </w:rPr>
              <w:t>3</w:t>
            </w:r>
          </w:p>
        </w:tc>
        <w:tc>
          <w:tcPr>
            <w:tcW w:w="699" w:type="dxa"/>
            <w:shd w:val="clear" w:color="auto" w:fill="FFFFFF"/>
            <w:noWrap w:val="0"/>
            <w:vAlign w:val="center"/>
          </w:tcPr>
          <w:p w14:paraId="0E37F301">
            <w:pPr>
              <w:widowControl/>
              <w:spacing w:line="0" w:lineRule="atLeast"/>
              <w:jc w:val="center"/>
              <w:rPr>
                <w:rFonts w:hint="default" w:ascii="Times New Roman" w:hAnsi="Times New Roman" w:eastAsia="仿宋_GB2312" w:cs="Times New Roman"/>
                <w:color w:val="000000"/>
                <w:kern w:val="0"/>
                <w:sz w:val="21"/>
                <w:szCs w:val="21"/>
                <w:lang w:val="en-US" w:eastAsia="zh-CN"/>
              </w:rPr>
            </w:pPr>
            <w:r>
              <w:rPr>
                <w:rFonts w:hint="default" w:ascii="Times New Roman" w:hAnsi="Times New Roman" w:eastAsia="仿宋_GB2312" w:cs="Times New Roman"/>
                <w:color w:val="000000"/>
                <w:kern w:val="0"/>
                <w:sz w:val="21"/>
                <w:szCs w:val="21"/>
                <w:lang w:val="en-US" w:eastAsia="zh-CN"/>
              </w:rPr>
              <w:t>3</w:t>
            </w:r>
          </w:p>
        </w:tc>
      </w:tr>
      <w:tr w14:paraId="5088BB4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40" w:hRule="atLeast"/>
          <w:jc w:val="center"/>
        </w:trPr>
        <w:tc>
          <w:tcPr>
            <w:tcW w:w="1207" w:type="dxa"/>
            <w:vMerge w:val="continue"/>
            <w:shd w:val="clear" w:color="auto" w:fill="FFFFFF"/>
            <w:noWrap w:val="0"/>
            <w:vAlign w:val="center"/>
          </w:tcPr>
          <w:p w14:paraId="125C72D9">
            <w:pPr>
              <w:spacing w:line="0" w:lineRule="atLeast"/>
              <w:jc w:val="center"/>
              <w:rPr>
                <w:rFonts w:hint="default" w:ascii="Times New Roman" w:hAnsi="Times New Roman" w:eastAsia="仿宋_GB2312" w:cs="Times New Roman"/>
                <w:color w:val="000000"/>
                <w:kern w:val="0"/>
                <w:sz w:val="21"/>
                <w:szCs w:val="21"/>
              </w:rPr>
            </w:pPr>
          </w:p>
        </w:tc>
        <w:tc>
          <w:tcPr>
            <w:tcW w:w="1013" w:type="dxa"/>
            <w:vMerge w:val="continue"/>
            <w:shd w:val="clear" w:color="auto" w:fill="FFFFFF"/>
            <w:noWrap w:val="0"/>
            <w:vAlign w:val="center"/>
          </w:tcPr>
          <w:p w14:paraId="7B09EA30">
            <w:pPr>
              <w:widowControl/>
              <w:spacing w:line="0" w:lineRule="atLeast"/>
              <w:jc w:val="center"/>
              <w:rPr>
                <w:rFonts w:hint="default" w:ascii="Times New Roman" w:hAnsi="Times New Roman" w:eastAsia="仿宋_GB2312" w:cs="Times New Roman"/>
                <w:color w:val="000000"/>
                <w:kern w:val="0"/>
                <w:sz w:val="21"/>
                <w:szCs w:val="21"/>
              </w:rPr>
            </w:pPr>
          </w:p>
        </w:tc>
        <w:tc>
          <w:tcPr>
            <w:tcW w:w="1112" w:type="dxa"/>
            <w:shd w:val="clear" w:color="auto" w:fill="FFFFFF"/>
            <w:noWrap w:val="0"/>
            <w:vAlign w:val="center"/>
          </w:tcPr>
          <w:p w14:paraId="49BE9246">
            <w:pPr>
              <w:widowControl/>
              <w:spacing w:line="0" w:lineRule="atLeast"/>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立项程序</w:t>
            </w:r>
          </w:p>
          <w:p w14:paraId="0C503646">
            <w:pPr>
              <w:widowControl/>
              <w:spacing w:line="0" w:lineRule="atLeast"/>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规范性</w:t>
            </w:r>
          </w:p>
        </w:tc>
        <w:tc>
          <w:tcPr>
            <w:tcW w:w="2850" w:type="dxa"/>
            <w:shd w:val="clear" w:color="auto" w:fill="FFFFFF"/>
            <w:noWrap w:val="0"/>
            <w:vAlign w:val="center"/>
          </w:tcPr>
          <w:p w14:paraId="509F2955">
            <w:pPr>
              <w:widowControl/>
              <w:spacing w:line="0" w:lineRule="atLeast"/>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项目申请、设立过程是否符合相关要求，用以反映和考核项目立项的规范情况。</w:t>
            </w:r>
          </w:p>
        </w:tc>
        <w:tc>
          <w:tcPr>
            <w:tcW w:w="4743" w:type="dxa"/>
            <w:shd w:val="clear" w:color="auto" w:fill="FFFFFF"/>
            <w:noWrap w:val="0"/>
            <w:vAlign w:val="center"/>
          </w:tcPr>
          <w:p w14:paraId="76000FD1">
            <w:pPr>
              <w:widowControl/>
              <w:spacing w:line="0" w:lineRule="atLeast"/>
              <w:jc w:val="left"/>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评价要点：</w:t>
            </w:r>
            <w:r>
              <w:rPr>
                <w:rFonts w:hint="default" w:ascii="Times New Roman" w:hAnsi="Times New Roman" w:eastAsia="仿宋_GB2312" w:cs="Times New Roman"/>
                <w:color w:val="000000"/>
                <w:kern w:val="0"/>
                <w:sz w:val="21"/>
                <w:szCs w:val="21"/>
              </w:rPr>
              <w:br w:type="textWrapping"/>
            </w:r>
            <w:r>
              <w:rPr>
                <w:rFonts w:hint="default" w:ascii="Times New Roman" w:hAnsi="Times New Roman" w:eastAsia="仿宋_GB2312" w:cs="Times New Roman"/>
                <w:color w:val="000000"/>
                <w:kern w:val="0"/>
                <w:sz w:val="21"/>
                <w:szCs w:val="21"/>
              </w:rPr>
              <w:t>①项目是否按照规定的程序申请设立；</w:t>
            </w:r>
            <w:r>
              <w:rPr>
                <w:rFonts w:hint="default" w:ascii="Times New Roman" w:hAnsi="Times New Roman" w:eastAsia="仿宋_GB2312" w:cs="Times New Roman"/>
                <w:color w:val="000000"/>
                <w:kern w:val="0"/>
                <w:sz w:val="21"/>
                <w:szCs w:val="21"/>
              </w:rPr>
              <w:br w:type="textWrapping"/>
            </w:r>
            <w:r>
              <w:rPr>
                <w:rFonts w:hint="default" w:ascii="Times New Roman" w:hAnsi="Times New Roman" w:eastAsia="仿宋_GB2312" w:cs="Times New Roman"/>
                <w:color w:val="000000"/>
                <w:kern w:val="0"/>
                <w:sz w:val="21"/>
                <w:szCs w:val="21"/>
              </w:rPr>
              <w:t>②审批文件、材料是否符合相关要求；</w:t>
            </w:r>
            <w:r>
              <w:rPr>
                <w:rFonts w:hint="default" w:ascii="Times New Roman" w:hAnsi="Times New Roman" w:eastAsia="仿宋_GB2312" w:cs="Times New Roman"/>
                <w:color w:val="000000"/>
                <w:kern w:val="0"/>
                <w:sz w:val="21"/>
                <w:szCs w:val="21"/>
              </w:rPr>
              <w:br w:type="textWrapping"/>
            </w:r>
            <w:r>
              <w:rPr>
                <w:rFonts w:hint="default" w:ascii="Times New Roman" w:hAnsi="Times New Roman" w:eastAsia="仿宋_GB2312" w:cs="Times New Roman"/>
                <w:color w:val="000000"/>
                <w:kern w:val="0"/>
                <w:sz w:val="21"/>
                <w:szCs w:val="21"/>
              </w:rPr>
              <w:t>③事前是否已经过必要的可行性研究、专家论证、风险评估、绩效评估、集体决策。</w:t>
            </w:r>
          </w:p>
        </w:tc>
        <w:tc>
          <w:tcPr>
            <w:tcW w:w="699" w:type="dxa"/>
            <w:shd w:val="clear" w:color="auto" w:fill="FFFFFF"/>
            <w:noWrap w:val="0"/>
            <w:vAlign w:val="center"/>
          </w:tcPr>
          <w:p w14:paraId="6EB57724">
            <w:pPr>
              <w:widowControl/>
              <w:spacing w:line="0" w:lineRule="atLeast"/>
              <w:jc w:val="center"/>
              <w:rPr>
                <w:rFonts w:hint="default" w:ascii="Times New Roman" w:hAnsi="Times New Roman" w:eastAsia="仿宋_GB2312" w:cs="Times New Roman"/>
                <w:color w:val="000000"/>
                <w:kern w:val="0"/>
                <w:sz w:val="21"/>
                <w:szCs w:val="21"/>
                <w:lang w:val="en-US" w:eastAsia="zh-CN"/>
              </w:rPr>
            </w:pPr>
            <w:r>
              <w:rPr>
                <w:rFonts w:hint="default" w:ascii="Times New Roman" w:hAnsi="Times New Roman" w:eastAsia="仿宋_GB2312" w:cs="Times New Roman"/>
                <w:color w:val="000000"/>
                <w:kern w:val="0"/>
                <w:sz w:val="21"/>
                <w:szCs w:val="21"/>
                <w:lang w:val="en-US" w:eastAsia="zh-CN"/>
              </w:rPr>
              <w:t>3</w:t>
            </w:r>
          </w:p>
        </w:tc>
        <w:tc>
          <w:tcPr>
            <w:tcW w:w="699" w:type="dxa"/>
            <w:shd w:val="clear" w:color="auto" w:fill="FFFFFF"/>
            <w:noWrap w:val="0"/>
            <w:vAlign w:val="center"/>
          </w:tcPr>
          <w:p w14:paraId="23EF4C76">
            <w:pPr>
              <w:widowControl/>
              <w:spacing w:line="0" w:lineRule="atLeast"/>
              <w:jc w:val="center"/>
              <w:rPr>
                <w:rFonts w:hint="default" w:ascii="Times New Roman" w:hAnsi="Times New Roman" w:eastAsia="仿宋_GB2312" w:cs="Times New Roman"/>
                <w:color w:val="000000"/>
                <w:kern w:val="0"/>
                <w:sz w:val="21"/>
                <w:szCs w:val="21"/>
                <w:lang w:val="en-US" w:eastAsia="zh-CN"/>
              </w:rPr>
            </w:pPr>
            <w:r>
              <w:rPr>
                <w:rFonts w:hint="default" w:ascii="Times New Roman" w:hAnsi="Times New Roman" w:eastAsia="仿宋_GB2312" w:cs="Times New Roman"/>
                <w:color w:val="000000"/>
                <w:kern w:val="0"/>
                <w:sz w:val="21"/>
                <w:szCs w:val="21"/>
                <w:lang w:val="en-US" w:eastAsia="zh-CN"/>
              </w:rPr>
              <w:t>3</w:t>
            </w:r>
          </w:p>
        </w:tc>
      </w:tr>
      <w:tr w14:paraId="08D9FEA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9" w:hRule="atLeast"/>
          <w:jc w:val="center"/>
        </w:trPr>
        <w:tc>
          <w:tcPr>
            <w:tcW w:w="1207" w:type="dxa"/>
            <w:vMerge w:val="continue"/>
            <w:shd w:val="clear" w:color="auto" w:fill="FFFFFF"/>
            <w:noWrap w:val="0"/>
            <w:vAlign w:val="center"/>
          </w:tcPr>
          <w:p w14:paraId="358F2786">
            <w:pPr>
              <w:spacing w:line="0" w:lineRule="atLeast"/>
              <w:jc w:val="center"/>
              <w:rPr>
                <w:rFonts w:hint="default" w:ascii="Times New Roman" w:hAnsi="Times New Roman" w:eastAsia="仿宋_GB2312" w:cs="Times New Roman"/>
                <w:color w:val="000000"/>
                <w:kern w:val="0"/>
                <w:sz w:val="21"/>
                <w:szCs w:val="21"/>
              </w:rPr>
            </w:pPr>
          </w:p>
        </w:tc>
        <w:tc>
          <w:tcPr>
            <w:tcW w:w="1013" w:type="dxa"/>
            <w:shd w:val="clear" w:color="auto" w:fill="FFFFFF"/>
            <w:noWrap w:val="0"/>
            <w:vAlign w:val="center"/>
          </w:tcPr>
          <w:p w14:paraId="4AC3CF69">
            <w:pPr>
              <w:widowControl/>
              <w:spacing w:line="0" w:lineRule="atLeast"/>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绩效目标　</w:t>
            </w:r>
          </w:p>
        </w:tc>
        <w:tc>
          <w:tcPr>
            <w:tcW w:w="1112" w:type="dxa"/>
            <w:shd w:val="clear" w:color="auto" w:fill="FFFFFF"/>
            <w:noWrap w:val="0"/>
            <w:vAlign w:val="center"/>
          </w:tcPr>
          <w:p w14:paraId="3CED3A21">
            <w:pPr>
              <w:widowControl/>
              <w:spacing w:line="0" w:lineRule="atLeast"/>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绩效目标</w:t>
            </w:r>
          </w:p>
          <w:p w14:paraId="6E7B6876">
            <w:pPr>
              <w:widowControl/>
              <w:spacing w:line="0" w:lineRule="atLeast"/>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合理性</w:t>
            </w:r>
          </w:p>
        </w:tc>
        <w:tc>
          <w:tcPr>
            <w:tcW w:w="2850" w:type="dxa"/>
            <w:shd w:val="clear" w:color="000000" w:fill="FFFFFF"/>
            <w:noWrap w:val="0"/>
            <w:vAlign w:val="center"/>
          </w:tcPr>
          <w:p w14:paraId="3D67EF63">
            <w:pPr>
              <w:widowControl/>
              <w:spacing w:line="0" w:lineRule="atLeast"/>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项目所设定的绩效目标是否依据充分，是否符合客观实际，用以反映和考核项目绩效目标与项目实施的相符情况。</w:t>
            </w:r>
          </w:p>
        </w:tc>
        <w:tc>
          <w:tcPr>
            <w:tcW w:w="4743" w:type="dxa"/>
            <w:shd w:val="clear" w:color="000000" w:fill="FFFFFF"/>
            <w:noWrap w:val="0"/>
            <w:vAlign w:val="center"/>
          </w:tcPr>
          <w:p w14:paraId="3AE1E3CA">
            <w:pPr>
              <w:widowControl/>
              <w:spacing w:line="0" w:lineRule="atLeast"/>
              <w:jc w:val="left"/>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评价要点：</w:t>
            </w:r>
            <w:r>
              <w:rPr>
                <w:rFonts w:hint="default" w:ascii="Times New Roman" w:hAnsi="Times New Roman" w:eastAsia="仿宋_GB2312" w:cs="Times New Roman"/>
                <w:color w:val="000000"/>
                <w:kern w:val="0"/>
                <w:sz w:val="21"/>
                <w:szCs w:val="21"/>
              </w:rPr>
              <w:br w:type="textWrapping"/>
            </w:r>
            <w:r>
              <w:rPr>
                <w:rFonts w:hint="default" w:ascii="Times New Roman" w:hAnsi="Times New Roman" w:eastAsia="仿宋_GB2312" w:cs="Times New Roman"/>
                <w:color w:val="000000"/>
                <w:kern w:val="0"/>
                <w:sz w:val="21"/>
                <w:szCs w:val="21"/>
              </w:rPr>
              <w:t>（如未设定预算绩效目标，也可考核其他工作任务目标）</w:t>
            </w:r>
            <w:r>
              <w:rPr>
                <w:rFonts w:hint="default" w:ascii="Times New Roman" w:hAnsi="Times New Roman" w:eastAsia="仿宋_GB2312" w:cs="Times New Roman"/>
                <w:color w:val="000000"/>
                <w:kern w:val="0"/>
                <w:sz w:val="21"/>
                <w:szCs w:val="21"/>
              </w:rPr>
              <w:br w:type="textWrapping"/>
            </w:r>
            <w:r>
              <w:rPr>
                <w:rFonts w:hint="default" w:ascii="Times New Roman" w:hAnsi="Times New Roman" w:eastAsia="仿宋_GB2312" w:cs="Times New Roman"/>
                <w:color w:val="000000"/>
                <w:kern w:val="0"/>
                <w:sz w:val="21"/>
                <w:szCs w:val="21"/>
              </w:rPr>
              <w:t>①项目是否有绩效目标；</w:t>
            </w:r>
            <w:r>
              <w:rPr>
                <w:rFonts w:hint="default" w:ascii="Times New Roman" w:hAnsi="Times New Roman" w:eastAsia="仿宋_GB2312" w:cs="Times New Roman"/>
                <w:color w:val="000000"/>
                <w:kern w:val="0"/>
                <w:sz w:val="21"/>
                <w:szCs w:val="21"/>
              </w:rPr>
              <w:br w:type="textWrapping"/>
            </w:r>
            <w:r>
              <w:rPr>
                <w:rFonts w:hint="default" w:ascii="Times New Roman" w:hAnsi="Times New Roman" w:eastAsia="仿宋_GB2312" w:cs="Times New Roman"/>
                <w:color w:val="000000"/>
                <w:kern w:val="0"/>
                <w:sz w:val="21"/>
                <w:szCs w:val="21"/>
              </w:rPr>
              <w:t>②项目绩效目标与实际工作内容是否具有相关性；</w:t>
            </w:r>
            <w:r>
              <w:rPr>
                <w:rFonts w:hint="default" w:ascii="Times New Roman" w:hAnsi="Times New Roman" w:eastAsia="仿宋_GB2312" w:cs="Times New Roman"/>
                <w:color w:val="000000"/>
                <w:kern w:val="0"/>
                <w:sz w:val="21"/>
                <w:szCs w:val="21"/>
              </w:rPr>
              <w:br w:type="textWrapping"/>
            </w:r>
            <w:r>
              <w:rPr>
                <w:rFonts w:hint="default" w:ascii="Times New Roman" w:hAnsi="Times New Roman" w:eastAsia="仿宋_GB2312" w:cs="Times New Roman"/>
                <w:color w:val="000000"/>
                <w:kern w:val="0"/>
                <w:sz w:val="21"/>
                <w:szCs w:val="21"/>
              </w:rPr>
              <w:t>③项目预期产出效益和效果是否符合正常的业绩水平；</w:t>
            </w:r>
          </w:p>
          <w:p w14:paraId="63174527">
            <w:pPr>
              <w:widowControl/>
              <w:spacing w:line="0" w:lineRule="atLeast"/>
              <w:jc w:val="left"/>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④是否与预算确定的项目投资额或资金量相匹配。</w:t>
            </w:r>
          </w:p>
        </w:tc>
        <w:tc>
          <w:tcPr>
            <w:tcW w:w="699" w:type="dxa"/>
            <w:shd w:val="clear" w:color="000000" w:fill="FFFFFF"/>
            <w:noWrap w:val="0"/>
            <w:vAlign w:val="center"/>
          </w:tcPr>
          <w:p w14:paraId="5B822305">
            <w:pPr>
              <w:widowControl/>
              <w:spacing w:line="0" w:lineRule="atLeast"/>
              <w:jc w:val="center"/>
              <w:rPr>
                <w:rFonts w:hint="default" w:ascii="Times New Roman" w:hAnsi="Times New Roman" w:eastAsia="仿宋_GB2312" w:cs="Times New Roman"/>
                <w:color w:val="000000"/>
                <w:kern w:val="0"/>
                <w:sz w:val="21"/>
                <w:szCs w:val="21"/>
                <w:lang w:val="en-US" w:eastAsia="zh-CN"/>
              </w:rPr>
            </w:pPr>
            <w:r>
              <w:rPr>
                <w:rFonts w:hint="default" w:ascii="Times New Roman" w:hAnsi="Times New Roman" w:eastAsia="仿宋_GB2312" w:cs="Times New Roman"/>
                <w:color w:val="000000"/>
                <w:kern w:val="0"/>
                <w:sz w:val="21"/>
                <w:szCs w:val="21"/>
                <w:lang w:val="en-US" w:eastAsia="zh-CN"/>
              </w:rPr>
              <w:t>4</w:t>
            </w:r>
          </w:p>
        </w:tc>
        <w:tc>
          <w:tcPr>
            <w:tcW w:w="699" w:type="dxa"/>
            <w:shd w:val="clear" w:color="000000" w:fill="FFFFFF"/>
            <w:noWrap w:val="0"/>
            <w:vAlign w:val="center"/>
          </w:tcPr>
          <w:p w14:paraId="79A1991A">
            <w:pPr>
              <w:widowControl/>
              <w:spacing w:line="0" w:lineRule="atLeast"/>
              <w:jc w:val="center"/>
              <w:rPr>
                <w:rFonts w:hint="default" w:ascii="Times New Roman" w:hAnsi="Times New Roman" w:eastAsia="仿宋_GB2312" w:cs="Times New Roman"/>
                <w:color w:val="000000"/>
                <w:kern w:val="0"/>
                <w:sz w:val="21"/>
                <w:szCs w:val="21"/>
                <w:lang w:val="en-US" w:eastAsia="zh-CN"/>
              </w:rPr>
            </w:pPr>
            <w:r>
              <w:rPr>
                <w:rFonts w:hint="default" w:ascii="Times New Roman" w:hAnsi="Times New Roman" w:eastAsia="仿宋_GB2312" w:cs="Times New Roman"/>
                <w:color w:val="000000"/>
                <w:kern w:val="0"/>
                <w:sz w:val="21"/>
                <w:szCs w:val="21"/>
                <w:lang w:val="en-US" w:eastAsia="zh-CN"/>
              </w:rPr>
              <w:t>4</w:t>
            </w:r>
          </w:p>
        </w:tc>
      </w:tr>
      <w:tr w14:paraId="044B164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1207" w:type="dxa"/>
            <w:vMerge w:val="restart"/>
            <w:shd w:val="clear" w:color="auto" w:fill="FFFFFF"/>
            <w:noWrap w:val="0"/>
            <w:vAlign w:val="center"/>
          </w:tcPr>
          <w:p w14:paraId="58F8EC33">
            <w:pPr>
              <w:widowControl/>
              <w:spacing w:line="0" w:lineRule="atLeast"/>
              <w:jc w:val="center"/>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决策　</w:t>
            </w:r>
          </w:p>
        </w:tc>
        <w:tc>
          <w:tcPr>
            <w:tcW w:w="1013" w:type="dxa"/>
            <w:shd w:val="clear" w:color="auto" w:fill="FFFFFF"/>
            <w:noWrap w:val="0"/>
            <w:vAlign w:val="center"/>
          </w:tcPr>
          <w:p w14:paraId="74FB6D36">
            <w:pPr>
              <w:widowControl/>
              <w:spacing w:line="0" w:lineRule="atLeast"/>
              <w:jc w:val="center"/>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绩效目标</w:t>
            </w:r>
          </w:p>
        </w:tc>
        <w:tc>
          <w:tcPr>
            <w:tcW w:w="1112" w:type="dxa"/>
            <w:shd w:val="clear" w:color="auto" w:fill="FFFFFF"/>
            <w:noWrap w:val="0"/>
            <w:vAlign w:val="center"/>
          </w:tcPr>
          <w:p w14:paraId="52B7F34F">
            <w:pPr>
              <w:widowControl/>
              <w:spacing w:line="0" w:lineRule="atLeast"/>
              <w:jc w:val="center"/>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绩效指标</w:t>
            </w:r>
          </w:p>
          <w:p w14:paraId="240ACEB3">
            <w:pPr>
              <w:widowControl/>
              <w:spacing w:line="0" w:lineRule="atLeast"/>
              <w:jc w:val="center"/>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明确性</w:t>
            </w:r>
          </w:p>
        </w:tc>
        <w:tc>
          <w:tcPr>
            <w:tcW w:w="2850" w:type="dxa"/>
            <w:shd w:val="clear" w:color="000000" w:fill="FFFFFF"/>
            <w:noWrap w:val="0"/>
            <w:vAlign w:val="center"/>
          </w:tcPr>
          <w:p w14:paraId="36C709D3">
            <w:pPr>
              <w:widowControl/>
              <w:spacing w:line="0" w:lineRule="atLeast"/>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依据绩效目标设定的绩效指标是否清晰、细化、可衡量等，用以反映和考核项目绩效目标的明细化情况。</w:t>
            </w:r>
          </w:p>
        </w:tc>
        <w:tc>
          <w:tcPr>
            <w:tcW w:w="4743" w:type="dxa"/>
            <w:shd w:val="clear" w:color="000000" w:fill="FFFFFF"/>
            <w:noWrap w:val="0"/>
            <w:vAlign w:val="center"/>
          </w:tcPr>
          <w:p w14:paraId="04FA46A4">
            <w:pPr>
              <w:widowControl/>
              <w:spacing w:line="0" w:lineRule="atLeast"/>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评价要点：</w:t>
            </w:r>
            <w:r>
              <w:rPr>
                <w:rFonts w:hint="eastAsia" w:ascii="仿宋_GB2312" w:hAnsi="仿宋_GB2312" w:eastAsia="仿宋_GB2312" w:cs="仿宋_GB2312"/>
                <w:color w:val="000000"/>
                <w:kern w:val="0"/>
                <w:sz w:val="21"/>
                <w:szCs w:val="21"/>
              </w:rPr>
              <w:br w:type="textWrapping"/>
            </w:r>
            <w:r>
              <w:rPr>
                <w:rFonts w:hint="eastAsia" w:ascii="仿宋_GB2312" w:hAnsi="仿宋_GB2312" w:eastAsia="仿宋_GB2312" w:cs="仿宋_GB2312"/>
                <w:color w:val="000000"/>
                <w:kern w:val="0"/>
                <w:sz w:val="21"/>
                <w:szCs w:val="21"/>
              </w:rPr>
              <w:t>①是否将项目绩效目标细化分解为具体的绩效指标；</w:t>
            </w:r>
            <w:r>
              <w:rPr>
                <w:rFonts w:hint="eastAsia" w:ascii="仿宋_GB2312" w:hAnsi="仿宋_GB2312" w:eastAsia="仿宋_GB2312" w:cs="仿宋_GB2312"/>
                <w:color w:val="000000"/>
                <w:kern w:val="0"/>
                <w:sz w:val="21"/>
                <w:szCs w:val="21"/>
              </w:rPr>
              <w:br w:type="textWrapping"/>
            </w:r>
            <w:r>
              <w:rPr>
                <w:rFonts w:hint="eastAsia" w:ascii="仿宋_GB2312" w:hAnsi="仿宋_GB2312" w:eastAsia="仿宋_GB2312" w:cs="仿宋_GB2312"/>
                <w:color w:val="000000"/>
                <w:kern w:val="0"/>
                <w:sz w:val="21"/>
                <w:szCs w:val="21"/>
              </w:rPr>
              <w:t>②是否通过清晰、可衡量的指标值予以体现；</w:t>
            </w:r>
            <w:r>
              <w:rPr>
                <w:rFonts w:hint="eastAsia" w:ascii="仿宋_GB2312" w:hAnsi="仿宋_GB2312" w:eastAsia="仿宋_GB2312" w:cs="仿宋_GB2312"/>
                <w:color w:val="000000"/>
                <w:kern w:val="0"/>
                <w:sz w:val="21"/>
                <w:szCs w:val="21"/>
              </w:rPr>
              <w:br w:type="textWrapping"/>
            </w:r>
            <w:r>
              <w:rPr>
                <w:rFonts w:hint="eastAsia" w:ascii="仿宋_GB2312" w:hAnsi="仿宋_GB2312" w:eastAsia="仿宋_GB2312" w:cs="仿宋_GB2312"/>
                <w:color w:val="000000"/>
                <w:kern w:val="0"/>
                <w:sz w:val="21"/>
                <w:szCs w:val="21"/>
              </w:rPr>
              <w:t>③是否与项目目标任务数或计划数相对应。</w:t>
            </w:r>
            <w:r>
              <w:rPr>
                <w:rFonts w:hint="eastAsia" w:ascii="仿宋_GB2312" w:hAnsi="仿宋_GB2312" w:eastAsia="仿宋_GB2312" w:cs="仿宋_GB2312"/>
                <w:color w:val="000000"/>
                <w:kern w:val="0"/>
                <w:sz w:val="21"/>
                <w:szCs w:val="21"/>
              </w:rPr>
              <w:br w:type="textWrapping"/>
            </w:r>
          </w:p>
        </w:tc>
        <w:tc>
          <w:tcPr>
            <w:tcW w:w="699" w:type="dxa"/>
            <w:shd w:val="clear" w:color="000000" w:fill="FFFFFF"/>
            <w:noWrap w:val="0"/>
            <w:vAlign w:val="center"/>
          </w:tcPr>
          <w:p w14:paraId="29AAD8C4">
            <w:pPr>
              <w:widowControl/>
              <w:spacing w:line="0" w:lineRule="atLeast"/>
              <w:jc w:val="center"/>
              <w:rPr>
                <w:rFonts w:hint="eastAsia" w:ascii="仿宋_GB2312" w:hAnsi="仿宋_GB2312" w:eastAsia="仿宋_GB2312" w:cs="仿宋_GB2312"/>
                <w:color w:val="000000"/>
                <w:kern w:val="0"/>
                <w:sz w:val="21"/>
                <w:szCs w:val="21"/>
                <w:lang w:val="en-US" w:eastAsia="zh-CN"/>
              </w:rPr>
            </w:pPr>
            <w:r>
              <w:rPr>
                <w:rFonts w:hint="eastAsia" w:ascii="仿宋_GB2312" w:hAnsi="仿宋_GB2312" w:eastAsia="仿宋_GB2312" w:cs="仿宋_GB2312"/>
                <w:color w:val="000000"/>
                <w:kern w:val="0"/>
                <w:sz w:val="21"/>
                <w:szCs w:val="21"/>
                <w:lang w:val="en-US" w:eastAsia="zh-CN"/>
              </w:rPr>
              <w:t>3</w:t>
            </w:r>
          </w:p>
        </w:tc>
        <w:tc>
          <w:tcPr>
            <w:tcW w:w="699" w:type="dxa"/>
            <w:shd w:val="clear" w:color="000000" w:fill="FFFFFF"/>
            <w:noWrap w:val="0"/>
            <w:vAlign w:val="center"/>
          </w:tcPr>
          <w:p w14:paraId="50B69ABB">
            <w:pPr>
              <w:widowControl/>
              <w:spacing w:line="0" w:lineRule="atLeast"/>
              <w:jc w:val="center"/>
              <w:rPr>
                <w:rFonts w:hint="eastAsia" w:ascii="仿宋_GB2312" w:hAnsi="仿宋_GB2312" w:eastAsia="仿宋_GB2312" w:cs="仿宋_GB2312"/>
                <w:color w:val="000000"/>
                <w:kern w:val="0"/>
                <w:sz w:val="21"/>
                <w:szCs w:val="21"/>
                <w:lang w:val="en-US" w:eastAsia="zh-CN"/>
              </w:rPr>
            </w:pPr>
            <w:r>
              <w:rPr>
                <w:rFonts w:hint="eastAsia" w:ascii="仿宋_GB2312" w:hAnsi="仿宋_GB2312" w:eastAsia="仿宋_GB2312" w:cs="仿宋_GB2312"/>
                <w:color w:val="000000"/>
                <w:kern w:val="0"/>
                <w:sz w:val="21"/>
                <w:szCs w:val="21"/>
                <w:lang w:val="en-US" w:eastAsia="zh-CN"/>
              </w:rPr>
              <w:t>3</w:t>
            </w:r>
          </w:p>
        </w:tc>
      </w:tr>
      <w:tr w14:paraId="66EFC5C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1207" w:type="dxa"/>
            <w:vMerge w:val="continue"/>
            <w:shd w:val="clear" w:color="auto" w:fill="FFFFFF"/>
            <w:noWrap w:val="0"/>
            <w:vAlign w:val="center"/>
          </w:tcPr>
          <w:p w14:paraId="01F7D4B3">
            <w:pPr>
              <w:spacing w:line="0" w:lineRule="atLeast"/>
              <w:jc w:val="center"/>
              <w:rPr>
                <w:rFonts w:hint="eastAsia" w:ascii="仿宋_GB2312" w:hAnsi="仿宋_GB2312" w:eastAsia="仿宋_GB2312" w:cs="仿宋_GB2312"/>
                <w:color w:val="000000"/>
                <w:kern w:val="0"/>
                <w:sz w:val="21"/>
                <w:szCs w:val="21"/>
              </w:rPr>
            </w:pPr>
          </w:p>
        </w:tc>
        <w:tc>
          <w:tcPr>
            <w:tcW w:w="1013" w:type="dxa"/>
            <w:vMerge w:val="restart"/>
            <w:shd w:val="clear" w:color="auto" w:fill="FFFFFF"/>
            <w:noWrap w:val="0"/>
            <w:vAlign w:val="center"/>
          </w:tcPr>
          <w:p w14:paraId="2E70B70D">
            <w:pPr>
              <w:widowControl/>
              <w:spacing w:line="0" w:lineRule="atLeast"/>
              <w:jc w:val="center"/>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资金投入</w:t>
            </w:r>
          </w:p>
          <w:p w14:paraId="181FB22B">
            <w:pPr>
              <w:spacing w:line="0" w:lineRule="atLeast"/>
              <w:jc w:val="center"/>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　</w:t>
            </w:r>
          </w:p>
        </w:tc>
        <w:tc>
          <w:tcPr>
            <w:tcW w:w="1112" w:type="dxa"/>
            <w:shd w:val="clear" w:color="auto" w:fill="FFFFFF"/>
            <w:noWrap w:val="0"/>
            <w:vAlign w:val="center"/>
          </w:tcPr>
          <w:p w14:paraId="68283E45">
            <w:pPr>
              <w:widowControl/>
              <w:spacing w:line="0" w:lineRule="atLeast"/>
              <w:jc w:val="center"/>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预算编制</w:t>
            </w:r>
          </w:p>
          <w:p w14:paraId="34CF2F29">
            <w:pPr>
              <w:widowControl/>
              <w:spacing w:line="0" w:lineRule="atLeast"/>
              <w:jc w:val="center"/>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科学性</w:t>
            </w:r>
          </w:p>
        </w:tc>
        <w:tc>
          <w:tcPr>
            <w:tcW w:w="2850" w:type="dxa"/>
            <w:shd w:val="clear" w:color="auto" w:fill="FFFFFF"/>
            <w:noWrap w:val="0"/>
            <w:vAlign w:val="center"/>
          </w:tcPr>
          <w:p w14:paraId="46A01D58">
            <w:pPr>
              <w:widowControl/>
              <w:spacing w:line="0" w:lineRule="atLeast"/>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项目预算编制是否经过科学论证、有明确标准，资金额度与年度目标是否相适应，用以反映和考核项目预算编制的科学性、合理性情况。</w:t>
            </w:r>
          </w:p>
        </w:tc>
        <w:tc>
          <w:tcPr>
            <w:tcW w:w="4743" w:type="dxa"/>
            <w:shd w:val="clear" w:color="auto" w:fill="FFFFFF"/>
            <w:noWrap w:val="0"/>
            <w:vAlign w:val="center"/>
          </w:tcPr>
          <w:p w14:paraId="3BA7C4F6">
            <w:pPr>
              <w:widowControl/>
              <w:spacing w:line="0" w:lineRule="atLeast"/>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评价要点：</w:t>
            </w:r>
            <w:r>
              <w:rPr>
                <w:rFonts w:hint="eastAsia" w:ascii="仿宋_GB2312" w:hAnsi="仿宋_GB2312" w:eastAsia="仿宋_GB2312" w:cs="仿宋_GB2312"/>
                <w:color w:val="000000"/>
                <w:kern w:val="0"/>
                <w:sz w:val="21"/>
                <w:szCs w:val="21"/>
              </w:rPr>
              <w:br w:type="textWrapping"/>
            </w:r>
            <w:r>
              <w:rPr>
                <w:rFonts w:hint="eastAsia" w:ascii="仿宋_GB2312" w:hAnsi="仿宋_GB2312" w:eastAsia="仿宋_GB2312" w:cs="仿宋_GB2312"/>
                <w:color w:val="000000"/>
                <w:kern w:val="0"/>
                <w:sz w:val="21"/>
                <w:szCs w:val="21"/>
              </w:rPr>
              <w:t>①预算编制是否经过科学论证；</w:t>
            </w:r>
            <w:r>
              <w:rPr>
                <w:rFonts w:hint="eastAsia" w:ascii="仿宋_GB2312" w:hAnsi="仿宋_GB2312" w:eastAsia="仿宋_GB2312" w:cs="仿宋_GB2312"/>
                <w:color w:val="000000"/>
                <w:kern w:val="0"/>
                <w:sz w:val="21"/>
                <w:szCs w:val="21"/>
              </w:rPr>
              <w:br w:type="textWrapping"/>
            </w:r>
            <w:r>
              <w:rPr>
                <w:rFonts w:hint="eastAsia" w:ascii="仿宋_GB2312" w:hAnsi="仿宋_GB2312" w:eastAsia="仿宋_GB2312" w:cs="仿宋_GB2312"/>
                <w:color w:val="000000"/>
                <w:kern w:val="0"/>
                <w:sz w:val="21"/>
                <w:szCs w:val="21"/>
              </w:rPr>
              <w:t>②预算内容与项目内容是否匹配；</w:t>
            </w:r>
            <w:r>
              <w:rPr>
                <w:rFonts w:hint="eastAsia" w:ascii="仿宋_GB2312" w:hAnsi="仿宋_GB2312" w:eastAsia="仿宋_GB2312" w:cs="仿宋_GB2312"/>
                <w:color w:val="000000"/>
                <w:kern w:val="0"/>
                <w:sz w:val="21"/>
                <w:szCs w:val="21"/>
              </w:rPr>
              <w:br w:type="textWrapping"/>
            </w:r>
            <w:r>
              <w:rPr>
                <w:rFonts w:hint="eastAsia" w:ascii="仿宋_GB2312" w:hAnsi="仿宋_GB2312" w:eastAsia="仿宋_GB2312" w:cs="仿宋_GB2312"/>
                <w:color w:val="000000"/>
                <w:kern w:val="0"/>
                <w:sz w:val="21"/>
                <w:szCs w:val="21"/>
              </w:rPr>
              <w:t>③预算额度测算依据是否充分，是否按照标准编制；</w:t>
            </w:r>
            <w:r>
              <w:rPr>
                <w:rFonts w:hint="eastAsia" w:ascii="仿宋_GB2312" w:hAnsi="仿宋_GB2312" w:eastAsia="仿宋_GB2312" w:cs="仿宋_GB2312"/>
                <w:color w:val="000000"/>
                <w:kern w:val="0"/>
                <w:sz w:val="21"/>
                <w:szCs w:val="21"/>
              </w:rPr>
              <w:br w:type="textWrapping"/>
            </w:r>
            <w:r>
              <w:rPr>
                <w:rFonts w:hint="eastAsia" w:ascii="仿宋_GB2312" w:hAnsi="仿宋_GB2312" w:eastAsia="仿宋_GB2312" w:cs="仿宋_GB2312"/>
                <w:color w:val="000000"/>
                <w:kern w:val="0"/>
                <w:sz w:val="21"/>
                <w:szCs w:val="21"/>
              </w:rPr>
              <w:t>④预算确定的项目投资额或资金量是否与工作任务相匹配。</w:t>
            </w:r>
          </w:p>
        </w:tc>
        <w:tc>
          <w:tcPr>
            <w:tcW w:w="699" w:type="dxa"/>
            <w:shd w:val="clear" w:color="auto" w:fill="FFFFFF"/>
            <w:noWrap w:val="0"/>
            <w:vAlign w:val="center"/>
          </w:tcPr>
          <w:p w14:paraId="154E645B">
            <w:pPr>
              <w:widowControl/>
              <w:spacing w:line="0" w:lineRule="atLeast"/>
              <w:jc w:val="center"/>
              <w:rPr>
                <w:rFonts w:hint="eastAsia" w:ascii="仿宋_GB2312" w:hAnsi="仿宋_GB2312" w:eastAsia="仿宋_GB2312" w:cs="仿宋_GB2312"/>
                <w:color w:val="000000"/>
                <w:kern w:val="0"/>
                <w:sz w:val="21"/>
                <w:szCs w:val="21"/>
                <w:lang w:val="en-US" w:eastAsia="zh-CN"/>
              </w:rPr>
            </w:pPr>
            <w:r>
              <w:rPr>
                <w:rFonts w:hint="eastAsia" w:ascii="仿宋_GB2312" w:hAnsi="仿宋_GB2312" w:eastAsia="仿宋_GB2312" w:cs="仿宋_GB2312"/>
                <w:color w:val="000000"/>
                <w:kern w:val="0"/>
                <w:sz w:val="21"/>
                <w:szCs w:val="21"/>
                <w:lang w:val="en-US" w:eastAsia="zh-CN"/>
              </w:rPr>
              <w:t>4</w:t>
            </w:r>
          </w:p>
        </w:tc>
        <w:tc>
          <w:tcPr>
            <w:tcW w:w="699" w:type="dxa"/>
            <w:shd w:val="clear" w:color="auto" w:fill="FFFFFF"/>
            <w:noWrap w:val="0"/>
            <w:vAlign w:val="center"/>
          </w:tcPr>
          <w:p w14:paraId="6E7C1872">
            <w:pPr>
              <w:widowControl/>
              <w:spacing w:line="0" w:lineRule="atLeast"/>
              <w:jc w:val="center"/>
              <w:rPr>
                <w:rFonts w:hint="eastAsia" w:ascii="仿宋_GB2312" w:hAnsi="仿宋_GB2312" w:eastAsia="仿宋_GB2312" w:cs="仿宋_GB2312"/>
                <w:color w:val="000000"/>
                <w:kern w:val="0"/>
                <w:sz w:val="21"/>
                <w:szCs w:val="21"/>
                <w:lang w:val="en-US" w:eastAsia="zh-CN"/>
              </w:rPr>
            </w:pPr>
            <w:r>
              <w:rPr>
                <w:rFonts w:hint="eastAsia" w:ascii="仿宋_GB2312" w:hAnsi="仿宋_GB2312" w:eastAsia="仿宋_GB2312" w:cs="仿宋_GB2312"/>
                <w:color w:val="000000"/>
                <w:kern w:val="0"/>
                <w:sz w:val="21"/>
                <w:szCs w:val="21"/>
                <w:lang w:val="en-US" w:eastAsia="zh-CN"/>
              </w:rPr>
              <w:t>4</w:t>
            </w:r>
          </w:p>
        </w:tc>
      </w:tr>
      <w:tr w14:paraId="1DE2952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1207" w:type="dxa"/>
            <w:vMerge w:val="continue"/>
            <w:shd w:val="clear" w:color="auto" w:fill="FFFFFF"/>
            <w:noWrap w:val="0"/>
            <w:vAlign w:val="center"/>
          </w:tcPr>
          <w:p w14:paraId="64C32475">
            <w:pPr>
              <w:widowControl/>
              <w:spacing w:line="0" w:lineRule="atLeast"/>
              <w:jc w:val="center"/>
              <w:rPr>
                <w:rFonts w:hint="eastAsia" w:ascii="仿宋_GB2312" w:hAnsi="仿宋_GB2312" w:eastAsia="仿宋_GB2312" w:cs="仿宋_GB2312"/>
                <w:color w:val="000000"/>
                <w:kern w:val="0"/>
                <w:sz w:val="21"/>
                <w:szCs w:val="21"/>
              </w:rPr>
            </w:pPr>
          </w:p>
        </w:tc>
        <w:tc>
          <w:tcPr>
            <w:tcW w:w="1013" w:type="dxa"/>
            <w:vMerge w:val="continue"/>
            <w:shd w:val="clear" w:color="auto" w:fill="FFFFFF"/>
            <w:noWrap w:val="0"/>
            <w:vAlign w:val="center"/>
          </w:tcPr>
          <w:p w14:paraId="684EA268">
            <w:pPr>
              <w:widowControl/>
              <w:spacing w:line="0" w:lineRule="atLeast"/>
              <w:jc w:val="center"/>
              <w:rPr>
                <w:rFonts w:hint="eastAsia" w:ascii="仿宋_GB2312" w:hAnsi="仿宋_GB2312" w:eastAsia="仿宋_GB2312" w:cs="仿宋_GB2312"/>
                <w:color w:val="000000"/>
                <w:kern w:val="0"/>
                <w:sz w:val="21"/>
                <w:szCs w:val="21"/>
              </w:rPr>
            </w:pPr>
          </w:p>
        </w:tc>
        <w:tc>
          <w:tcPr>
            <w:tcW w:w="1112" w:type="dxa"/>
            <w:shd w:val="clear" w:color="auto" w:fill="FFFFFF"/>
            <w:noWrap w:val="0"/>
            <w:vAlign w:val="center"/>
          </w:tcPr>
          <w:p w14:paraId="0BB1AA15">
            <w:pPr>
              <w:widowControl/>
              <w:spacing w:line="0" w:lineRule="atLeast"/>
              <w:jc w:val="center"/>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资金分配</w:t>
            </w:r>
          </w:p>
          <w:p w14:paraId="708EF3F5">
            <w:pPr>
              <w:widowControl/>
              <w:spacing w:line="0" w:lineRule="atLeast"/>
              <w:jc w:val="center"/>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合理性</w:t>
            </w:r>
          </w:p>
        </w:tc>
        <w:tc>
          <w:tcPr>
            <w:tcW w:w="2850" w:type="dxa"/>
            <w:shd w:val="clear" w:color="auto" w:fill="FFFFFF"/>
            <w:noWrap w:val="0"/>
            <w:vAlign w:val="center"/>
          </w:tcPr>
          <w:p w14:paraId="3F749F7D">
            <w:pPr>
              <w:widowControl/>
              <w:spacing w:line="0" w:lineRule="atLeast"/>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项目预算资金分配是否有测算依据，与补助单位或地方实际是否相适应，用以反映和考核项目预算资金分配的科学性、合理性情况。</w:t>
            </w:r>
          </w:p>
        </w:tc>
        <w:tc>
          <w:tcPr>
            <w:tcW w:w="4743" w:type="dxa"/>
            <w:shd w:val="clear" w:color="auto" w:fill="FFFFFF"/>
            <w:noWrap w:val="0"/>
            <w:vAlign w:val="center"/>
          </w:tcPr>
          <w:p w14:paraId="409BBA4C">
            <w:pPr>
              <w:widowControl/>
              <w:spacing w:line="0" w:lineRule="atLeast"/>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评价要点：</w:t>
            </w:r>
            <w:r>
              <w:rPr>
                <w:rFonts w:hint="eastAsia" w:ascii="仿宋_GB2312" w:hAnsi="仿宋_GB2312" w:eastAsia="仿宋_GB2312" w:cs="仿宋_GB2312"/>
                <w:color w:val="000000"/>
                <w:kern w:val="0"/>
                <w:sz w:val="21"/>
                <w:szCs w:val="21"/>
              </w:rPr>
              <w:br w:type="textWrapping"/>
            </w:r>
            <w:r>
              <w:rPr>
                <w:rFonts w:hint="eastAsia" w:ascii="仿宋_GB2312" w:hAnsi="仿宋_GB2312" w:eastAsia="仿宋_GB2312" w:cs="仿宋_GB2312"/>
                <w:color w:val="000000"/>
                <w:kern w:val="0"/>
                <w:sz w:val="21"/>
                <w:szCs w:val="21"/>
              </w:rPr>
              <w:t>①预算资金分配依据是否充分；</w:t>
            </w:r>
            <w:r>
              <w:rPr>
                <w:rFonts w:hint="eastAsia" w:ascii="仿宋_GB2312" w:hAnsi="仿宋_GB2312" w:eastAsia="仿宋_GB2312" w:cs="仿宋_GB2312"/>
                <w:color w:val="000000"/>
                <w:kern w:val="0"/>
                <w:sz w:val="21"/>
                <w:szCs w:val="21"/>
              </w:rPr>
              <w:br w:type="textWrapping"/>
            </w:r>
            <w:r>
              <w:rPr>
                <w:rFonts w:hint="eastAsia" w:ascii="仿宋_GB2312" w:hAnsi="仿宋_GB2312" w:eastAsia="仿宋_GB2312" w:cs="仿宋_GB2312"/>
                <w:color w:val="000000"/>
                <w:kern w:val="0"/>
                <w:sz w:val="21"/>
                <w:szCs w:val="21"/>
              </w:rPr>
              <w:t>②资金分配额度是否合理，与项目单位或地方实际是否相适应。</w:t>
            </w:r>
          </w:p>
        </w:tc>
        <w:tc>
          <w:tcPr>
            <w:tcW w:w="699" w:type="dxa"/>
            <w:shd w:val="clear" w:color="auto" w:fill="FFFFFF"/>
            <w:noWrap w:val="0"/>
            <w:vAlign w:val="center"/>
          </w:tcPr>
          <w:p w14:paraId="2A7EA1E9">
            <w:pPr>
              <w:widowControl/>
              <w:spacing w:line="0" w:lineRule="atLeast"/>
              <w:jc w:val="center"/>
              <w:rPr>
                <w:rFonts w:hint="eastAsia" w:ascii="仿宋_GB2312" w:hAnsi="仿宋_GB2312" w:eastAsia="仿宋_GB2312" w:cs="仿宋_GB2312"/>
                <w:color w:val="000000"/>
                <w:kern w:val="0"/>
                <w:sz w:val="21"/>
                <w:szCs w:val="21"/>
                <w:lang w:val="en-US" w:eastAsia="zh-CN"/>
              </w:rPr>
            </w:pPr>
            <w:r>
              <w:rPr>
                <w:rFonts w:hint="eastAsia" w:ascii="仿宋_GB2312" w:hAnsi="仿宋_GB2312" w:eastAsia="仿宋_GB2312" w:cs="仿宋_GB2312"/>
                <w:color w:val="000000"/>
                <w:kern w:val="0"/>
                <w:sz w:val="21"/>
                <w:szCs w:val="21"/>
                <w:lang w:val="en-US" w:eastAsia="zh-CN"/>
              </w:rPr>
              <w:t>3</w:t>
            </w:r>
          </w:p>
        </w:tc>
        <w:tc>
          <w:tcPr>
            <w:tcW w:w="699" w:type="dxa"/>
            <w:shd w:val="clear" w:color="auto" w:fill="FFFFFF"/>
            <w:noWrap w:val="0"/>
            <w:vAlign w:val="center"/>
          </w:tcPr>
          <w:p w14:paraId="23B93430">
            <w:pPr>
              <w:widowControl/>
              <w:spacing w:line="0" w:lineRule="atLeast"/>
              <w:jc w:val="center"/>
              <w:rPr>
                <w:rFonts w:hint="eastAsia" w:ascii="仿宋_GB2312" w:hAnsi="仿宋_GB2312" w:eastAsia="仿宋_GB2312" w:cs="仿宋_GB2312"/>
                <w:color w:val="000000"/>
                <w:kern w:val="0"/>
                <w:sz w:val="21"/>
                <w:szCs w:val="21"/>
                <w:lang w:val="en-US" w:eastAsia="zh-CN"/>
              </w:rPr>
            </w:pPr>
            <w:r>
              <w:rPr>
                <w:rFonts w:hint="eastAsia" w:ascii="仿宋_GB2312" w:hAnsi="仿宋_GB2312" w:eastAsia="仿宋_GB2312" w:cs="仿宋_GB2312"/>
                <w:color w:val="000000"/>
                <w:kern w:val="0"/>
                <w:sz w:val="21"/>
                <w:szCs w:val="21"/>
                <w:lang w:val="en-US" w:eastAsia="zh-CN"/>
              </w:rPr>
              <w:t>3</w:t>
            </w:r>
          </w:p>
        </w:tc>
      </w:tr>
      <w:tr w14:paraId="5388C1E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1207" w:type="dxa"/>
            <w:vMerge w:val="restart"/>
            <w:shd w:val="clear" w:color="auto" w:fill="FFFFFF"/>
            <w:noWrap w:val="0"/>
            <w:vAlign w:val="center"/>
          </w:tcPr>
          <w:p w14:paraId="7CBA7808">
            <w:pPr>
              <w:spacing w:line="0" w:lineRule="atLeast"/>
              <w:jc w:val="center"/>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过程</w:t>
            </w:r>
          </w:p>
        </w:tc>
        <w:tc>
          <w:tcPr>
            <w:tcW w:w="1013" w:type="dxa"/>
            <w:vMerge w:val="restart"/>
            <w:shd w:val="clear" w:color="auto" w:fill="FFFFFF"/>
            <w:noWrap w:val="0"/>
            <w:vAlign w:val="center"/>
          </w:tcPr>
          <w:p w14:paraId="0942AAC5">
            <w:pPr>
              <w:widowControl/>
              <w:spacing w:line="0" w:lineRule="atLeast"/>
              <w:jc w:val="center"/>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资金管理</w:t>
            </w:r>
          </w:p>
        </w:tc>
        <w:tc>
          <w:tcPr>
            <w:tcW w:w="1112" w:type="dxa"/>
            <w:shd w:val="clear" w:color="auto" w:fill="FFFFFF"/>
            <w:noWrap w:val="0"/>
            <w:vAlign w:val="center"/>
          </w:tcPr>
          <w:p w14:paraId="7F614ED7">
            <w:pPr>
              <w:widowControl/>
              <w:spacing w:line="0" w:lineRule="atLeast"/>
              <w:jc w:val="center"/>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资金到位率</w:t>
            </w:r>
          </w:p>
        </w:tc>
        <w:tc>
          <w:tcPr>
            <w:tcW w:w="2850" w:type="dxa"/>
            <w:shd w:val="clear" w:color="000000" w:fill="FFFFFF"/>
            <w:noWrap w:val="0"/>
            <w:vAlign w:val="center"/>
          </w:tcPr>
          <w:p w14:paraId="001CE3A7">
            <w:pPr>
              <w:widowControl/>
              <w:spacing w:line="0" w:lineRule="atLeast"/>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实际到位资金与预算资金的比率，用以反映和考核资金落实情况对项目实施的总体保障程度。</w:t>
            </w:r>
          </w:p>
        </w:tc>
        <w:tc>
          <w:tcPr>
            <w:tcW w:w="4743" w:type="dxa"/>
            <w:shd w:val="clear" w:color="000000" w:fill="FFFFFF"/>
            <w:noWrap w:val="0"/>
            <w:vAlign w:val="center"/>
          </w:tcPr>
          <w:p w14:paraId="6A13E1DA">
            <w:pPr>
              <w:widowControl/>
              <w:spacing w:line="0" w:lineRule="atLeast"/>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资金到位率=（实际到位资金/预算资金）×100%。</w:t>
            </w:r>
          </w:p>
          <w:p w14:paraId="711CEBF6">
            <w:pPr>
              <w:widowControl/>
              <w:spacing w:line="0" w:lineRule="atLeast"/>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实际到位资金：一定时期（本年度或项目期）内落实到具体项目的资金。</w:t>
            </w:r>
          </w:p>
          <w:p w14:paraId="35687A97">
            <w:pPr>
              <w:widowControl/>
              <w:spacing w:line="0" w:lineRule="atLeast"/>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预算资金：一定时期（本年度或项目期）内预算安排到具体项目的资金。</w:t>
            </w:r>
          </w:p>
        </w:tc>
        <w:tc>
          <w:tcPr>
            <w:tcW w:w="699" w:type="dxa"/>
            <w:shd w:val="clear" w:color="000000" w:fill="FFFFFF"/>
            <w:noWrap w:val="0"/>
            <w:vAlign w:val="center"/>
          </w:tcPr>
          <w:p w14:paraId="59D03FDA">
            <w:pPr>
              <w:widowControl/>
              <w:spacing w:line="0" w:lineRule="atLeast"/>
              <w:jc w:val="center"/>
              <w:rPr>
                <w:rFonts w:hint="eastAsia" w:ascii="仿宋_GB2312" w:hAnsi="仿宋_GB2312" w:eastAsia="仿宋_GB2312" w:cs="仿宋_GB2312"/>
                <w:color w:val="000000"/>
                <w:kern w:val="0"/>
                <w:sz w:val="21"/>
                <w:szCs w:val="21"/>
                <w:lang w:val="en-US" w:eastAsia="zh-CN"/>
              </w:rPr>
            </w:pPr>
            <w:r>
              <w:rPr>
                <w:rFonts w:hint="eastAsia" w:ascii="仿宋_GB2312" w:hAnsi="仿宋_GB2312" w:eastAsia="仿宋_GB2312" w:cs="仿宋_GB2312"/>
                <w:color w:val="000000"/>
                <w:kern w:val="0"/>
                <w:sz w:val="21"/>
                <w:szCs w:val="21"/>
                <w:lang w:val="en-US" w:eastAsia="zh-CN"/>
              </w:rPr>
              <w:t>4</w:t>
            </w:r>
          </w:p>
        </w:tc>
        <w:tc>
          <w:tcPr>
            <w:tcW w:w="699" w:type="dxa"/>
            <w:shd w:val="clear" w:color="000000" w:fill="FFFFFF"/>
            <w:noWrap w:val="0"/>
            <w:vAlign w:val="center"/>
          </w:tcPr>
          <w:p w14:paraId="3DD7AEAE">
            <w:pPr>
              <w:widowControl/>
              <w:spacing w:line="0" w:lineRule="atLeast"/>
              <w:jc w:val="center"/>
              <w:rPr>
                <w:rFonts w:hint="eastAsia" w:ascii="仿宋_GB2312" w:hAnsi="仿宋_GB2312" w:eastAsia="仿宋_GB2312" w:cs="仿宋_GB2312"/>
                <w:color w:val="000000"/>
                <w:kern w:val="0"/>
                <w:sz w:val="21"/>
                <w:szCs w:val="21"/>
                <w:lang w:val="en-US" w:eastAsia="zh-CN"/>
              </w:rPr>
            </w:pPr>
            <w:r>
              <w:rPr>
                <w:rFonts w:hint="eastAsia" w:ascii="仿宋_GB2312" w:hAnsi="仿宋_GB2312" w:eastAsia="仿宋_GB2312" w:cs="仿宋_GB2312"/>
                <w:color w:val="000000"/>
                <w:kern w:val="0"/>
                <w:sz w:val="21"/>
                <w:szCs w:val="21"/>
                <w:lang w:val="en-US" w:eastAsia="zh-CN"/>
              </w:rPr>
              <w:t>4</w:t>
            </w:r>
          </w:p>
        </w:tc>
      </w:tr>
      <w:tr w14:paraId="4644BC2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1207" w:type="dxa"/>
            <w:vMerge w:val="continue"/>
            <w:shd w:val="clear" w:color="auto" w:fill="FFFFFF"/>
            <w:noWrap w:val="0"/>
            <w:vAlign w:val="center"/>
          </w:tcPr>
          <w:p w14:paraId="2BF15CC6">
            <w:pPr>
              <w:spacing w:line="0" w:lineRule="atLeast"/>
              <w:jc w:val="center"/>
              <w:rPr>
                <w:rFonts w:hint="eastAsia" w:ascii="仿宋_GB2312" w:hAnsi="仿宋_GB2312" w:eastAsia="仿宋_GB2312" w:cs="仿宋_GB2312"/>
                <w:color w:val="000000"/>
                <w:kern w:val="0"/>
                <w:sz w:val="21"/>
                <w:szCs w:val="21"/>
              </w:rPr>
            </w:pPr>
          </w:p>
        </w:tc>
        <w:tc>
          <w:tcPr>
            <w:tcW w:w="1013" w:type="dxa"/>
            <w:vMerge w:val="continue"/>
            <w:shd w:val="clear" w:color="auto" w:fill="FFFFFF"/>
            <w:noWrap w:val="0"/>
            <w:vAlign w:val="center"/>
          </w:tcPr>
          <w:p w14:paraId="0DE9A23A">
            <w:pPr>
              <w:spacing w:line="0" w:lineRule="atLeast"/>
              <w:jc w:val="center"/>
              <w:rPr>
                <w:rFonts w:hint="eastAsia" w:ascii="仿宋_GB2312" w:hAnsi="仿宋_GB2312" w:eastAsia="仿宋_GB2312" w:cs="仿宋_GB2312"/>
                <w:color w:val="000000"/>
                <w:kern w:val="0"/>
                <w:sz w:val="21"/>
                <w:szCs w:val="21"/>
              </w:rPr>
            </w:pPr>
          </w:p>
        </w:tc>
        <w:tc>
          <w:tcPr>
            <w:tcW w:w="1112" w:type="dxa"/>
            <w:shd w:val="clear" w:color="auto" w:fill="FFFFFF"/>
            <w:noWrap w:val="0"/>
            <w:vAlign w:val="center"/>
          </w:tcPr>
          <w:p w14:paraId="433F824D">
            <w:pPr>
              <w:widowControl/>
              <w:spacing w:line="0" w:lineRule="atLeast"/>
              <w:jc w:val="center"/>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预算执行率</w:t>
            </w:r>
          </w:p>
        </w:tc>
        <w:tc>
          <w:tcPr>
            <w:tcW w:w="2850" w:type="dxa"/>
            <w:shd w:val="clear" w:color="auto" w:fill="FFFFFF"/>
            <w:noWrap w:val="0"/>
            <w:vAlign w:val="center"/>
          </w:tcPr>
          <w:p w14:paraId="2E127EFF">
            <w:pPr>
              <w:widowControl/>
              <w:spacing w:line="0" w:lineRule="atLeast"/>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项目预算资金是否按照计划执行，用以反映或考核项目预算执行情况。</w:t>
            </w:r>
          </w:p>
        </w:tc>
        <w:tc>
          <w:tcPr>
            <w:tcW w:w="4743" w:type="dxa"/>
            <w:shd w:val="clear" w:color="auto" w:fill="FFFFFF"/>
            <w:noWrap w:val="0"/>
            <w:vAlign w:val="center"/>
          </w:tcPr>
          <w:p w14:paraId="16F09540">
            <w:pPr>
              <w:widowControl/>
              <w:spacing w:line="0" w:lineRule="atLeast"/>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预算执行率=（实际支出资金/实际到位资金）×100%。</w:t>
            </w:r>
            <w:r>
              <w:rPr>
                <w:rFonts w:hint="eastAsia" w:ascii="仿宋_GB2312" w:hAnsi="仿宋_GB2312" w:eastAsia="仿宋_GB2312" w:cs="仿宋_GB2312"/>
                <w:color w:val="000000"/>
                <w:kern w:val="0"/>
                <w:sz w:val="21"/>
                <w:szCs w:val="21"/>
              </w:rPr>
              <w:br w:type="textWrapping"/>
            </w:r>
            <w:r>
              <w:rPr>
                <w:rFonts w:hint="eastAsia" w:ascii="仿宋_GB2312" w:hAnsi="仿宋_GB2312" w:eastAsia="仿宋_GB2312" w:cs="仿宋_GB2312"/>
                <w:color w:val="000000"/>
                <w:kern w:val="0"/>
                <w:sz w:val="21"/>
                <w:szCs w:val="21"/>
              </w:rPr>
              <w:t>实际支出资金：一定时期（本年度或项目期）内项目实际拨付的资金。</w:t>
            </w:r>
          </w:p>
        </w:tc>
        <w:tc>
          <w:tcPr>
            <w:tcW w:w="699" w:type="dxa"/>
            <w:shd w:val="clear" w:color="auto" w:fill="FFFFFF"/>
            <w:noWrap w:val="0"/>
            <w:vAlign w:val="center"/>
          </w:tcPr>
          <w:p w14:paraId="44F53BEE">
            <w:pPr>
              <w:widowControl/>
              <w:spacing w:line="0" w:lineRule="atLeast"/>
              <w:jc w:val="center"/>
              <w:rPr>
                <w:rFonts w:hint="eastAsia" w:ascii="仿宋_GB2312" w:hAnsi="仿宋_GB2312" w:eastAsia="仿宋_GB2312" w:cs="仿宋_GB2312"/>
                <w:color w:val="000000"/>
                <w:kern w:val="0"/>
                <w:sz w:val="21"/>
                <w:szCs w:val="21"/>
                <w:lang w:val="en-US" w:eastAsia="zh-CN"/>
              </w:rPr>
            </w:pPr>
            <w:r>
              <w:rPr>
                <w:rFonts w:hint="eastAsia" w:ascii="仿宋_GB2312" w:hAnsi="仿宋_GB2312" w:eastAsia="仿宋_GB2312" w:cs="仿宋_GB2312"/>
                <w:color w:val="000000"/>
                <w:kern w:val="0"/>
                <w:sz w:val="21"/>
                <w:szCs w:val="21"/>
                <w:lang w:val="en-US" w:eastAsia="zh-CN"/>
              </w:rPr>
              <w:t>4</w:t>
            </w:r>
          </w:p>
        </w:tc>
        <w:tc>
          <w:tcPr>
            <w:tcW w:w="699" w:type="dxa"/>
            <w:shd w:val="clear" w:color="auto" w:fill="FFFFFF"/>
            <w:noWrap w:val="0"/>
            <w:vAlign w:val="center"/>
          </w:tcPr>
          <w:p w14:paraId="4A782031">
            <w:pPr>
              <w:widowControl/>
              <w:spacing w:line="0" w:lineRule="atLeast"/>
              <w:jc w:val="center"/>
              <w:rPr>
                <w:rFonts w:hint="eastAsia" w:ascii="仿宋_GB2312" w:hAnsi="仿宋_GB2312" w:eastAsia="仿宋_GB2312" w:cs="仿宋_GB2312"/>
                <w:color w:val="000000"/>
                <w:kern w:val="0"/>
                <w:sz w:val="21"/>
                <w:szCs w:val="21"/>
                <w:lang w:val="en-US" w:eastAsia="zh-CN"/>
              </w:rPr>
            </w:pPr>
            <w:r>
              <w:rPr>
                <w:rFonts w:hint="eastAsia" w:ascii="仿宋_GB2312" w:hAnsi="仿宋_GB2312" w:eastAsia="仿宋_GB2312" w:cs="仿宋_GB2312"/>
                <w:color w:val="000000"/>
                <w:kern w:val="0"/>
                <w:sz w:val="21"/>
                <w:szCs w:val="21"/>
                <w:lang w:val="en-US" w:eastAsia="zh-CN"/>
              </w:rPr>
              <w:t>4</w:t>
            </w:r>
          </w:p>
        </w:tc>
      </w:tr>
      <w:tr w14:paraId="601EE1B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1207" w:type="dxa"/>
            <w:vMerge w:val="restart"/>
            <w:shd w:val="clear" w:color="auto" w:fill="FFFFFF"/>
            <w:noWrap w:val="0"/>
            <w:vAlign w:val="center"/>
          </w:tcPr>
          <w:p w14:paraId="42A12385">
            <w:pPr>
              <w:widowControl/>
              <w:spacing w:line="0" w:lineRule="atLeast"/>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　</w:t>
            </w:r>
          </w:p>
          <w:p w14:paraId="5536A677">
            <w:pPr>
              <w:spacing w:line="0" w:lineRule="atLeast"/>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过程　</w:t>
            </w:r>
          </w:p>
        </w:tc>
        <w:tc>
          <w:tcPr>
            <w:tcW w:w="1013" w:type="dxa"/>
            <w:shd w:val="clear" w:color="auto" w:fill="FFFFFF"/>
            <w:noWrap w:val="0"/>
            <w:vAlign w:val="center"/>
          </w:tcPr>
          <w:p w14:paraId="24D48D9B">
            <w:pPr>
              <w:widowControl/>
              <w:spacing w:line="0" w:lineRule="atLeast"/>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资金管理</w:t>
            </w:r>
          </w:p>
        </w:tc>
        <w:tc>
          <w:tcPr>
            <w:tcW w:w="1112" w:type="dxa"/>
            <w:shd w:val="clear" w:color="auto" w:fill="FFFFFF"/>
            <w:noWrap w:val="0"/>
            <w:vAlign w:val="center"/>
          </w:tcPr>
          <w:p w14:paraId="71DE2BD2">
            <w:pPr>
              <w:widowControl/>
              <w:spacing w:line="0" w:lineRule="atLeast"/>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资金使用</w:t>
            </w:r>
          </w:p>
          <w:p w14:paraId="579CD342">
            <w:pPr>
              <w:widowControl/>
              <w:spacing w:line="0" w:lineRule="atLeast"/>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合规性</w:t>
            </w:r>
          </w:p>
        </w:tc>
        <w:tc>
          <w:tcPr>
            <w:tcW w:w="2850" w:type="dxa"/>
            <w:shd w:val="clear" w:color="000000" w:fill="FFFFFF"/>
            <w:noWrap w:val="0"/>
            <w:vAlign w:val="center"/>
          </w:tcPr>
          <w:p w14:paraId="4A1B3614">
            <w:pPr>
              <w:widowControl/>
              <w:spacing w:line="0" w:lineRule="atLeast"/>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项目资金使用是否符合相关的财务管理制度规定，用以反映和考核项目资金的规范运行情况。</w:t>
            </w:r>
          </w:p>
        </w:tc>
        <w:tc>
          <w:tcPr>
            <w:tcW w:w="4743" w:type="dxa"/>
            <w:shd w:val="clear" w:color="000000" w:fill="FFFFFF"/>
            <w:noWrap w:val="0"/>
            <w:vAlign w:val="center"/>
          </w:tcPr>
          <w:p w14:paraId="3EE8852B">
            <w:pPr>
              <w:widowControl/>
              <w:spacing w:line="0" w:lineRule="atLeast"/>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评价要点：</w:t>
            </w:r>
            <w:r>
              <w:rPr>
                <w:rFonts w:hint="default" w:ascii="Times New Roman" w:hAnsi="Times New Roman" w:eastAsia="仿宋_GB2312" w:cs="Times New Roman"/>
                <w:color w:val="000000"/>
                <w:kern w:val="0"/>
                <w:sz w:val="21"/>
                <w:szCs w:val="21"/>
              </w:rPr>
              <w:br w:type="textWrapping"/>
            </w:r>
            <w:r>
              <w:rPr>
                <w:rFonts w:hint="default" w:ascii="Times New Roman" w:hAnsi="Times New Roman" w:eastAsia="仿宋_GB2312" w:cs="Times New Roman"/>
                <w:color w:val="000000"/>
                <w:kern w:val="0"/>
                <w:sz w:val="21"/>
                <w:szCs w:val="21"/>
              </w:rPr>
              <w:t>①是否符合国家财经法规和财务管理制度以及有关专项资金管理办法的规定；</w:t>
            </w:r>
            <w:r>
              <w:rPr>
                <w:rFonts w:hint="default" w:ascii="Times New Roman" w:hAnsi="Times New Roman" w:eastAsia="仿宋_GB2312" w:cs="Times New Roman"/>
                <w:color w:val="000000"/>
                <w:kern w:val="0"/>
                <w:sz w:val="21"/>
                <w:szCs w:val="21"/>
              </w:rPr>
              <w:br w:type="textWrapping"/>
            </w:r>
            <w:r>
              <w:rPr>
                <w:rFonts w:hint="default" w:ascii="Times New Roman" w:hAnsi="Times New Roman" w:eastAsia="仿宋_GB2312" w:cs="Times New Roman"/>
                <w:color w:val="000000"/>
                <w:kern w:val="0"/>
                <w:sz w:val="21"/>
                <w:szCs w:val="21"/>
              </w:rPr>
              <w:t>②资金的拨付是否有完整的审批程序和手续；</w:t>
            </w:r>
            <w:r>
              <w:rPr>
                <w:rFonts w:hint="default" w:ascii="Times New Roman" w:hAnsi="Times New Roman" w:eastAsia="仿宋_GB2312" w:cs="Times New Roman"/>
                <w:color w:val="000000"/>
                <w:kern w:val="0"/>
                <w:sz w:val="21"/>
                <w:szCs w:val="21"/>
              </w:rPr>
              <w:br w:type="textWrapping"/>
            </w:r>
            <w:r>
              <w:rPr>
                <w:rFonts w:hint="default" w:ascii="Times New Roman" w:hAnsi="Times New Roman" w:eastAsia="仿宋_GB2312" w:cs="Times New Roman"/>
                <w:color w:val="000000"/>
                <w:kern w:val="0"/>
                <w:sz w:val="21"/>
                <w:szCs w:val="21"/>
              </w:rPr>
              <w:t>③是否符合项目预算批复或合同规定的用途；</w:t>
            </w:r>
            <w:r>
              <w:rPr>
                <w:rFonts w:hint="default" w:ascii="Times New Roman" w:hAnsi="Times New Roman" w:eastAsia="仿宋_GB2312" w:cs="Times New Roman"/>
                <w:color w:val="000000"/>
                <w:kern w:val="0"/>
                <w:sz w:val="21"/>
                <w:szCs w:val="21"/>
              </w:rPr>
              <w:br w:type="textWrapping"/>
            </w:r>
            <w:r>
              <w:rPr>
                <w:rFonts w:hint="default" w:ascii="Times New Roman" w:hAnsi="Times New Roman" w:eastAsia="仿宋_GB2312" w:cs="Times New Roman"/>
                <w:color w:val="000000"/>
                <w:kern w:val="0"/>
                <w:sz w:val="21"/>
                <w:szCs w:val="21"/>
              </w:rPr>
              <w:t>④是否存在截留、挤占、挪用、虚列支出等情况。</w:t>
            </w:r>
          </w:p>
        </w:tc>
        <w:tc>
          <w:tcPr>
            <w:tcW w:w="699" w:type="dxa"/>
            <w:shd w:val="clear" w:color="000000" w:fill="FFFFFF"/>
            <w:noWrap w:val="0"/>
            <w:vAlign w:val="center"/>
          </w:tcPr>
          <w:p w14:paraId="3ED5F674">
            <w:pPr>
              <w:widowControl/>
              <w:spacing w:line="0" w:lineRule="atLeast"/>
              <w:jc w:val="center"/>
              <w:rPr>
                <w:rFonts w:hint="default" w:ascii="Times New Roman" w:hAnsi="Times New Roman" w:eastAsia="仿宋_GB2312" w:cs="Times New Roman"/>
                <w:color w:val="000000"/>
                <w:kern w:val="0"/>
                <w:sz w:val="21"/>
                <w:szCs w:val="21"/>
                <w:lang w:val="en-US" w:eastAsia="zh-CN"/>
              </w:rPr>
            </w:pPr>
            <w:r>
              <w:rPr>
                <w:rFonts w:hint="default" w:ascii="Times New Roman" w:hAnsi="Times New Roman" w:eastAsia="仿宋_GB2312" w:cs="Times New Roman"/>
                <w:color w:val="000000"/>
                <w:kern w:val="0"/>
                <w:sz w:val="21"/>
                <w:szCs w:val="21"/>
                <w:lang w:val="en-US" w:eastAsia="zh-CN"/>
              </w:rPr>
              <w:t>4</w:t>
            </w:r>
          </w:p>
        </w:tc>
        <w:tc>
          <w:tcPr>
            <w:tcW w:w="699" w:type="dxa"/>
            <w:shd w:val="clear" w:color="000000" w:fill="FFFFFF"/>
            <w:noWrap w:val="0"/>
            <w:vAlign w:val="center"/>
          </w:tcPr>
          <w:p w14:paraId="53DDBC6E">
            <w:pPr>
              <w:widowControl/>
              <w:spacing w:line="0" w:lineRule="atLeast"/>
              <w:jc w:val="center"/>
              <w:rPr>
                <w:rFonts w:hint="default" w:ascii="Times New Roman" w:hAnsi="Times New Roman" w:eastAsia="仿宋_GB2312" w:cs="Times New Roman"/>
                <w:color w:val="000000"/>
                <w:kern w:val="0"/>
                <w:sz w:val="21"/>
                <w:szCs w:val="21"/>
                <w:lang w:val="en-US" w:eastAsia="zh-CN"/>
              </w:rPr>
            </w:pPr>
            <w:r>
              <w:rPr>
                <w:rFonts w:hint="default" w:ascii="Times New Roman" w:hAnsi="Times New Roman" w:eastAsia="仿宋_GB2312" w:cs="Times New Roman"/>
                <w:color w:val="000000"/>
                <w:kern w:val="0"/>
                <w:sz w:val="21"/>
                <w:szCs w:val="21"/>
                <w:lang w:val="en-US" w:eastAsia="zh-CN"/>
              </w:rPr>
              <w:t>4</w:t>
            </w:r>
          </w:p>
        </w:tc>
      </w:tr>
      <w:tr w14:paraId="6CD7E38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1207" w:type="dxa"/>
            <w:vMerge w:val="continue"/>
            <w:shd w:val="clear" w:color="auto" w:fill="FFFFFF"/>
            <w:noWrap w:val="0"/>
            <w:vAlign w:val="center"/>
          </w:tcPr>
          <w:p w14:paraId="2529DE82">
            <w:pPr>
              <w:spacing w:line="0" w:lineRule="atLeast"/>
              <w:jc w:val="center"/>
              <w:rPr>
                <w:rFonts w:hint="default" w:ascii="Times New Roman" w:hAnsi="Times New Roman" w:eastAsia="仿宋_GB2312" w:cs="Times New Roman"/>
                <w:color w:val="000000"/>
                <w:kern w:val="0"/>
                <w:sz w:val="21"/>
                <w:szCs w:val="21"/>
              </w:rPr>
            </w:pPr>
          </w:p>
        </w:tc>
        <w:tc>
          <w:tcPr>
            <w:tcW w:w="1013" w:type="dxa"/>
            <w:vMerge w:val="restart"/>
            <w:shd w:val="clear" w:color="auto" w:fill="FFFFFF"/>
            <w:noWrap w:val="0"/>
            <w:vAlign w:val="center"/>
          </w:tcPr>
          <w:p w14:paraId="74557070">
            <w:pPr>
              <w:widowControl/>
              <w:spacing w:line="0" w:lineRule="atLeast"/>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组织实施</w:t>
            </w:r>
          </w:p>
          <w:p w14:paraId="715C6A45">
            <w:pPr>
              <w:spacing w:line="0" w:lineRule="atLeast"/>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　</w:t>
            </w:r>
          </w:p>
        </w:tc>
        <w:tc>
          <w:tcPr>
            <w:tcW w:w="1112" w:type="dxa"/>
            <w:shd w:val="clear" w:color="auto" w:fill="FFFFFF"/>
            <w:noWrap w:val="0"/>
            <w:vAlign w:val="center"/>
          </w:tcPr>
          <w:p w14:paraId="44F13498">
            <w:pPr>
              <w:widowControl/>
              <w:spacing w:line="0" w:lineRule="atLeast"/>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管理制度</w:t>
            </w:r>
          </w:p>
          <w:p w14:paraId="4F417125">
            <w:pPr>
              <w:widowControl/>
              <w:spacing w:line="0" w:lineRule="atLeast"/>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健全性</w:t>
            </w:r>
          </w:p>
        </w:tc>
        <w:tc>
          <w:tcPr>
            <w:tcW w:w="2850" w:type="dxa"/>
            <w:shd w:val="clear" w:color="000000" w:fill="FFFFFF"/>
            <w:noWrap w:val="0"/>
            <w:vAlign w:val="center"/>
          </w:tcPr>
          <w:p w14:paraId="78C87B93">
            <w:pPr>
              <w:widowControl/>
              <w:spacing w:line="0" w:lineRule="atLeast"/>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项目实施单位的财务和业务管理制度是否健全，用以反映和考核财务和业务管理制度对项目顺利实施的保障情况。</w:t>
            </w:r>
          </w:p>
        </w:tc>
        <w:tc>
          <w:tcPr>
            <w:tcW w:w="4743" w:type="dxa"/>
            <w:shd w:val="clear" w:color="000000" w:fill="FFFFFF"/>
            <w:noWrap w:val="0"/>
            <w:vAlign w:val="center"/>
          </w:tcPr>
          <w:p w14:paraId="06899386">
            <w:pPr>
              <w:widowControl/>
              <w:spacing w:line="0" w:lineRule="atLeast"/>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评价要点：</w:t>
            </w:r>
            <w:r>
              <w:rPr>
                <w:rFonts w:hint="default" w:ascii="Times New Roman" w:hAnsi="Times New Roman" w:eastAsia="仿宋_GB2312" w:cs="Times New Roman"/>
                <w:color w:val="000000"/>
                <w:kern w:val="0"/>
                <w:sz w:val="21"/>
                <w:szCs w:val="21"/>
              </w:rPr>
              <w:br w:type="textWrapping"/>
            </w:r>
            <w:r>
              <w:rPr>
                <w:rFonts w:hint="default" w:ascii="Times New Roman" w:hAnsi="Times New Roman" w:eastAsia="仿宋_GB2312" w:cs="Times New Roman"/>
                <w:color w:val="000000"/>
                <w:kern w:val="0"/>
                <w:sz w:val="21"/>
                <w:szCs w:val="21"/>
              </w:rPr>
              <w:t>①是否已制定或具有相应的财务和业务管理制度；</w:t>
            </w:r>
            <w:r>
              <w:rPr>
                <w:rFonts w:hint="default" w:ascii="Times New Roman" w:hAnsi="Times New Roman" w:eastAsia="仿宋_GB2312" w:cs="Times New Roman"/>
                <w:color w:val="000000"/>
                <w:kern w:val="0"/>
                <w:sz w:val="21"/>
                <w:szCs w:val="21"/>
              </w:rPr>
              <w:br w:type="textWrapping"/>
            </w:r>
            <w:r>
              <w:rPr>
                <w:rFonts w:hint="default" w:ascii="Times New Roman" w:hAnsi="Times New Roman" w:eastAsia="仿宋_GB2312" w:cs="Times New Roman"/>
                <w:color w:val="000000"/>
                <w:kern w:val="0"/>
                <w:sz w:val="21"/>
                <w:szCs w:val="21"/>
              </w:rPr>
              <w:t>②财务和业务管理制度是否合法、合规、完整。</w:t>
            </w:r>
          </w:p>
        </w:tc>
        <w:tc>
          <w:tcPr>
            <w:tcW w:w="699" w:type="dxa"/>
            <w:shd w:val="clear" w:color="000000" w:fill="FFFFFF"/>
            <w:noWrap w:val="0"/>
            <w:vAlign w:val="center"/>
          </w:tcPr>
          <w:p w14:paraId="5CF0122C">
            <w:pPr>
              <w:widowControl/>
              <w:spacing w:line="0" w:lineRule="atLeast"/>
              <w:jc w:val="center"/>
              <w:rPr>
                <w:rFonts w:hint="default" w:ascii="Times New Roman" w:hAnsi="Times New Roman" w:eastAsia="仿宋_GB2312" w:cs="Times New Roman"/>
                <w:color w:val="000000"/>
                <w:kern w:val="0"/>
                <w:sz w:val="21"/>
                <w:szCs w:val="21"/>
                <w:lang w:val="en-US" w:eastAsia="zh-CN"/>
              </w:rPr>
            </w:pPr>
            <w:r>
              <w:rPr>
                <w:rFonts w:hint="default" w:ascii="Times New Roman" w:hAnsi="Times New Roman" w:eastAsia="仿宋_GB2312" w:cs="Times New Roman"/>
                <w:color w:val="000000"/>
                <w:kern w:val="0"/>
                <w:sz w:val="21"/>
                <w:szCs w:val="21"/>
                <w:lang w:val="en-US" w:eastAsia="zh-CN"/>
              </w:rPr>
              <w:t>4</w:t>
            </w:r>
          </w:p>
        </w:tc>
        <w:tc>
          <w:tcPr>
            <w:tcW w:w="699" w:type="dxa"/>
            <w:shd w:val="clear" w:color="000000" w:fill="FFFFFF"/>
            <w:noWrap w:val="0"/>
            <w:vAlign w:val="center"/>
          </w:tcPr>
          <w:p w14:paraId="2C7E1A64">
            <w:pPr>
              <w:widowControl/>
              <w:spacing w:line="0" w:lineRule="atLeast"/>
              <w:jc w:val="center"/>
              <w:rPr>
                <w:rFonts w:hint="default" w:ascii="Times New Roman" w:hAnsi="Times New Roman" w:eastAsia="仿宋_GB2312" w:cs="Times New Roman"/>
                <w:color w:val="000000"/>
                <w:kern w:val="0"/>
                <w:sz w:val="21"/>
                <w:szCs w:val="21"/>
                <w:lang w:val="en-US" w:eastAsia="zh-CN"/>
              </w:rPr>
            </w:pPr>
            <w:r>
              <w:rPr>
                <w:rFonts w:hint="default" w:ascii="Times New Roman" w:hAnsi="Times New Roman" w:eastAsia="仿宋_GB2312" w:cs="Times New Roman"/>
                <w:color w:val="000000"/>
                <w:kern w:val="0"/>
                <w:sz w:val="21"/>
                <w:szCs w:val="21"/>
                <w:lang w:val="en-US" w:eastAsia="zh-CN"/>
              </w:rPr>
              <w:t>4</w:t>
            </w:r>
          </w:p>
        </w:tc>
      </w:tr>
      <w:tr w14:paraId="3AEED35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1207" w:type="dxa"/>
            <w:vMerge w:val="continue"/>
            <w:shd w:val="clear" w:color="auto" w:fill="FFFFFF"/>
            <w:noWrap w:val="0"/>
            <w:vAlign w:val="center"/>
          </w:tcPr>
          <w:p w14:paraId="0576F073">
            <w:pPr>
              <w:widowControl/>
              <w:spacing w:line="0" w:lineRule="atLeast"/>
              <w:jc w:val="center"/>
              <w:rPr>
                <w:rFonts w:hint="default" w:ascii="Times New Roman" w:hAnsi="Times New Roman" w:eastAsia="仿宋_GB2312" w:cs="Times New Roman"/>
                <w:color w:val="000000"/>
                <w:kern w:val="0"/>
                <w:sz w:val="21"/>
                <w:szCs w:val="21"/>
              </w:rPr>
            </w:pPr>
          </w:p>
        </w:tc>
        <w:tc>
          <w:tcPr>
            <w:tcW w:w="1013" w:type="dxa"/>
            <w:vMerge w:val="continue"/>
            <w:shd w:val="clear" w:color="auto" w:fill="FFFFFF"/>
            <w:noWrap w:val="0"/>
            <w:vAlign w:val="center"/>
          </w:tcPr>
          <w:p w14:paraId="494341C2">
            <w:pPr>
              <w:widowControl/>
              <w:spacing w:line="0" w:lineRule="atLeast"/>
              <w:jc w:val="center"/>
              <w:rPr>
                <w:rFonts w:hint="default" w:ascii="Times New Roman" w:hAnsi="Times New Roman" w:eastAsia="仿宋_GB2312" w:cs="Times New Roman"/>
                <w:color w:val="000000"/>
                <w:kern w:val="0"/>
                <w:sz w:val="21"/>
                <w:szCs w:val="21"/>
              </w:rPr>
            </w:pPr>
          </w:p>
        </w:tc>
        <w:tc>
          <w:tcPr>
            <w:tcW w:w="1112" w:type="dxa"/>
            <w:shd w:val="clear" w:color="auto" w:fill="FFFFFF"/>
            <w:noWrap w:val="0"/>
            <w:vAlign w:val="center"/>
          </w:tcPr>
          <w:p w14:paraId="55598428">
            <w:pPr>
              <w:widowControl/>
              <w:spacing w:line="0" w:lineRule="atLeast"/>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制度执行</w:t>
            </w:r>
          </w:p>
          <w:p w14:paraId="678F4D34">
            <w:pPr>
              <w:widowControl/>
              <w:spacing w:line="0" w:lineRule="atLeast"/>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有效性</w:t>
            </w:r>
          </w:p>
        </w:tc>
        <w:tc>
          <w:tcPr>
            <w:tcW w:w="2850" w:type="dxa"/>
            <w:shd w:val="clear" w:color="000000" w:fill="FFFFFF"/>
            <w:noWrap w:val="0"/>
            <w:vAlign w:val="center"/>
          </w:tcPr>
          <w:p w14:paraId="713DE4C0">
            <w:pPr>
              <w:widowControl/>
              <w:spacing w:line="0" w:lineRule="atLeast"/>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项目实施是否符合相关管理规定，用以反映和考核相关管理制度的有效执行情况。</w:t>
            </w:r>
          </w:p>
        </w:tc>
        <w:tc>
          <w:tcPr>
            <w:tcW w:w="4743" w:type="dxa"/>
            <w:shd w:val="clear" w:color="000000" w:fill="FFFFFF"/>
            <w:noWrap w:val="0"/>
            <w:vAlign w:val="center"/>
          </w:tcPr>
          <w:p w14:paraId="42B68D81">
            <w:pPr>
              <w:widowControl/>
              <w:spacing w:line="0" w:lineRule="atLeast"/>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评价要点：</w:t>
            </w:r>
            <w:r>
              <w:rPr>
                <w:rFonts w:hint="default" w:ascii="Times New Roman" w:hAnsi="Times New Roman" w:eastAsia="仿宋_GB2312" w:cs="Times New Roman"/>
                <w:color w:val="000000"/>
                <w:kern w:val="0"/>
                <w:sz w:val="21"/>
                <w:szCs w:val="21"/>
              </w:rPr>
              <w:br w:type="textWrapping"/>
            </w:r>
            <w:r>
              <w:rPr>
                <w:rFonts w:hint="default" w:ascii="Times New Roman" w:hAnsi="Times New Roman" w:eastAsia="仿宋_GB2312" w:cs="Times New Roman"/>
                <w:color w:val="000000"/>
                <w:kern w:val="0"/>
                <w:sz w:val="21"/>
                <w:szCs w:val="21"/>
              </w:rPr>
              <w:t>①是否遵守相关法律法规和相关管理规定；</w:t>
            </w:r>
            <w:r>
              <w:rPr>
                <w:rFonts w:hint="default" w:ascii="Times New Roman" w:hAnsi="Times New Roman" w:eastAsia="仿宋_GB2312" w:cs="Times New Roman"/>
                <w:color w:val="000000"/>
                <w:kern w:val="0"/>
                <w:sz w:val="21"/>
                <w:szCs w:val="21"/>
              </w:rPr>
              <w:br w:type="textWrapping"/>
            </w:r>
            <w:r>
              <w:rPr>
                <w:rFonts w:hint="default" w:ascii="Times New Roman" w:hAnsi="Times New Roman" w:eastAsia="仿宋_GB2312" w:cs="Times New Roman"/>
                <w:color w:val="000000"/>
                <w:kern w:val="0"/>
                <w:sz w:val="21"/>
                <w:szCs w:val="21"/>
              </w:rPr>
              <w:t>②项目调整及支出调整手续是否完备；</w:t>
            </w:r>
            <w:r>
              <w:rPr>
                <w:rFonts w:hint="default" w:ascii="Times New Roman" w:hAnsi="Times New Roman" w:eastAsia="仿宋_GB2312" w:cs="Times New Roman"/>
                <w:color w:val="000000"/>
                <w:kern w:val="0"/>
                <w:sz w:val="21"/>
                <w:szCs w:val="21"/>
              </w:rPr>
              <w:br w:type="textWrapping"/>
            </w:r>
            <w:r>
              <w:rPr>
                <w:rFonts w:hint="default" w:ascii="Times New Roman" w:hAnsi="Times New Roman" w:eastAsia="仿宋_GB2312" w:cs="Times New Roman"/>
                <w:color w:val="000000"/>
                <w:kern w:val="0"/>
                <w:sz w:val="21"/>
                <w:szCs w:val="21"/>
              </w:rPr>
              <w:t>③项目合同书、验收报告、技术鉴定等资料是否齐全并及时归档；</w:t>
            </w:r>
            <w:r>
              <w:rPr>
                <w:rFonts w:hint="default" w:ascii="Times New Roman" w:hAnsi="Times New Roman" w:eastAsia="仿宋_GB2312" w:cs="Times New Roman"/>
                <w:color w:val="000000"/>
                <w:kern w:val="0"/>
                <w:sz w:val="21"/>
                <w:szCs w:val="21"/>
              </w:rPr>
              <w:br w:type="textWrapping"/>
            </w:r>
            <w:r>
              <w:rPr>
                <w:rFonts w:hint="default" w:ascii="Times New Roman" w:hAnsi="Times New Roman" w:eastAsia="仿宋_GB2312" w:cs="Times New Roman"/>
                <w:color w:val="000000"/>
                <w:kern w:val="0"/>
                <w:sz w:val="21"/>
                <w:szCs w:val="21"/>
              </w:rPr>
              <w:t>④项目实施的人员条件、场地设备、信息支撑等是否落实到位。</w:t>
            </w:r>
          </w:p>
        </w:tc>
        <w:tc>
          <w:tcPr>
            <w:tcW w:w="699" w:type="dxa"/>
            <w:shd w:val="clear" w:color="000000" w:fill="FFFFFF"/>
            <w:noWrap w:val="0"/>
            <w:vAlign w:val="center"/>
          </w:tcPr>
          <w:p w14:paraId="54D7059A">
            <w:pPr>
              <w:widowControl/>
              <w:spacing w:line="0" w:lineRule="atLeast"/>
              <w:jc w:val="center"/>
              <w:rPr>
                <w:rFonts w:hint="default" w:ascii="Times New Roman" w:hAnsi="Times New Roman" w:eastAsia="仿宋_GB2312" w:cs="Times New Roman"/>
                <w:color w:val="000000"/>
                <w:kern w:val="0"/>
                <w:sz w:val="21"/>
                <w:szCs w:val="21"/>
                <w:lang w:val="en-US" w:eastAsia="zh-CN"/>
              </w:rPr>
            </w:pPr>
            <w:r>
              <w:rPr>
                <w:rFonts w:hint="default" w:ascii="Times New Roman" w:hAnsi="Times New Roman" w:eastAsia="仿宋_GB2312" w:cs="Times New Roman"/>
                <w:color w:val="000000"/>
                <w:kern w:val="0"/>
                <w:sz w:val="21"/>
                <w:szCs w:val="21"/>
                <w:lang w:val="en-US" w:eastAsia="zh-CN"/>
              </w:rPr>
              <w:t>4</w:t>
            </w:r>
          </w:p>
        </w:tc>
        <w:tc>
          <w:tcPr>
            <w:tcW w:w="699" w:type="dxa"/>
            <w:shd w:val="clear" w:color="000000" w:fill="FFFFFF"/>
            <w:noWrap w:val="0"/>
            <w:vAlign w:val="center"/>
          </w:tcPr>
          <w:p w14:paraId="559A11FF">
            <w:pPr>
              <w:widowControl/>
              <w:spacing w:line="0" w:lineRule="atLeast"/>
              <w:jc w:val="center"/>
              <w:rPr>
                <w:rFonts w:hint="default" w:ascii="Times New Roman" w:hAnsi="Times New Roman" w:eastAsia="仿宋_GB2312" w:cs="Times New Roman"/>
                <w:color w:val="000000"/>
                <w:kern w:val="0"/>
                <w:sz w:val="21"/>
                <w:szCs w:val="21"/>
                <w:lang w:val="en-US" w:eastAsia="zh-CN"/>
              </w:rPr>
            </w:pPr>
            <w:r>
              <w:rPr>
                <w:rFonts w:hint="default" w:ascii="Times New Roman" w:hAnsi="Times New Roman" w:eastAsia="仿宋_GB2312" w:cs="Times New Roman"/>
                <w:color w:val="000000"/>
                <w:kern w:val="0"/>
                <w:sz w:val="21"/>
                <w:szCs w:val="21"/>
                <w:lang w:val="en-US" w:eastAsia="zh-CN"/>
              </w:rPr>
              <w:t>4</w:t>
            </w:r>
          </w:p>
        </w:tc>
      </w:tr>
      <w:tr w14:paraId="34CDB3C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797" w:hRule="atLeast"/>
          <w:jc w:val="center"/>
        </w:trPr>
        <w:tc>
          <w:tcPr>
            <w:tcW w:w="1207" w:type="dxa"/>
            <w:shd w:val="clear" w:color="auto" w:fill="FFFFFF"/>
            <w:noWrap w:val="0"/>
            <w:vAlign w:val="center"/>
          </w:tcPr>
          <w:p w14:paraId="3BD91608">
            <w:pPr>
              <w:widowControl/>
              <w:spacing w:line="0" w:lineRule="atLeast"/>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产出</w:t>
            </w:r>
          </w:p>
        </w:tc>
        <w:tc>
          <w:tcPr>
            <w:tcW w:w="1013" w:type="dxa"/>
            <w:shd w:val="clear" w:color="auto" w:fill="FFFFFF"/>
            <w:noWrap w:val="0"/>
            <w:vAlign w:val="center"/>
          </w:tcPr>
          <w:p w14:paraId="51982160">
            <w:pPr>
              <w:widowControl/>
              <w:spacing w:line="0" w:lineRule="atLeast"/>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产出数量</w:t>
            </w:r>
          </w:p>
        </w:tc>
        <w:tc>
          <w:tcPr>
            <w:tcW w:w="1112" w:type="dxa"/>
            <w:shd w:val="clear" w:color="auto" w:fill="FFFFFF"/>
            <w:noWrap w:val="0"/>
            <w:vAlign w:val="center"/>
          </w:tcPr>
          <w:p w14:paraId="0431D40C">
            <w:pPr>
              <w:widowControl/>
              <w:spacing w:line="0" w:lineRule="atLeast"/>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实际完成率</w:t>
            </w:r>
          </w:p>
        </w:tc>
        <w:tc>
          <w:tcPr>
            <w:tcW w:w="2850" w:type="dxa"/>
            <w:shd w:val="clear" w:color="000000" w:fill="FFFFFF"/>
            <w:noWrap w:val="0"/>
            <w:vAlign w:val="center"/>
          </w:tcPr>
          <w:p w14:paraId="13CCBB5E">
            <w:pPr>
              <w:widowControl/>
              <w:spacing w:line="0" w:lineRule="atLeast"/>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项目实施的实际产出数与计划产出数的比率，用以反映和考核项目产出数量目标的实现程度。</w:t>
            </w:r>
          </w:p>
        </w:tc>
        <w:tc>
          <w:tcPr>
            <w:tcW w:w="4743" w:type="dxa"/>
            <w:shd w:val="clear" w:color="000000" w:fill="FFFFFF"/>
            <w:noWrap w:val="0"/>
            <w:vAlign w:val="center"/>
          </w:tcPr>
          <w:p w14:paraId="01A889F2">
            <w:pPr>
              <w:widowControl/>
              <w:spacing w:line="0" w:lineRule="atLeast"/>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实际完成率=（实际产出数/计划产出数）×100%。</w:t>
            </w:r>
            <w:r>
              <w:rPr>
                <w:rFonts w:hint="default" w:ascii="Times New Roman" w:hAnsi="Times New Roman" w:eastAsia="仿宋_GB2312" w:cs="Times New Roman"/>
                <w:color w:val="000000"/>
                <w:kern w:val="0"/>
                <w:sz w:val="21"/>
                <w:szCs w:val="21"/>
              </w:rPr>
              <w:br w:type="textWrapping"/>
            </w:r>
            <w:r>
              <w:rPr>
                <w:rFonts w:hint="default" w:ascii="Times New Roman" w:hAnsi="Times New Roman" w:eastAsia="仿宋_GB2312" w:cs="Times New Roman"/>
                <w:color w:val="000000"/>
                <w:kern w:val="0"/>
                <w:sz w:val="21"/>
                <w:szCs w:val="21"/>
              </w:rPr>
              <w:t>实际产出数：一定时期（本年度或项目期）内项目实际产出的产品或提供的服务数量。</w:t>
            </w:r>
            <w:r>
              <w:rPr>
                <w:rFonts w:hint="default" w:ascii="Times New Roman" w:hAnsi="Times New Roman" w:eastAsia="仿宋_GB2312" w:cs="Times New Roman"/>
                <w:color w:val="000000"/>
                <w:kern w:val="0"/>
                <w:sz w:val="21"/>
                <w:szCs w:val="21"/>
              </w:rPr>
              <w:br w:type="textWrapping"/>
            </w:r>
            <w:r>
              <w:rPr>
                <w:rFonts w:hint="default" w:ascii="Times New Roman" w:hAnsi="Times New Roman" w:eastAsia="仿宋_GB2312" w:cs="Times New Roman"/>
                <w:color w:val="000000"/>
                <w:kern w:val="0"/>
                <w:sz w:val="21"/>
                <w:szCs w:val="21"/>
              </w:rPr>
              <w:t>计划产出数：项目绩效目标确定的在一定时期（本年度或项目期）内计划产出的产品或提供的服务数量。</w:t>
            </w:r>
          </w:p>
        </w:tc>
        <w:tc>
          <w:tcPr>
            <w:tcW w:w="699" w:type="dxa"/>
            <w:shd w:val="clear" w:color="000000" w:fill="FFFFFF"/>
            <w:noWrap w:val="0"/>
            <w:vAlign w:val="center"/>
          </w:tcPr>
          <w:p w14:paraId="3C78D5F0">
            <w:pPr>
              <w:widowControl/>
              <w:spacing w:line="0" w:lineRule="atLeast"/>
              <w:jc w:val="center"/>
              <w:rPr>
                <w:rFonts w:hint="default" w:ascii="Times New Roman" w:hAnsi="Times New Roman" w:eastAsia="仿宋_GB2312" w:cs="Times New Roman"/>
                <w:color w:val="000000"/>
                <w:kern w:val="0"/>
                <w:sz w:val="21"/>
                <w:szCs w:val="21"/>
                <w:lang w:val="en-US" w:eastAsia="zh-CN"/>
              </w:rPr>
            </w:pPr>
            <w:r>
              <w:rPr>
                <w:rFonts w:hint="default" w:ascii="Times New Roman" w:hAnsi="Times New Roman" w:eastAsia="仿宋_GB2312" w:cs="Times New Roman"/>
                <w:color w:val="000000"/>
                <w:kern w:val="0"/>
                <w:sz w:val="21"/>
                <w:szCs w:val="21"/>
                <w:lang w:val="en-US" w:eastAsia="zh-CN"/>
              </w:rPr>
              <w:t>10</w:t>
            </w:r>
          </w:p>
        </w:tc>
        <w:tc>
          <w:tcPr>
            <w:tcW w:w="699" w:type="dxa"/>
            <w:shd w:val="clear" w:color="000000" w:fill="FFFFFF"/>
            <w:noWrap w:val="0"/>
            <w:vAlign w:val="center"/>
          </w:tcPr>
          <w:p w14:paraId="169C496F">
            <w:pPr>
              <w:widowControl/>
              <w:spacing w:line="0" w:lineRule="atLeast"/>
              <w:jc w:val="center"/>
              <w:rPr>
                <w:rFonts w:hint="default" w:ascii="Times New Roman" w:hAnsi="Times New Roman" w:eastAsia="仿宋_GB2312" w:cs="Times New Roman"/>
                <w:color w:val="000000"/>
                <w:kern w:val="0"/>
                <w:sz w:val="21"/>
                <w:szCs w:val="21"/>
                <w:lang w:val="en-US" w:eastAsia="zh-CN"/>
              </w:rPr>
            </w:pPr>
            <w:r>
              <w:rPr>
                <w:rFonts w:hint="default" w:ascii="Times New Roman" w:hAnsi="Times New Roman" w:eastAsia="仿宋_GB2312" w:cs="Times New Roman"/>
                <w:color w:val="000000"/>
                <w:kern w:val="0"/>
                <w:sz w:val="21"/>
                <w:szCs w:val="21"/>
                <w:lang w:val="en-US" w:eastAsia="zh-CN"/>
              </w:rPr>
              <w:t>10</w:t>
            </w:r>
          </w:p>
        </w:tc>
      </w:tr>
      <w:tr w14:paraId="2EAD3C9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1207" w:type="dxa"/>
            <w:vMerge w:val="restart"/>
            <w:shd w:val="clear" w:color="auto" w:fill="FFFFFF"/>
            <w:noWrap w:val="0"/>
            <w:vAlign w:val="center"/>
          </w:tcPr>
          <w:p w14:paraId="79A4C130">
            <w:pPr>
              <w:widowControl/>
              <w:spacing w:line="0" w:lineRule="atLeast"/>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产出</w:t>
            </w:r>
          </w:p>
        </w:tc>
        <w:tc>
          <w:tcPr>
            <w:tcW w:w="1013" w:type="dxa"/>
            <w:shd w:val="clear" w:color="auto" w:fill="FFFFFF"/>
            <w:noWrap w:val="0"/>
            <w:vAlign w:val="center"/>
          </w:tcPr>
          <w:p w14:paraId="7BDA4BDB">
            <w:pPr>
              <w:widowControl/>
              <w:spacing w:line="0" w:lineRule="atLeast"/>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产出质量</w:t>
            </w:r>
          </w:p>
        </w:tc>
        <w:tc>
          <w:tcPr>
            <w:tcW w:w="1112" w:type="dxa"/>
            <w:shd w:val="clear" w:color="auto" w:fill="FFFFFF"/>
            <w:noWrap w:val="0"/>
            <w:vAlign w:val="center"/>
          </w:tcPr>
          <w:p w14:paraId="0254DD2D">
            <w:pPr>
              <w:widowControl/>
              <w:spacing w:line="0" w:lineRule="atLeast"/>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质量达标率</w:t>
            </w:r>
          </w:p>
        </w:tc>
        <w:tc>
          <w:tcPr>
            <w:tcW w:w="2850" w:type="dxa"/>
            <w:shd w:val="clear" w:color="000000" w:fill="FFFFFF"/>
            <w:noWrap w:val="0"/>
            <w:vAlign w:val="center"/>
          </w:tcPr>
          <w:p w14:paraId="7CF751C5">
            <w:pPr>
              <w:widowControl/>
              <w:spacing w:line="0" w:lineRule="atLeast"/>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项目完成的质量达标产出数与实际产出数的比率，用以反映和考核项目产出质量目标的实现程度。</w:t>
            </w:r>
          </w:p>
        </w:tc>
        <w:tc>
          <w:tcPr>
            <w:tcW w:w="4743" w:type="dxa"/>
            <w:shd w:val="clear" w:color="000000" w:fill="FFFFFF"/>
            <w:noWrap w:val="0"/>
            <w:vAlign w:val="center"/>
          </w:tcPr>
          <w:p w14:paraId="1B5CF591">
            <w:pPr>
              <w:widowControl/>
              <w:spacing w:line="0" w:lineRule="atLeast"/>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质量达标率=（质量达标产出数/实际产出数）×100%。</w:t>
            </w:r>
          </w:p>
          <w:p w14:paraId="00FC6764">
            <w:pPr>
              <w:widowControl/>
              <w:spacing w:line="0" w:lineRule="atLeast"/>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699" w:type="dxa"/>
            <w:shd w:val="clear" w:color="000000" w:fill="FFFFFF"/>
            <w:noWrap w:val="0"/>
            <w:vAlign w:val="center"/>
          </w:tcPr>
          <w:p w14:paraId="7518D22C">
            <w:pPr>
              <w:widowControl/>
              <w:spacing w:line="0" w:lineRule="atLeast"/>
              <w:jc w:val="center"/>
              <w:rPr>
                <w:rFonts w:hint="default" w:ascii="Times New Roman" w:hAnsi="Times New Roman" w:eastAsia="仿宋_GB2312" w:cs="Times New Roman"/>
                <w:color w:val="000000"/>
                <w:kern w:val="0"/>
                <w:sz w:val="21"/>
                <w:szCs w:val="21"/>
                <w:lang w:val="en-US" w:eastAsia="zh-CN"/>
              </w:rPr>
            </w:pPr>
            <w:r>
              <w:rPr>
                <w:rFonts w:hint="default" w:ascii="Times New Roman" w:hAnsi="Times New Roman" w:eastAsia="仿宋_GB2312" w:cs="Times New Roman"/>
                <w:color w:val="000000"/>
                <w:kern w:val="0"/>
                <w:sz w:val="21"/>
                <w:szCs w:val="21"/>
                <w:lang w:val="en-US" w:eastAsia="zh-CN"/>
              </w:rPr>
              <w:t>10</w:t>
            </w:r>
          </w:p>
        </w:tc>
        <w:tc>
          <w:tcPr>
            <w:tcW w:w="699" w:type="dxa"/>
            <w:shd w:val="clear" w:color="000000" w:fill="FFFFFF"/>
            <w:noWrap w:val="0"/>
            <w:vAlign w:val="center"/>
          </w:tcPr>
          <w:p w14:paraId="42A52CF6">
            <w:pPr>
              <w:widowControl/>
              <w:spacing w:line="0" w:lineRule="atLeast"/>
              <w:jc w:val="center"/>
              <w:rPr>
                <w:rFonts w:hint="default" w:ascii="Times New Roman" w:hAnsi="Times New Roman" w:eastAsia="仿宋_GB2312" w:cs="Times New Roman"/>
                <w:color w:val="000000"/>
                <w:kern w:val="0"/>
                <w:sz w:val="21"/>
                <w:szCs w:val="21"/>
                <w:lang w:val="en-US" w:eastAsia="zh-CN"/>
              </w:rPr>
            </w:pPr>
            <w:r>
              <w:rPr>
                <w:rFonts w:hint="default" w:ascii="Times New Roman" w:hAnsi="Times New Roman" w:eastAsia="仿宋_GB2312" w:cs="Times New Roman"/>
                <w:color w:val="000000"/>
                <w:kern w:val="0"/>
                <w:sz w:val="21"/>
                <w:szCs w:val="21"/>
                <w:lang w:val="en-US" w:eastAsia="zh-CN"/>
              </w:rPr>
              <w:t>10</w:t>
            </w:r>
          </w:p>
        </w:tc>
      </w:tr>
      <w:tr w14:paraId="7FF1A72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1207" w:type="dxa"/>
            <w:vMerge w:val="continue"/>
            <w:shd w:val="clear" w:color="auto" w:fill="FFFFFF"/>
            <w:noWrap w:val="0"/>
            <w:vAlign w:val="center"/>
          </w:tcPr>
          <w:p w14:paraId="6BA847CD">
            <w:pPr>
              <w:spacing w:line="0" w:lineRule="atLeast"/>
              <w:jc w:val="center"/>
              <w:rPr>
                <w:rFonts w:hint="default" w:ascii="Times New Roman" w:hAnsi="Times New Roman" w:eastAsia="仿宋_GB2312" w:cs="Times New Roman"/>
                <w:color w:val="000000"/>
                <w:kern w:val="0"/>
                <w:sz w:val="21"/>
                <w:szCs w:val="21"/>
              </w:rPr>
            </w:pPr>
          </w:p>
        </w:tc>
        <w:tc>
          <w:tcPr>
            <w:tcW w:w="1013" w:type="dxa"/>
            <w:shd w:val="clear" w:color="auto" w:fill="FFFFFF"/>
            <w:noWrap w:val="0"/>
            <w:vAlign w:val="center"/>
          </w:tcPr>
          <w:p w14:paraId="004664B5">
            <w:pPr>
              <w:spacing w:line="0" w:lineRule="atLeast"/>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产出时效</w:t>
            </w:r>
          </w:p>
        </w:tc>
        <w:tc>
          <w:tcPr>
            <w:tcW w:w="1112" w:type="dxa"/>
            <w:shd w:val="clear" w:color="auto" w:fill="FFFFFF"/>
            <w:noWrap w:val="0"/>
            <w:vAlign w:val="center"/>
          </w:tcPr>
          <w:p w14:paraId="41CC9418">
            <w:pPr>
              <w:widowControl/>
              <w:spacing w:line="0" w:lineRule="atLeast"/>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完成及时性</w:t>
            </w:r>
          </w:p>
        </w:tc>
        <w:tc>
          <w:tcPr>
            <w:tcW w:w="2850" w:type="dxa"/>
            <w:shd w:val="clear" w:color="000000" w:fill="FFFFFF"/>
            <w:noWrap w:val="0"/>
            <w:vAlign w:val="center"/>
          </w:tcPr>
          <w:p w14:paraId="7555F41B">
            <w:pPr>
              <w:widowControl/>
              <w:spacing w:line="0" w:lineRule="atLeast"/>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项目实际完成时间与计划完成时间的比较，用以反映和考核项目产出时效目标的实现程度。</w:t>
            </w:r>
          </w:p>
        </w:tc>
        <w:tc>
          <w:tcPr>
            <w:tcW w:w="4743" w:type="dxa"/>
            <w:shd w:val="clear" w:color="000000" w:fill="FFFFFF"/>
            <w:noWrap w:val="0"/>
            <w:vAlign w:val="center"/>
          </w:tcPr>
          <w:p w14:paraId="556EA061">
            <w:pPr>
              <w:widowControl/>
              <w:spacing w:line="0" w:lineRule="atLeast"/>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实际完成时间：项目实施单位完成该项目实际所耗用的时间。</w:t>
            </w:r>
            <w:r>
              <w:rPr>
                <w:rFonts w:hint="default" w:ascii="Times New Roman" w:hAnsi="Times New Roman" w:eastAsia="仿宋_GB2312" w:cs="Times New Roman"/>
                <w:color w:val="000000"/>
                <w:kern w:val="0"/>
                <w:sz w:val="21"/>
                <w:szCs w:val="21"/>
              </w:rPr>
              <w:br w:type="textWrapping"/>
            </w:r>
            <w:r>
              <w:rPr>
                <w:rFonts w:hint="default" w:ascii="Times New Roman" w:hAnsi="Times New Roman" w:eastAsia="仿宋_GB2312" w:cs="Times New Roman"/>
                <w:color w:val="000000"/>
                <w:kern w:val="0"/>
                <w:sz w:val="21"/>
                <w:szCs w:val="21"/>
              </w:rPr>
              <w:t>计划完成时间：按照项目实施计划或相关规定完成该项目所需的时间。</w:t>
            </w:r>
          </w:p>
        </w:tc>
        <w:tc>
          <w:tcPr>
            <w:tcW w:w="699" w:type="dxa"/>
            <w:shd w:val="clear" w:color="000000" w:fill="FFFFFF"/>
            <w:noWrap w:val="0"/>
            <w:vAlign w:val="center"/>
          </w:tcPr>
          <w:p w14:paraId="5058AFA7">
            <w:pPr>
              <w:widowControl/>
              <w:spacing w:line="0" w:lineRule="atLeast"/>
              <w:jc w:val="center"/>
              <w:rPr>
                <w:rFonts w:hint="default" w:ascii="Times New Roman" w:hAnsi="Times New Roman" w:eastAsia="仿宋_GB2312" w:cs="Times New Roman"/>
                <w:color w:val="000000"/>
                <w:kern w:val="0"/>
                <w:sz w:val="21"/>
                <w:szCs w:val="21"/>
                <w:lang w:val="en-US" w:eastAsia="zh-CN"/>
              </w:rPr>
            </w:pPr>
            <w:r>
              <w:rPr>
                <w:rFonts w:hint="default" w:ascii="Times New Roman" w:hAnsi="Times New Roman" w:eastAsia="仿宋_GB2312" w:cs="Times New Roman"/>
                <w:color w:val="000000"/>
                <w:kern w:val="0"/>
                <w:sz w:val="21"/>
                <w:szCs w:val="21"/>
                <w:lang w:val="en-US" w:eastAsia="zh-CN"/>
              </w:rPr>
              <w:t>10</w:t>
            </w:r>
          </w:p>
        </w:tc>
        <w:tc>
          <w:tcPr>
            <w:tcW w:w="699" w:type="dxa"/>
            <w:shd w:val="clear" w:color="000000" w:fill="FFFFFF"/>
            <w:noWrap w:val="0"/>
            <w:vAlign w:val="center"/>
          </w:tcPr>
          <w:p w14:paraId="22AC6979">
            <w:pPr>
              <w:widowControl/>
              <w:spacing w:line="0" w:lineRule="atLeast"/>
              <w:jc w:val="center"/>
              <w:rPr>
                <w:rFonts w:hint="default" w:ascii="Times New Roman" w:hAnsi="Times New Roman" w:eastAsia="仿宋_GB2312" w:cs="Times New Roman"/>
                <w:color w:val="000000"/>
                <w:kern w:val="0"/>
                <w:sz w:val="21"/>
                <w:szCs w:val="21"/>
                <w:lang w:val="en-US" w:eastAsia="zh-CN"/>
              </w:rPr>
            </w:pPr>
            <w:r>
              <w:rPr>
                <w:rFonts w:hint="default" w:ascii="Times New Roman" w:hAnsi="Times New Roman" w:eastAsia="仿宋_GB2312" w:cs="Times New Roman"/>
                <w:color w:val="000000"/>
                <w:kern w:val="0"/>
                <w:sz w:val="21"/>
                <w:szCs w:val="21"/>
                <w:lang w:val="en-US" w:eastAsia="zh-CN"/>
              </w:rPr>
              <w:t>10</w:t>
            </w:r>
          </w:p>
        </w:tc>
      </w:tr>
      <w:tr w14:paraId="52B6C36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1207" w:type="dxa"/>
            <w:vMerge w:val="continue"/>
            <w:shd w:val="clear" w:color="auto" w:fill="FFFFFF"/>
            <w:noWrap w:val="0"/>
            <w:vAlign w:val="center"/>
          </w:tcPr>
          <w:p w14:paraId="0764CDAA">
            <w:pPr>
              <w:widowControl/>
              <w:spacing w:line="0" w:lineRule="atLeast"/>
              <w:jc w:val="center"/>
              <w:rPr>
                <w:rFonts w:hint="default" w:ascii="Times New Roman" w:hAnsi="Times New Roman" w:eastAsia="仿宋_GB2312" w:cs="Times New Roman"/>
                <w:color w:val="000000"/>
                <w:kern w:val="0"/>
                <w:sz w:val="21"/>
                <w:szCs w:val="21"/>
              </w:rPr>
            </w:pPr>
          </w:p>
        </w:tc>
        <w:tc>
          <w:tcPr>
            <w:tcW w:w="1013" w:type="dxa"/>
            <w:shd w:val="clear" w:color="auto" w:fill="FFFFFF"/>
            <w:noWrap w:val="0"/>
            <w:vAlign w:val="center"/>
          </w:tcPr>
          <w:p w14:paraId="300C537E">
            <w:pPr>
              <w:widowControl/>
              <w:spacing w:line="0" w:lineRule="atLeast"/>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产出成本</w:t>
            </w:r>
          </w:p>
        </w:tc>
        <w:tc>
          <w:tcPr>
            <w:tcW w:w="1112" w:type="dxa"/>
            <w:shd w:val="clear" w:color="auto" w:fill="FFFFFF"/>
            <w:noWrap w:val="0"/>
            <w:vAlign w:val="center"/>
          </w:tcPr>
          <w:p w14:paraId="0B4CC8D9">
            <w:pPr>
              <w:widowControl/>
              <w:spacing w:line="0" w:lineRule="atLeast"/>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成本节约率</w:t>
            </w:r>
          </w:p>
        </w:tc>
        <w:tc>
          <w:tcPr>
            <w:tcW w:w="2850" w:type="dxa"/>
            <w:shd w:val="clear" w:color="000000" w:fill="FFFFFF"/>
            <w:noWrap w:val="0"/>
            <w:vAlign w:val="center"/>
          </w:tcPr>
          <w:p w14:paraId="5264ED79">
            <w:pPr>
              <w:widowControl/>
              <w:spacing w:line="0" w:lineRule="atLeast"/>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完成项目计划工作目标的实际节约成本与计划成本的比率，用以反映和考核项目的成本节约程度。</w:t>
            </w:r>
          </w:p>
        </w:tc>
        <w:tc>
          <w:tcPr>
            <w:tcW w:w="4743" w:type="dxa"/>
            <w:shd w:val="clear" w:color="000000" w:fill="FFFFFF"/>
            <w:noWrap w:val="0"/>
            <w:vAlign w:val="center"/>
          </w:tcPr>
          <w:p w14:paraId="7BF33065">
            <w:pPr>
              <w:widowControl/>
              <w:spacing w:line="0" w:lineRule="atLeast"/>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br w:type="textWrapping"/>
            </w:r>
            <w:r>
              <w:rPr>
                <w:rFonts w:hint="default" w:ascii="Times New Roman" w:hAnsi="Times New Roman" w:eastAsia="仿宋_GB2312" w:cs="Times New Roman"/>
                <w:color w:val="000000"/>
                <w:kern w:val="0"/>
                <w:sz w:val="21"/>
                <w:szCs w:val="21"/>
              </w:rPr>
              <w:t>成本节约率=[（计划成本-实际成本）/计划成本]×100%。</w:t>
            </w:r>
            <w:r>
              <w:rPr>
                <w:rFonts w:hint="default" w:ascii="Times New Roman" w:hAnsi="Times New Roman" w:eastAsia="仿宋_GB2312" w:cs="Times New Roman"/>
                <w:color w:val="000000"/>
                <w:kern w:val="0"/>
                <w:sz w:val="21"/>
                <w:szCs w:val="21"/>
              </w:rPr>
              <w:br w:type="textWrapping"/>
            </w:r>
            <w:r>
              <w:rPr>
                <w:rFonts w:hint="default" w:ascii="Times New Roman" w:hAnsi="Times New Roman" w:eastAsia="仿宋_GB2312" w:cs="Times New Roman"/>
                <w:color w:val="000000"/>
                <w:kern w:val="0"/>
                <w:sz w:val="21"/>
                <w:szCs w:val="21"/>
              </w:rPr>
              <w:t>实际成本：项目实施单位如期、保质、保量完成既定工作目标实际所耗费的支出。</w:t>
            </w:r>
            <w:r>
              <w:rPr>
                <w:rFonts w:hint="default" w:ascii="Times New Roman" w:hAnsi="Times New Roman" w:eastAsia="仿宋_GB2312" w:cs="Times New Roman"/>
                <w:color w:val="000000"/>
                <w:kern w:val="0"/>
                <w:sz w:val="21"/>
                <w:szCs w:val="21"/>
              </w:rPr>
              <w:br w:type="textWrapping"/>
            </w:r>
            <w:r>
              <w:rPr>
                <w:rFonts w:hint="default" w:ascii="Times New Roman" w:hAnsi="Times New Roman" w:eastAsia="仿宋_GB2312" w:cs="Times New Roman"/>
                <w:color w:val="000000"/>
                <w:kern w:val="0"/>
                <w:sz w:val="21"/>
                <w:szCs w:val="21"/>
              </w:rPr>
              <w:t>计划成本：项目实施单位为完成工作目标计划安排的支出，一般以项目预算为参考。</w:t>
            </w:r>
          </w:p>
        </w:tc>
        <w:tc>
          <w:tcPr>
            <w:tcW w:w="699" w:type="dxa"/>
            <w:shd w:val="clear" w:color="000000" w:fill="FFFFFF"/>
            <w:noWrap w:val="0"/>
            <w:vAlign w:val="center"/>
          </w:tcPr>
          <w:p w14:paraId="294D2061">
            <w:pPr>
              <w:widowControl/>
              <w:spacing w:line="0" w:lineRule="atLeast"/>
              <w:jc w:val="center"/>
              <w:rPr>
                <w:rFonts w:hint="default" w:ascii="Times New Roman" w:hAnsi="Times New Roman" w:eastAsia="仿宋_GB2312" w:cs="Times New Roman"/>
                <w:color w:val="000000"/>
                <w:kern w:val="0"/>
                <w:sz w:val="21"/>
                <w:szCs w:val="21"/>
                <w:lang w:val="en-US" w:eastAsia="zh-CN"/>
              </w:rPr>
            </w:pPr>
            <w:r>
              <w:rPr>
                <w:rFonts w:hint="default" w:ascii="Times New Roman" w:hAnsi="Times New Roman" w:eastAsia="仿宋_GB2312" w:cs="Times New Roman"/>
                <w:color w:val="000000"/>
                <w:kern w:val="0"/>
                <w:sz w:val="21"/>
                <w:szCs w:val="21"/>
                <w:lang w:val="en-US" w:eastAsia="zh-CN"/>
              </w:rPr>
              <w:t>10</w:t>
            </w:r>
          </w:p>
        </w:tc>
        <w:tc>
          <w:tcPr>
            <w:tcW w:w="699" w:type="dxa"/>
            <w:shd w:val="clear" w:color="000000" w:fill="FFFFFF"/>
            <w:noWrap w:val="0"/>
            <w:vAlign w:val="center"/>
          </w:tcPr>
          <w:p w14:paraId="02BA4D49">
            <w:pPr>
              <w:widowControl/>
              <w:spacing w:line="0" w:lineRule="atLeast"/>
              <w:jc w:val="center"/>
              <w:rPr>
                <w:rFonts w:hint="default" w:ascii="Times New Roman" w:hAnsi="Times New Roman" w:eastAsia="仿宋_GB2312" w:cs="Times New Roman"/>
                <w:color w:val="000000"/>
                <w:kern w:val="0"/>
                <w:sz w:val="21"/>
                <w:szCs w:val="21"/>
                <w:lang w:val="en-US" w:eastAsia="zh-CN"/>
              </w:rPr>
            </w:pPr>
            <w:r>
              <w:rPr>
                <w:rFonts w:hint="default" w:ascii="Times New Roman" w:hAnsi="Times New Roman" w:eastAsia="仿宋_GB2312" w:cs="Times New Roman"/>
                <w:color w:val="000000"/>
                <w:kern w:val="0"/>
                <w:sz w:val="21"/>
                <w:szCs w:val="21"/>
                <w:lang w:val="en-US" w:eastAsia="zh-CN"/>
              </w:rPr>
              <w:t>10</w:t>
            </w:r>
          </w:p>
        </w:tc>
      </w:tr>
      <w:tr w14:paraId="7E858D0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1207" w:type="dxa"/>
            <w:vMerge w:val="restart"/>
            <w:shd w:val="clear" w:color="auto" w:fill="FFFFFF"/>
            <w:noWrap w:val="0"/>
            <w:vAlign w:val="center"/>
          </w:tcPr>
          <w:p w14:paraId="00D688C2">
            <w:pPr>
              <w:widowControl/>
              <w:spacing w:line="0" w:lineRule="atLeast"/>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效益　</w:t>
            </w:r>
          </w:p>
        </w:tc>
        <w:tc>
          <w:tcPr>
            <w:tcW w:w="1013" w:type="dxa"/>
            <w:vMerge w:val="restart"/>
            <w:shd w:val="clear" w:color="auto" w:fill="FFFFFF"/>
            <w:noWrap w:val="0"/>
            <w:vAlign w:val="center"/>
          </w:tcPr>
          <w:p w14:paraId="7F5E62C7">
            <w:pPr>
              <w:widowControl/>
              <w:spacing w:line="0" w:lineRule="atLeast"/>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项目效益　</w:t>
            </w:r>
          </w:p>
        </w:tc>
        <w:tc>
          <w:tcPr>
            <w:tcW w:w="1112" w:type="dxa"/>
            <w:shd w:val="clear" w:color="auto" w:fill="FFFFFF"/>
            <w:noWrap w:val="0"/>
            <w:vAlign w:val="center"/>
          </w:tcPr>
          <w:p w14:paraId="5229F9EB">
            <w:pPr>
              <w:widowControl/>
              <w:spacing w:line="0" w:lineRule="atLeast"/>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实施效益</w:t>
            </w:r>
          </w:p>
        </w:tc>
        <w:tc>
          <w:tcPr>
            <w:tcW w:w="2850" w:type="dxa"/>
            <w:shd w:val="clear" w:color="auto" w:fill="FFFFFF"/>
            <w:noWrap w:val="0"/>
            <w:vAlign w:val="center"/>
          </w:tcPr>
          <w:p w14:paraId="221AB720">
            <w:pPr>
              <w:widowControl/>
              <w:spacing w:line="0" w:lineRule="atLeast"/>
              <w:jc w:val="left"/>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项目实施所产生的效益。</w:t>
            </w:r>
          </w:p>
        </w:tc>
        <w:tc>
          <w:tcPr>
            <w:tcW w:w="4743" w:type="dxa"/>
            <w:shd w:val="clear" w:color="auto" w:fill="FFFFFF"/>
            <w:noWrap w:val="0"/>
            <w:vAlign w:val="center"/>
          </w:tcPr>
          <w:p w14:paraId="19AA8FFF">
            <w:pPr>
              <w:widowControl/>
              <w:spacing w:line="0" w:lineRule="atLeast"/>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项目实施所产生的社会效益、经济效益、生态效益、可持续影响等。可根据项目实际情况有选择地设置和细化。</w:t>
            </w:r>
          </w:p>
        </w:tc>
        <w:tc>
          <w:tcPr>
            <w:tcW w:w="699" w:type="dxa"/>
            <w:shd w:val="clear" w:color="auto" w:fill="FFFFFF"/>
            <w:noWrap w:val="0"/>
            <w:vAlign w:val="center"/>
          </w:tcPr>
          <w:p w14:paraId="3A91433B">
            <w:pPr>
              <w:widowControl/>
              <w:spacing w:line="0" w:lineRule="atLeast"/>
              <w:jc w:val="center"/>
              <w:rPr>
                <w:rFonts w:hint="default" w:ascii="Times New Roman" w:hAnsi="Times New Roman" w:eastAsia="仿宋_GB2312" w:cs="Times New Roman"/>
                <w:color w:val="000000"/>
                <w:kern w:val="0"/>
                <w:sz w:val="21"/>
                <w:szCs w:val="21"/>
                <w:lang w:val="en-US" w:eastAsia="zh-CN"/>
              </w:rPr>
            </w:pPr>
            <w:r>
              <w:rPr>
                <w:rFonts w:hint="default" w:ascii="Times New Roman" w:hAnsi="Times New Roman" w:eastAsia="仿宋_GB2312" w:cs="Times New Roman"/>
                <w:color w:val="000000"/>
                <w:kern w:val="0"/>
                <w:sz w:val="21"/>
                <w:szCs w:val="21"/>
                <w:lang w:val="en-US" w:eastAsia="zh-CN"/>
              </w:rPr>
              <w:t>0</w:t>
            </w:r>
          </w:p>
        </w:tc>
        <w:tc>
          <w:tcPr>
            <w:tcW w:w="699" w:type="dxa"/>
            <w:shd w:val="clear" w:color="auto" w:fill="FFFFFF"/>
            <w:noWrap w:val="0"/>
            <w:vAlign w:val="center"/>
          </w:tcPr>
          <w:p w14:paraId="7E04BD9F">
            <w:pPr>
              <w:widowControl/>
              <w:spacing w:line="0" w:lineRule="atLeast"/>
              <w:jc w:val="center"/>
              <w:rPr>
                <w:rFonts w:hint="default" w:ascii="Times New Roman" w:hAnsi="Times New Roman" w:eastAsia="仿宋_GB2312" w:cs="Times New Roman"/>
                <w:color w:val="000000"/>
                <w:kern w:val="0"/>
                <w:sz w:val="21"/>
                <w:szCs w:val="21"/>
                <w:lang w:val="en-US" w:eastAsia="zh-CN"/>
              </w:rPr>
            </w:pPr>
            <w:r>
              <w:rPr>
                <w:rFonts w:hint="default" w:ascii="Times New Roman" w:hAnsi="Times New Roman" w:eastAsia="仿宋_GB2312" w:cs="Times New Roman"/>
                <w:color w:val="000000"/>
                <w:kern w:val="0"/>
                <w:sz w:val="21"/>
                <w:szCs w:val="21"/>
                <w:lang w:val="en-US" w:eastAsia="zh-CN"/>
              </w:rPr>
              <w:t>0</w:t>
            </w:r>
          </w:p>
        </w:tc>
      </w:tr>
      <w:tr w14:paraId="18B2699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1207" w:type="dxa"/>
            <w:vMerge w:val="continue"/>
            <w:shd w:val="clear" w:color="auto" w:fill="FFFFFF"/>
            <w:noWrap w:val="0"/>
            <w:vAlign w:val="center"/>
          </w:tcPr>
          <w:p w14:paraId="6BD18BE6">
            <w:pPr>
              <w:widowControl/>
              <w:spacing w:line="0" w:lineRule="atLeast"/>
              <w:jc w:val="center"/>
              <w:rPr>
                <w:rFonts w:hint="default" w:ascii="Times New Roman" w:hAnsi="Times New Roman" w:eastAsia="仿宋_GB2312" w:cs="Times New Roman"/>
                <w:color w:val="000000"/>
                <w:kern w:val="0"/>
                <w:sz w:val="21"/>
                <w:szCs w:val="21"/>
              </w:rPr>
            </w:pPr>
          </w:p>
        </w:tc>
        <w:tc>
          <w:tcPr>
            <w:tcW w:w="1013" w:type="dxa"/>
            <w:vMerge w:val="continue"/>
            <w:shd w:val="clear" w:color="auto" w:fill="FFFFFF"/>
            <w:noWrap w:val="0"/>
            <w:vAlign w:val="center"/>
          </w:tcPr>
          <w:p w14:paraId="2D060014">
            <w:pPr>
              <w:widowControl/>
              <w:spacing w:line="0" w:lineRule="atLeast"/>
              <w:jc w:val="center"/>
              <w:rPr>
                <w:rFonts w:hint="default" w:ascii="Times New Roman" w:hAnsi="Times New Roman" w:eastAsia="仿宋_GB2312" w:cs="Times New Roman"/>
                <w:color w:val="000000"/>
                <w:kern w:val="0"/>
                <w:sz w:val="21"/>
                <w:szCs w:val="21"/>
              </w:rPr>
            </w:pPr>
          </w:p>
        </w:tc>
        <w:tc>
          <w:tcPr>
            <w:tcW w:w="1112" w:type="dxa"/>
            <w:shd w:val="clear" w:color="auto" w:fill="FFFFFF"/>
            <w:noWrap w:val="0"/>
            <w:vAlign w:val="center"/>
          </w:tcPr>
          <w:p w14:paraId="504C2242">
            <w:pPr>
              <w:widowControl/>
              <w:spacing w:line="0" w:lineRule="atLeast"/>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满意度</w:t>
            </w:r>
          </w:p>
        </w:tc>
        <w:tc>
          <w:tcPr>
            <w:tcW w:w="2850" w:type="dxa"/>
            <w:shd w:val="clear" w:color="000000" w:fill="FFFFFF"/>
            <w:noWrap w:val="0"/>
            <w:vAlign w:val="center"/>
          </w:tcPr>
          <w:p w14:paraId="03ACA0F5">
            <w:pPr>
              <w:widowControl/>
              <w:spacing w:line="0" w:lineRule="atLeast"/>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社会公众或服务对象对项目实施效果的满意程度。</w:t>
            </w:r>
          </w:p>
        </w:tc>
        <w:tc>
          <w:tcPr>
            <w:tcW w:w="4743" w:type="dxa"/>
            <w:shd w:val="clear" w:color="000000" w:fill="FFFFFF"/>
            <w:noWrap w:val="0"/>
            <w:vAlign w:val="center"/>
          </w:tcPr>
          <w:p w14:paraId="400505FA">
            <w:pPr>
              <w:widowControl/>
              <w:spacing w:line="0" w:lineRule="atLeast"/>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社会公众或服务对象是指因该项目实施而受到影响的部门（单位）、群体或个人。一般采取社会调查的方式。</w:t>
            </w:r>
          </w:p>
        </w:tc>
        <w:tc>
          <w:tcPr>
            <w:tcW w:w="699" w:type="dxa"/>
            <w:shd w:val="clear" w:color="000000" w:fill="FFFFFF"/>
            <w:noWrap w:val="0"/>
            <w:vAlign w:val="center"/>
          </w:tcPr>
          <w:p w14:paraId="18751E59">
            <w:pPr>
              <w:widowControl/>
              <w:spacing w:line="0" w:lineRule="atLeast"/>
              <w:jc w:val="center"/>
              <w:rPr>
                <w:rFonts w:hint="default" w:ascii="Times New Roman" w:hAnsi="Times New Roman" w:eastAsia="仿宋_GB2312" w:cs="Times New Roman"/>
                <w:color w:val="000000"/>
                <w:kern w:val="0"/>
                <w:sz w:val="21"/>
                <w:szCs w:val="21"/>
                <w:lang w:val="en-US" w:eastAsia="zh-CN"/>
              </w:rPr>
            </w:pPr>
            <w:r>
              <w:rPr>
                <w:rFonts w:hint="default" w:ascii="Times New Roman" w:hAnsi="Times New Roman" w:eastAsia="仿宋_GB2312" w:cs="Times New Roman"/>
                <w:color w:val="000000"/>
                <w:kern w:val="0"/>
                <w:sz w:val="21"/>
                <w:szCs w:val="21"/>
                <w:lang w:val="en-US" w:eastAsia="zh-CN"/>
              </w:rPr>
              <w:t>20</w:t>
            </w:r>
          </w:p>
        </w:tc>
        <w:tc>
          <w:tcPr>
            <w:tcW w:w="699" w:type="dxa"/>
            <w:shd w:val="clear" w:color="000000" w:fill="FFFFFF"/>
            <w:noWrap w:val="0"/>
            <w:vAlign w:val="center"/>
          </w:tcPr>
          <w:p w14:paraId="780D9747">
            <w:pPr>
              <w:widowControl/>
              <w:spacing w:line="0" w:lineRule="atLeast"/>
              <w:jc w:val="center"/>
              <w:rPr>
                <w:rFonts w:hint="default" w:ascii="Times New Roman" w:hAnsi="Times New Roman" w:eastAsia="仿宋_GB2312" w:cs="Times New Roman"/>
                <w:color w:val="000000"/>
                <w:kern w:val="0"/>
                <w:sz w:val="21"/>
                <w:szCs w:val="21"/>
                <w:lang w:val="en-US" w:eastAsia="zh-CN"/>
              </w:rPr>
            </w:pPr>
            <w:r>
              <w:rPr>
                <w:rFonts w:hint="default" w:ascii="Times New Roman" w:hAnsi="Times New Roman" w:eastAsia="仿宋_GB2312" w:cs="Times New Roman"/>
                <w:color w:val="000000"/>
                <w:kern w:val="0"/>
                <w:sz w:val="21"/>
                <w:szCs w:val="21"/>
                <w:lang w:val="en-US" w:eastAsia="zh-CN"/>
              </w:rPr>
              <w:t>20</w:t>
            </w:r>
          </w:p>
        </w:tc>
      </w:tr>
    </w:tbl>
    <w:p w14:paraId="0185DAA2">
      <w:pPr>
        <w:keepNext w:val="0"/>
        <w:keepLines w:val="0"/>
        <w:pageBreakBefore w:val="0"/>
        <w:numPr>
          <w:ilvl w:val="0"/>
          <w:numId w:val="2"/>
        </w:numPr>
        <w:kinsoku/>
        <w:wordWrap/>
        <w:overflowPunct/>
        <w:topLinePunct w:val="0"/>
        <w:autoSpaceDE/>
        <w:autoSpaceDN/>
        <w:bidi w:val="0"/>
        <w:adjustRightInd/>
        <w:spacing w:line="560" w:lineRule="exact"/>
        <w:ind w:left="-430" w:leftChars="0" w:firstLine="640" w:firstLineChars="0"/>
        <w:rPr>
          <w:rStyle w:val="16"/>
          <w:rFonts w:hint="eastAsia" w:ascii="仿宋_GB2312" w:hAnsi="仿宋_GB2312" w:eastAsia="仿宋_GB2312" w:cs="仿宋_GB2312"/>
          <w:b/>
          <w:bCs w:val="0"/>
          <w:spacing w:val="-4"/>
          <w:sz w:val="28"/>
          <w:szCs w:val="28"/>
        </w:rPr>
      </w:pPr>
      <w:r>
        <w:rPr>
          <w:rStyle w:val="16"/>
          <w:rFonts w:hint="eastAsia" w:ascii="仿宋_GB2312" w:hAnsi="仿宋_GB2312" w:eastAsia="仿宋_GB2312" w:cs="仿宋_GB2312"/>
          <w:b/>
          <w:bCs w:val="0"/>
          <w:spacing w:val="-4"/>
          <w:sz w:val="28"/>
          <w:szCs w:val="28"/>
        </w:rPr>
        <w:t>评价方法</w:t>
      </w:r>
    </w:p>
    <w:p w14:paraId="05331F09">
      <w:pPr>
        <w:keepNext w:val="0"/>
        <w:keepLines w:val="0"/>
        <w:pageBreakBefore w:val="0"/>
        <w:numPr>
          <w:ilvl w:val="0"/>
          <w:numId w:val="0"/>
        </w:numPr>
        <w:kinsoku/>
        <w:wordWrap/>
        <w:overflowPunct/>
        <w:topLinePunct w:val="0"/>
        <w:autoSpaceDE/>
        <w:autoSpaceDN/>
        <w:bidi w:val="0"/>
        <w:adjustRightInd/>
        <w:spacing w:line="560" w:lineRule="exact"/>
        <w:ind w:firstLine="544" w:firstLineChars="200"/>
        <w:rPr>
          <w:rStyle w:val="16"/>
          <w:rFonts w:hint="eastAsia" w:ascii="仿宋_GB2312" w:hAnsi="仿宋_GB2312" w:eastAsia="仿宋_GB2312" w:cs="仿宋_GB2312"/>
          <w:b w:val="0"/>
          <w:bCs/>
          <w:spacing w:val="-4"/>
          <w:sz w:val="28"/>
          <w:szCs w:val="28"/>
        </w:rPr>
      </w:pPr>
      <w:r>
        <w:rPr>
          <w:rStyle w:val="16"/>
          <w:rFonts w:hint="eastAsia" w:ascii="仿宋_GB2312" w:hAnsi="仿宋_GB2312" w:eastAsia="仿宋_GB2312" w:cs="仿宋_GB2312"/>
          <w:b w:val="0"/>
          <w:bCs/>
          <w:spacing w:val="-4"/>
          <w:sz w:val="28"/>
          <w:szCs w:val="28"/>
          <w:lang w:val="en-US" w:eastAsia="zh-CN"/>
        </w:rPr>
        <w:t>采用支出与效益进行对比分析的成本效益分析法，以及通过对绩效目标与实施效果比较，指标制定上定量与定性相结合比较等评价方法。组织本处处级</w:t>
      </w:r>
      <w:r>
        <w:rPr>
          <w:rStyle w:val="16"/>
          <w:rFonts w:hint="eastAsia" w:ascii="仿宋_GB2312" w:hAnsi="仿宋_GB2312" w:eastAsia="仿宋_GB2312" w:cs="仿宋_GB2312"/>
          <w:b w:val="0"/>
          <w:bCs/>
          <w:spacing w:val="-4"/>
          <w:sz w:val="28"/>
          <w:szCs w:val="28"/>
        </w:rPr>
        <w:t>以上干部参与评价，由项目负责人进行梳理并整改。</w:t>
      </w:r>
    </w:p>
    <w:p w14:paraId="74DE8740">
      <w:pPr>
        <w:keepNext w:val="0"/>
        <w:keepLines w:val="0"/>
        <w:pageBreakBefore w:val="0"/>
        <w:numPr>
          <w:ilvl w:val="0"/>
          <w:numId w:val="2"/>
        </w:numPr>
        <w:kinsoku/>
        <w:wordWrap/>
        <w:overflowPunct/>
        <w:topLinePunct w:val="0"/>
        <w:autoSpaceDE/>
        <w:autoSpaceDN/>
        <w:bidi w:val="0"/>
        <w:adjustRightInd/>
        <w:spacing w:line="560" w:lineRule="exact"/>
        <w:ind w:left="-430" w:leftChars="0" w:firstLine="640" w:firstLineChars="0"/>
        <w:rPr>
          <w:rStyle w:val="16"/>
          <w:rFonts w:hint="eastAsia" w:ascii="仿宋_GB2312" w:hAnsi="仿宋_GB2312" w:eastAsia="仿宋_GB2312" w:cs="仿宋_GB2312"/>
          <w:i w:val="0"/>
          <w:caps w:val="0"/>
          <w:color w:val="000000"/>
          <w:spacing w:val="0"/>
          <w:sz w:val="28"/>
          <w:szCs w:val="28"/>
          <w:highlight w:val="none"/>
          <w:shd w:val="clear" w:color="auto" w:fill="FFFFFF"/>
        </w:rPr>
      </w:pPr>
      <w:r>
        <w:rPr>
          <w:rStyle w:val="16"/>
          <w:rFonts w:hint="eastAsia" w:ascii="仿宋_GB2312" w:hAnsi="仿宋_GB2312" w:eastAsia="仿宋_GB2312" w:cs="仿宋_GB2312"/>
          <w:i w:val="0"/>
          <w:caps w:val="0"/>
          <w:color w:val="000000"/>
          <w:spacing w:val="0"/>
          <w:sz w:val="28"/>
          <w:szCs w:val="28"/>
          <w:highlight w:val="none"/>
          <w:shd w:val="clear" w:color="auto" w:fill="FFFFFF"/>
        </w:rPr>
        <w:t>评价标准</w:t>
      </w:r>
    </w:p>
    <w:p w14:paraId="162420B1">
      <w:pPr>
        <w:keepNext w:val="0"/>
        <w:keepLines w:val="0"/>
        <w:pageBreakBefore w:val="0"/>
        <w:widowControl w:val="0"/>
        <w:kinsoku/>
        <w:wordWrap/>
        <w:overflowPunct/>
        <w:topLinePunct w:val="0"/>
        <w:autoSpaceDE/>
        <w:autoSpaceDN/>
        <w:bidi w:val="0"/>
        <w:adjustRightInd/>
        <w:snapToGrid/>
        <w:spacing w:line="480" w:lineRule="auto"/>
        <w:ind w:firstLine="840" w:firstLineChars="300"/>
        <w:jc w:val="both"/>
        <w:textAlignment w:val="auto"/>
        <w:rPr>
          <w:rFonts w:hint="eastAsia" w:ascii="仿宋_GB2312" w:hAnsi="仿宋_GB2312" w:eastAsia="仿宋_GB2312" w:cs="仿宋_GB2312"/>
          <w:sz w:val="28"/>
          <w:szCs w:val="28"/>
        </w:rPr>
        <w:sectPr>
          <w:pgSz w:w="16838" w:h="11906" w:orient="landscape"/>
          <w:pgMar w:top="1080" w:right="1440" w:bottom="1080" w:left="1440" w:header="851" w:footer="992" w:gutter="0"/>
          <w:pgBorders>
            <w:top w:val="none" w:sz="0" w:space="0"/>
            <w:left w:val="none" w:sz="0" w:space="0"/>
            <w:bottom w:val="none" w:sz="0" w:space="0"/>
            <w:right w:val="none" w:sz="0" w:space="0"/>
          </w:pgBorders>
          <w:pgNumType w:fmt="decimal"/>
          <w:cols w:space="720" w:num="1"/>
          <w:docGrid w:type="lines" w:linePitch="312" w:charSpace="0"/>
        </w:sectPr>
      </w:pPr>
      <w:r>
        <w:rPr>
          <w:rStyle w:val="16"/>
          <w:rFonts w:hint="eastAsia" w:ascii="仿宋_GB2312" w:hAnsi="仿宋_GB2312" w:eastAsia="仿宋_GB2312" w:cs="仿宋_GB2312"/>
          <w:b w:val="0"/>
          <w:bCs/>
          <w:i w:val="0"/>
          <w:caps w:val="0"/>
          <w:color w:val="000000"/>
          <w:spacing w:val="0"/>
          <w:sz w:val="28"/>
          <w:szCs w:val="28"/>
          <w:highlight w:val="none"/>
          <w:shd w:val="clear" w:color="auto" w:fill="FFFFFF"/>
          <w:lang w:val="en-US" w:eastAsia="zh-CN"/>
        </w:rPr>
        <w:t>结合项目具体情况，采用计划标准评价，即</w:t>
      </w:r>
      <w:r>
        <w:rPr>
          <w:rFonts w:hint="eastAsia" w:ascii="仿宋_GB2312" w:hAnsi="仿宋_GB2312" w:eastAsia="仿宋_GB2312" w:cs="仿宋_GB2312"/>
          <w:bCs/>
          <w:color w:val="000000"/>
          <w:sz w:val="28"/>
          <w:szCs w:val="28"/>
        </w:rPr>
        <w:t>以预先制定的目标、计划、预算、定额等作为评价标准</w:t>
      </w:r>
      <w:r>
        <w:rPr>
          <w:rFonts w:hint="eastAsia" w:ascii="仿宋_GB2312" w:hAnsi="仿宋_GB2312" w:eastAsia="仿宋_GB2312" w:cs="仿宋_GB2312"/>
          <w:bCs/>
          <w:color w:val="000000"/>
          <w:sz w:val="28"/>
          <w:szCs w:val="28"/>
          <w:lang w:eastAsia="zh-CN"/>
        </w:rPr>
        <w:t>，</w:t>
      </w:r>
      <w:r>
        <w:rPr>
          <w:rStyle w:val="16"/>
          <w:rFonts w:hint="eastAsia" w:ascii="仿宋_GB2312" w:hAnsi="仿宋_GB2312" w:eastAsia="仿宋_GB2312" w:cs="仿宋_GB2312"/>
          <w:b w:val="0"/>
          <w:bCs/>
          <w:i w:val="0"/>
          <w:caps w:val="0"/>
          <w:color w:val="000000"/>
          <w:spacing w:val="0"/>
          <w:sz w:val="28"/>
          <w:szCs w:val="28"/>
          <w:highlight w:val="none"/>
          <w:shd w:val="clear" w:color="auto" w:fill="FFFFFF"/>
          <w:lang w:val="en-US" w:eastAsia="zh-CN"/>
        </w:rPr>
        <w:t>用于</w:t>
      </w:r>
      <w:r>
        <w:rPr>
          <w:rFonts w:hint="eastAsia" w:ascii="仿宋_GB2312" w:hAnsi="仿宋_GB2312" w:eastAsia="仿宋_GB2312" w:cs="仿宋_GB2312"/>
          <w:bCs/>
          <w:color w:val="000000"/>
          <w:sz w:val="28"/>
          <w:szCs w:val="28"/>
          <w:lang w:val="en-US" w:eastAsia="zh-CN"/>
        </w:rPr>
        <w:t>对“</w:t>
      </w:r>
      <w:r>
        <w:rPr>
          <w:rFonts w:hint="eastAsia" w:ascii="仿宋_GB2312" w:hAnsi="仿宋_GB2312" w:eastAsia="仿宋_GB2312" w:cs="仿宋_GB2312"/>
          <w:kern w:val="0"/>
          <w:sz w:val="28"/>
          <w:szCs w:val="28"/>
          <w:lang w:val="en-US" w:eastAsia="zh-CN"/>
        </w:rPr>
        <w:t>原破产企业职工暖气费生活补助及养老保险金</w:t>
      </w:r>
      <w:r>
        <w:rPr>
          <w:rStyle w:val="16"/>
          <w:rFonts w:hint="eastAsia" w:ascii="仿宋_GB2312" w:hAnsi="仿宋_GB2312" w:eastAsia="仿宋_GB2312" w:cs="仿宋_GB2312"/>
          <w:b w:val="0"/>
          <w:bCs/>
          <w:color w:val="000000"/>
          <w:spacing w:val="-4"/>
          <w:sz w:val="28"/>
          <w:szCs w:val="28"/>
          <w:lang w:eastAsia="zh-CN"/>
        </w:rPr>
        <w:t>”项目的</w:t>
      </w:r>
      <w:r>
        <w:rPr>
          <w:rStyle w:val="16"/>
          <w:rFonts w:hint="eastAsia" w:ascii="仿宋_GB2312" w:hAnsi="仿宋_GB2312" w:eastAsia="仿宋_GB2312" w:cs="仿宋_GB2312"/>
          <w:b w:val="0"/>
          <w:bCs/>
          <w:i w:val="0"/>
          <w:caps w:val="0"/>
          <w:color w:val="000000"/>
          <w:spacing w:val="0"/>
          <w:sz w:val="28"/>
          <w:szCs w:val="28"/>
          <w:highlight w:val="none"/>
          <w:shd w:val="clear" w:color="auto" w:fill="FFFFFF"/>
          <w:lang w:val="en-US" w:eastAsia="zh-CN"/>
        </w:rPr>
        <w:t>绩效指标完成情况进行比</w:t>
      </w:r>
    </w:p>
    <w:p w14:paraId="1F5FE4E1">
      <w:pPr>
        <w:pStyle w:val="12"/>
        <w:numPr>
          <w:ilvl w:val="0"/>
          <w:numId w:val="3"/>
        </w:numPr>
        <w:spacing w:before="0" w:after="0" w:line="600" w:lineRule="exact"/>
        <w:ind w:left="-711" w:leftChars="0" w:firstLine="711" w:firstLineChars="0"/>
        <w:jc w:val="both"/>
        <w:rPr>
          <w:rFonts w:hint="eastAsia" w:ascii="仿宋_GB2312" w:hAnsi="仿宋_GB2312" w:eastAsia="仿宋_GB2312" w:cs="仿宋_GB2312"/>
          <w:color w:val="000000"/>
          <w:spacing w:val="17"/>
          <w:sz w:val="28"/>
          <w:szCs w:val="28"/>
        </w:rPr>
      </w:pPr>
      <w:bookmarkStart w:id="6" w:name="_Toc4252"/>
      <w:r>
        <w:rPr>
          <w:rFonts w:hint="eastAsia" w:ascii="仿宋_GB2312" w:hAnsi="仿宋_GB2312" w:eastAsia="仿宋_GB2312" w:cs="仿宋_GB2312"/>
          <w:color w:val="000000"/>
          <w:spacing w:val="17"/>
          <w:sz w:val="28"/>
          <w:szCs w:val="28"/>
        </w:rPr>
        <w:t>绩效评价工作过程。</w:t>
      </w:r>
      <w:bookmarkEnd w:id="6"/>
    </w:p>
    <w:p w14:paraId="6E047D36">
      <w:pPr>
        <w:numPr>
          <w:ilvl w:val="0"/>
          <w:numId w:val="4"/>
        </w:numPr>
        <w:spacing w:line="60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前期准备。成立部门绩效评价小组，学习评价指标体系和绩效相关文件</w:t>
      </w:r>
      <w:r>
        <w:rPr>
          <w:rFonts w:hint="eastAsia" w:ascii="仿宋_GB2312" w:hAnsi="仿宋_GB2312" w:eastAsia="仿宋_GB2312" w:cs="仿宋_GB2312"/>
          <w:bCs/>
          <w:sz w:val="28"/>
          <w:szCs w:val="28"/>
          <w:lang w:val="en-US" w:eastAsia="zh-CN"/>
        </w:rPr>
        <w:t>精神</w:t>
      </w:r>
      <w:r>
        <w:rPr>
          <w:rFonts w:hint="eastAsia" w:ascii="仿宋_GB2312" w:hAnsi="仿宋_GB2312" w:eastAsia="仿宋_GB2312" w:cs="仿宋_GB2312"/>
          <w:bCs/>
          <w:sz w:val="28"/>
          <w:szCs w:val="28"/>
        </w:rPr>
        <w:t>。项目负责同志参加了厅财审处组织的专项</w:t>
      </w:r>
      <w:r>
        <w:rPr>
          <w:rFonts w:hint="eastAsia" w:ascii="仿宋_GB2312" w:hAnsi="仿宋_GB2312" w:eastAsia="仿宋_GB2312" w:cs="仿宋_GB2312"/>
          <w:bCs/>
          <w:sz w:val="28"/>
          <w:szCs w:val="28"/>
          <w:lang w:val="en-US" w:eastAsia="zh-CN"/>
        </w:rPr>
        <w:t>业务</w:t>
      </w:r>
      <w:r>
        <w:rPr>
          <w:rFonts w:hint="eastAsia" w:ascii="仿宋_GB2312" w:hAnsi="仿宋_GB2312" w:eastAsia="仿宋_GB2312" w:cs="仿宋_GB2312"/>
          <w:bCs/>
          <w:sz w:val="28"/>
          <w:szCs w:val="28"/>
        </w:rPr>
        <w:t>培训，全体在职人员参与绩效评价工作。</w:t>
      </w:r>
    </w:p>
    <w:p w14:paraId="05300005">
      <w:pPr>
        <w:numPr>
          <w:ilvl w:val="0"/>
          <w:numId w:val="4"/>
        </w:numPr>
        <w:spacing w:line="60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组织实施。按照规定的工作程序组织绩效评价自评，注重评价质量，撰写绩效评价报告。</w:t>
      </w:r>
    </w:p>
    <w:p w14:paraId="0E86CC93">
      <w:pPr>
        <w:numPr>
          <w:ilvl w:val="0"/>
          <w:numId w:val="4"/>
        </w:numPr>
        <w:spacing w:line="60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分析评价。对评价结果进行整改</w:t>
      </w:r>
      <w:r>
        <w:rPr>
          <w:rFonts w:hint="eastAsia" w:ascii="仿宋_GB2312" w:hAnsi="仿宋_GB2312" w:eastAsia="仿宋_GB2312" w:cs="仿宋_GB2312"/>
          <w:bCs/>
          <w:sz w:val="28"/>
          <w:szCs w:val="28"/>
          <w:lang w:eastAsia="zh-CN"/>
        </w:rPr>
        <w:t>，</w:t>
      </w:r>
      <w:r>
        <w:rPr>
          <w:rFonts w:hint="eastAsia" w:ascii="仿宋_GB2312" w:hAnsi="仿宋_GB2312" w:eastAsia="仿宋_GB2312" w:cs="仿宋_GB2312"/>
          <w:bCs/>
          <w:sz w:val="28"/>
          <w:szCs w:val="28"/>
        </w:rPr>
        <w:t>充分运用分析评价</w:t>
      </w:r>
      <w:r>
        <w:rPr>
          <w:rFonts w:hint="eastAsia" w:ascii="仿宋_GB2312" w:hAnsi="仿宋_GB2312" w:eastAsia="仿宋_GB2312" w:cs="仿宋_GB2312"/>
          <w:bCs/>
          <w:sz w:val="28"/>
          <w:szCs w:val="28"/>
          <w:lang w:eastAsia="zh-CN"/>
        </w:rPr>
        <w:t>指导项目绩效工作</w:t>
      </w:r>
      <w:r>
        <w:rPr>
          <w:rFonts w:hint="eastAsia" w:ascii="仿宋_GB2312" w:hAnsi="仿宋_GB2312" w:eastAsia="仿宋_GB2312" w:cs="仿宋_GB2312"/>
          <w:bCs/>
          <w:sz w:val="28"/>
          <w:szCs w:val="28"/>
        </w:rPr>
        <w:t>。并要求进一步建立和健全单位绩效评价相关制度和操作规程，提高单位的管理水平，提高预算编制的准确性和科学性。</w:t>
      </w:r>
    </w:p>
    <w:p w14:paraId="660531B4">
      <w:pPr>
        <w:keepNext w:val="0"/>
        <w:keepLines w:val="0"/>
        <w:pageBreakBefore w:val="0"/>
        <w:kinsoku/>
        <w:wordWrap/>
        <w:overflowPunct/>
        <w:topLinePunct w:val="0"/>
        <w:autoSpaceDE/>
        <w:autoSpaceDN/>
        <w:bidi w:val="0"/>
        <w:adjustRightInd/>
        <w:snapToGrid/>
        <w:spacing w:after="0" w:line="560" w:lineRule="exact"/>
        <w:ind w:right="0" w:rightChars="0"/>
        <w:textAlignment w:val="auto"/>
        <w:outlineLvl w:val="0"/>
        <w:rPr>
          <w:rStyle w:val="16"/>
          <w:rFonts w:hint="eastAsia" w:ascii="仿宋_GB2312" w:hAnsi="仿宋_GB2312" w:eastAsia="仿宋_GB2312" w:cs="仿宋_GB2312"/>
          <w:b w:val="0"/>
          <w:bCs w:val="0"/>
          <w:spacing w:val="-4"/>
          <w:sz w:val="28"/>
          <w:szCs w:val="28"/>
          <w:lang w:eastAsia="zh-CN"/>
        </w:rPr>
      </w:pPr>
      <w:bookmarkStart w:id="7" w:name="_Toc30539"/>
      <w:r>
        <w:rPr>
          <w:rStyle w:val="16"/>
          <w:rFonts w:hint="eastAsia" w:ascii="仿宋_GB2312" w:hAnsi="仿宋_GB2312" w:eastAsia="仿宋_GB2312" w:cs="仿宋_GB2312"/>
          <w:b w:val="0"/>
          <w:bCs w:val="0"/>
          <w:spacing w:val="-4"/>
          <w:sz w:val="28"/>
          <w:szCs w:val="28"/>
          <w:lang w:val="en-US" w:eastAsia="zh-CN"/>
        </w:rPr>
        <w:t>三</w:t>
      </w:r>
      <w:r>
        <w:rPr>
          <w:rStyle w:val="16"/>
          <w:rFonts w:hint="eastAsia" w:ascii="仿宋_GB2312" w:hAnsi="仿宋_GB2312" w:eastAsia="仿宋_GB2312" w:cs="仿宋_GB2312"/>
          <w:b w:val="0"/>
          <w:bCs w:val="0"/>
          <w:spacing w:val="-4"/>
          <w:sz w:val="28"/>
          <w:szCs w:val="28"/>
          <w:lang w:eastAsia="zh-CN"/>
        </w:rPr>
        <w:t>、综合评价情况及评价结论</w:t>
      </w:r>
      <w:bookmarkEnd w:id="7"/>
    </w:p>
    <w:p w14:paraId="3509080A">
      <w:pPr>
        <w:pStyle w:val="2"/>
        <w:ind w:left="0" w:leftChars="0" w:firstLine="0" w:firstLineChars="0"/>
        <w:rPr>
          <w:rStyle w:val="16"/>
          <w:rFonts w:hint="eastAsia" w:ascii="仿宋_GB2312" w:hAnsi="仿宋_GB2312" w:eastAsia="仿宋_GB2312" w:cs="仿宋_GB2312"/>
          <w:b w:val="0"/>
          <w:bCs/>
          <w:spacing w:val="-4"/>
          <w:kern w:val="0"/>
          <w:sz w:val="28"/>
          <w:szCs w:val="28"/>
          <w:lang w:val="en-US" w:eastAsia="zh-CN" w:bidi="ar"/>
        </w:rPr>
      </w:pPr>
      <w:r>
        <w:rPr>
          <w:rStyle w:val="16"/>
          <w:rFonts w:hint="eastAsia" w:ascii="仿宋_GB2312" w:hAnsi="仿宋_GB2312" w:eastAsia="仿宋_GB2312" w:cs="仿宋_GB2312"/>
          <w:b w:val="0"/>
          <w:bCs/>
          <w:spacing w:val="-4"/>
          <w:kern w:val="0"/>
          <w:sz w:val="28"/>
          <w:szCs w:val="28"/>
          <w:lang w:val="en-US" w:eastAsia="zh-CN" w:bidi="ar"/>
        </w:rPr>
        <w:t>（一）综合评价情况</w:t>
      </w:r>
    </w:p>
    <w:p w14:paraId="5F02E659">
      <w:pPr>
        <w:pStyle w:val="2"/>
        <w:ind w:left="0" w:leftChars="0" w:firstLine="544" w:firstLineChars="200"/>
        <w:rPr>
          <w:rStyle w:val="16"/>
          <w:rFonts w:hint="eastAsia" w:ascii="仿宋_GB2312" w:hAnsi="仿宋_GB2312" w:eastAsia="仿宋_GB2312" w:cs="仿宋_GB2312"/>
          <w:b w:val="0"/>
          <w:bCs/>
          <w:spacing w:val="-4"/>
          <w:kern w:val="0"/>
          <w:sz w:val="28"/>
          <w:szCs w:val="28"/>
          <w:lang w:val="en-US" w:eastAsia="zh-CN" w:bidi="ar"/>
        </w:rPr>
      </w:pPr>
      <w:r>
        <w:rPr>
          <w:rStyle w:val="16"/>
          <w:rFonts w:hint="eastAsia" w:ascii="仿宋_GB2312" w:hAnsi="仿宋_GB2312" w:eastAsia="仿宋_GB2312" w:cs="仿宋_GB2312"/>
          <w:b w:val="0"/>
          <w:bCs/>
          <w:spacing w:val="-4"/>
          <w:kern w:val="0"/>
          <w:sz w:val="28"/>
          <w:szCs w:val="28"/>
          <w:lang w:val="en-US" w:eastAsia="zh-CN" w:bidi="ar"/>
        </w:rPr>
        <w:t>本项目严格按照科学公正、统筹兼顾、激励约束、公开透明等绩效评价原则，采用支出与效益进行对比分析的成本效益分析法评价方法，坚持计划标准评价绩效评价标准对本项目的立项、项绩效目标、资金投入、资金管理、组织实施、产出数量、产出质量、产出时效、产出成本、项目效益进行了综合评价。</w:t>
      </w:r>
    </w:p>
    <w:p w14:paraId="5557C39F">
      <w:pPr>
        <w:pStyle w:val="2"/>
        <w:ind w:firstLine="2819" w:firstLineChars="900"/>
        <w:outlineLvl w:val="0"/>
        <w:rPr>
          <w:rStyle w:val="16"/>
          <w:rFonts w:hint="eastAsia" w:ascii="仿宋_GB2312" w:hAnsi="仿宋_GB2312" w:eastAsia="仿宋_GB2312" w:cs="仿宋_GB2312"/>
          <w:b/>
          <w:bCs w:val="0"/>
          <w:spacing w:val="-4"/>
          <w:kern w:val="0"/>
          <w:sz w:val="32"/>
          <w:szCs w:val="32"/>
          <w:lang w:val="en-US" w:eastAsia="zh-CN" w:bidi="ar"/>
        </w:rPr>
      </w:pPr>
      <w:bookmarkStart w:id="8" w:name="_Toc314"/>
      <w:r>
        <w:rPr>
          <w:rStyle w:val="16"/>
          <w:rFonts w:hint="eastAsia" w:ascii="仿宋_GB2312" w:hAnsi="仿宋_GB2312" w:eastAsia="仿宋_GB2312" w:cs="仿宋_GB2312"/>
          <w:b/>
          <w:bCs w:val="0"/>
          <w:spacing w:val="-4"/>
          <w:kern w:val="0"/>
          <w:sz w:val="32"/>
          <w:szCs w:val="32"/>
          <w:lang w:val="en-US" w:eastAsia="zh-CN" w:bidi="ar"/>
        </w:rPr>
        <w:t>项目评价得分情况</w:t>
      </w:r>
      <w:bookmarkEnd w:id="8"/>
    </w:p>
    <w:tbl>
      <w:tblPr>
        <w:tblStyle w:val="14"/>
        <w:tblpPr w:leftFromText="180" w:rightFromText="180" w:vertAnchor="text" w:horzAnchor="page" w:tblpX="1590" w:tblpY="399"/>
        <w:tblOverlap w:val="never"/>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92"/>
        <w:gridCol w:w="1992"/>
        <w:gridCol w:w="1992"/>
        <w:gridCol w:w="1351"/>
        <w:gridCol w:w="2635"/>
      </w:tblGrid>
      <w:tr w14:paraId="6A2334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2" w:type="dxa"/>
            <w:noWrap w:val="0"/>
            <w:vAlign w:val="top"/>
          </w:tcPr>
          <w:p w14:paraId="7E3A2029">
            <w:pPr>
              <w:keepNext w:val="0"/>
              <w:keepLines w:val="0"/>
              <w:pageBreakBefore w:val="0"/>
              <w:widowControl/>
              <w:kinsoku/>
              <w:wordWrap/>
              <w:overflowPunct/>
              <w:topLinePunct w:val="0"/>
              <w:autoSpaceDE/>
              <w:autoSpaceDN/>
              <w:bidi w:val="0"/>
              <w:adjustRightInd/>
              <w:snapToGrid/>
              <w:spacing w:after="0" w:line="560" w:lineRule="exact"/>
              <w:ind w:right="0" w:rightChars="0"/>
              <w:jc w:val="center"/>
              <w:textAlignment w:val="auto"/>
              <w:outlineLvl w:val="9"/>
              <w:rPr>
                <w:rStyle w:val="16"/>
                <w:rFonts w:hint="eastAsia" w:ascii="新宋体" w:hAnsi="新宋体" w:eastAsia="新宋体" w:cs="新宋体"/>
                <w:b/>
                <w:bCs w:val="0"/>
                <w:spacing w:val="-4"/>
                <w:sz w:val="21"/>
                <w:szCs w:val="21"/>
                <w:vertAlign w:val="baseline"/>
              </w:rPr>
            </w:pPr>
            <w:r>
              <w:rPr>
                <w:rStyle w:val="16"/>
                <w:rFonts w:hint="eastAsia" w:ascii="新宋体" w:hAnsi="新宋体" w:eastAsia="新宋体" w:cs="新宋体"/>
                <w:b/>
                <w:bCs w:val="0"/>
                <w:spacing w:val="-4"/>
                <w:sz w:val="21"/>
                <w:szCs w:val="21"/>
                <w:vertAlign w:val="baseline"/>
              </w:rPr>
              <w:t>一级指标</w:t>
            </w:r>
          </w:p>
        </w:tc>
        <w:tc>
          <w:tcPr>
            <w:tcW w:w="1992" w:type="dxa"/>
            <w:noWrap w:val="0"/>
            <w:vAlign w:val="top"/>
          </w:tcPr>
          <w:p w14:paraId="585CDDD3">
            <w:pPr>
              <w:keepNext w:val="0"/>
              <w:keepLines w:val="0"/>
              <w:pageBreakBefore w:val="0"/>
              <w:widowControl/>
              <w:kinsoku/>
              <w:wordWrap/>
              <w:overflowPunct/>
              <w:topLinePunct w:val="0"/>
              <w:autoSpaceDE/>
              <w:autoSpaceDN/>
              <w:bidi w:val="0"/>
              <w:adjustRightInd/>
              <w:snapToGrid/>
              <w:spacing w:after="0" w:line="560" w:lineRule="exact"/>
              <w:ind w:right="0" w:rightChars="0"/>
              <w:jc w:val="center"/>
              <w:textAlignment w:val="auto"/>
              <w:outlineLvl w:val="9"/>
              <w:rPr>
                <w:rStyle w:val="16"/>
                <w:rFonts w:hint="eastAsia" w:ascii="新宋体" w:hAnsi="新宋体" w:eastAsia="新宋体" w:cs="新宋体"/>
                <w:b/>
                <w:bCs w:val="0"/>
                <w:spacing w:val="-4"/>
                <w:sz w:val="21"/>
                <w:szCs w:val="21"/>
                <w:vertAlign w:val="baseline"/>
              </w:rPr>
            </w:pPr>
            <w:r>
              <w:rPr>
                <w:rStyle w:val="16"/>
                <w:rFonts w:hint="eastAsia" w:ascii="新宋体" w:hAnsi="新宋体" w:eastAsia="新宋体" w:cs="新宋体"/>
                <w:b/>
                <w:bCs w:val="0"/>
                <w:spacing w:val="-4"/>
                <w:sz w:val="21"/>
                <w:szCs w:val="21"/>
                <w:vertAlign w:val="baseline"/>
              </w:rPr>
              <w:t>二级指标</w:t>
            </w:r>
          </w:p>
        </w:tc>
        <w:tc>
          <w:tcPr>
            <w:tcW w:w="1992" w:type="dxa"/>
            <w:noWrap w:val="0"/>
            <w:vAlign w:val="top"/>
          </w:tcPr>
          <w:p w14:paraId="50F753A4">
            <w:pPr>
              <w:keepNext w:val="0"/>
              <w:keepLines w:val="0"/>
              <w:pageBreakBefore w:val="0"/>
              <w:widowControl/>
              <w:kinsoku/>
              <w:wordWrap/>
              <w:overflowPunct/>
              <w:topLinePunct w:val="0"/>
              <w:autoSpaceDE/>
              <w:autoSpaceDN/>
              <w:bidi w:val="0"/>
              <w:adjustRightInd/>
              <w:snapToGrid/>
              <w:spacing w:after="0" w:line="560" w:lineRule="exact"/>
              <w:ind w:right="0" w:rightChars="0"/>
              <w:jc w:val="center"/>
              <w:textAlignment w:val="auto"/>
              <w:outlineLvl w:val="9"/>
              <w:rPr>
                <w:rStyle w:val="16"/>
                <w:rFonts w:hint="eastAsia" w:ascii="新宋体" w:hAnsi="新宋体" w:eastAsia="新宋体" w:cs="新宋体"/>
                <w:b/>
                <w:bCs w:val="0"/>
                <w:spacing w:val="-4"/>
                <w:sz w:val="21"/>
                <w:szCs w:val="21"/>
                <w:vertAlign w:val="baseline"/>
              </w:rPr>
            </w:pPr>
            <w:r>
              <w:rPr>
                <w:rStyle w:val="16"/>
                <w:rFonts w:hint="eastAsia" w:ascii="新宋体" w:hAnsi="新宋体" w:eastAsia="新宋体" w:cs="新宋体"/>
                <w:b/>
                <w:bCs w:val="0"/>
                <w:spacing w:val="-4"/>
                <w:sz w:val="21"/>
                <w:szCs w:val="21"/>
                <w:vertAlign w:val="baseline"/>
              </w:rPr>
              <w:t>三级指标</w:t>
            </w:r>
          </w:p>
        </w:tc>
        <w:tc>
          <w:tcPr>
            <w:tcW w:w="1351" w:type="dxa"/>
            <w:noWrap w:val="0"/>
            <w:vAlign w:val="top"/>
          </w:tcPr>
          <w:p w14:paraId="7FFCC33F">
            <w:pPr>
              <w:keepNext w:val="0"/>
              <w:keepLines w:val="0"/>
              <w:pageBreakBefore w:val="0"/>
              <w:widowControl/>
              <w:kinsoku/>
              <w:wordWrap/>
              <w:overflowPunct/>
              <w:topLinePunct w:val="0"/>
              <w:autoSpaceDE/>
              <w:autoSpaceDN/>
              <w:bidi w:val="0"/>
              <w:adjustRightInd/>
              <w:snapToGrid/>
              <w:spacing w:after="0" w:line="560" w:lineRule="exact"/>
              <w:ind w:right="0" w:rightChars="0"/>
              <w:jc w:val="center"/>
              <w:textAlignment w:val="auto"/>
              <w:outlineLvl w:val="9"/>
              <w:rPr>
                <w:rStyle w:val="16"/>
                <w:rFonts w:hint="eastAsia" w:ascii="新宋体" w:hAnsi="新宋体" w:eastAsia="新宋体" w:cs="新宋体"/>
                <w:b/>
                <w:bCs w:val="0"/>
                <w:spacing w:val="-4"/>
                <w:sz w:val="21"/>
                <w:szCs w:val="21"/>
                <w:vertAlign w:val="baseline"/>
              </w:rPr>
            </w:pPr>
            <w:r>
              <w:rPr>
                <w:rStyle w:val="16"/>
                <w:rFonts w:hint="eastAsia" w:ascii="新宋体" w:hAnsi="新宋体" w:eastAsia="新宋体" w:cs="新宋体"/>
                <w:b/>
                <w:bCs w:val="0"/>
                <w:spacing w:val="-4"/>
                <w:sz w:val="21"/>
                <w:szCs w:val="21"/>
                <w:vertAlign w:val="baseline"/>
              </w:rPr>
              <w:t>分值</w:t>
            </w:r>
          </w:p>
        </w:tc>
        <w:tc>
          <w:tcPr>
            <w:tcW w:w="2635" w:type="dxa"/>
            <w:noWrap w:val="0"/>
            <w:vAlign w:val="top"/>
          </w:tcPr>
          <w:p w14:paraId="78BFAEE1">
            <w:pPr>
              <w:keepNext w:val="0"/>
              <w:keepLines w:val="0"/>
              <w:pageBreakBefore w:val="0"/>
              <w:widowControl/>
              <w:kinsoku/>
              <w:wordWrap/>
              <w:overflowPunct/>
              <w:topLinePunct w:val="0"/>
              <w:autoSpaceDE/>
              <w:autoSpaceDN/>
              <w:bidi w:val="0"/>
              <w:adjustRightInd/>
              <w:snapToGrid/>
              <w:spacing w:after="0" w:line="560" w:lineRule="exact"/>
              <w:ind w:right="0" w:rightChars="0"/>
              <w:jc w:val="center"/>
              <w:textAlignment w:val="auto"/>
              <w:outlineLvl w:val="9"/>
              <w:rPr>
                <w:rStyle w:val="16"/>
                <w:rFonts w:hint="eastAsia" w:ascii="新宋体" w:hAnsi="新宋体" w:eastAsia="新宋体" w:cs="新宋体"/>
                <w:b/>
                <w:bCs w:val="0"/>
                <w:spacing w:val="-4"/>
                <w:sz w:val="21"/>
                <w:szCs w:val="21"/>
                <w:vertAlign w:val="baseline"/>
              </w:rPr>
            </w:pPr>
            <w:r>
              <w:rPr>
                <w:rStyle w:val="16"/>
                <w:rFonts w:hint="eastAsia" w:ascii="新宋体" w:hAnsi="新宋体" w:eastAsia="新宋体" w:cs="新宋体"/>
                <w:b/>
                <w:bCs w:val="0"/>
                <w:spacing w:val="-4"/>
                <w:sz w:val="21"/>
                <w:szCs w:val="21"/>
                <w:vertAlign w:val="baseline"/>
              </w:rPr>
              <w:t>得分</w:t>
            </w:r>
          </w:p>
        </w:tc>
      </w:tr>
      <w:tr w14:paraId="55F02A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992" w:type="dxa"/>
            <w:vMerge w:val="restart"/>
            <w:noWrap w:val="0"/>
            <w:vAlign w:val="center"/>
          </w:tcPr>
          <w:p w14:paraId="60E7BBA8">
            <w:pPr>
              <w:keepNext w:val="0"/>
              <w:keepLines w:val="0"/>
              <w:pageBreakBefore w:val="0"/>
              <w:widowControl/>
              <w:kinsoku/>
              <w:wordWrap/>
              <w:overflowPunct/>
              <w:topLinePunct w:val="0"/>
              <w:autoSpaceDE/>
              <w:autoSpaceDN/>
              <w:bidi w:val="0"/>
              <w:adjustRightInd/>
              <w:snapToGrid/>
              <w:spacing w:after="0" w:line="560" w:lineRule="exact"/>
              <w:ind w:right="0" w:rightChars="0"/>
              <w:jc w:val="center"/>
              <w:textAlignment w:val="auto"/>
              <w:outlineLvl w:val="9"/>
              <w:rPr>
                <w:rStyle w:val="16"/>
                <w:rFonts w:hint="eastAsia" w:ascii="新宋体" w:hAnsi="新宋体" w:eastAsia="新宋体" w:cs="新宋体"/>
                <w:b/>
                <w:bCs w:val="0"/>
                <w:spacing w:val="-4"/>
                <w:sz w:val="21"/>
                <w:szCs w:val="21"/>
                <w:vertAlign w:val="baseline"/>
              </w:rPr>
            </w:pPr>
            <w:r>
              <w:rPr>
                <w:rFonts w:hint="eastAsia" w:ascii="新宋体" w:hAnsi="新宋体" w:eastAsia="新宋体" w:cs="新宋体"/>
                <w:i w:val="0"/>
                <w:caps w:val="0"/>
                <w:color w:val="030303"/>
                <w:spacing w:val="0"/>
                <w:sz w:val="21"/>
                <w:szCs w:val="21"/>
                <w:shd w:val="clear" w:color="auto" w:fill="FFFFFF"/>
              </w:rPr>
              <w:t>项目决策</w:t>
            </w:r>
          </w:p>
        </w:tc>
        <w:tc>
          <w:tcPr>
            <w:tcW w:w="1992" w:type="dxa"/>
            <w:vMerge w:val="restart"/>
            <w:noWrap w:val="0"/>
            <w:vAlign w:val="center"/>
          </w:tcPr>
          <w:p w14:paraId="43CC8475">
            <w:pPr>
              <w:keepNext w:val="0"/>
              <w:keepLines w:val="0"/>
              <w:pageBreakBefore w:val="0"/>
              <w:widowControl/>
              <w:kinsoku/>
              <w:wordWrap/>
              <w:overflowPunct/>
              <w:topLinePunct w:val="0"/>
              <w:autoSpaceDE/>
              <w:autoSpaceDN/>
              <w:bidi w:val="0"/>
              <w:adjustRightInd/>
              <w:snapToGrid/>
              <w:spacing w:after="0" w:line="560" w:lineRule="exact"/>
              <w:ind w:right="0" w:rightChars="0"/>
              <w:jc w:val="center"/>
              <w:textAlignment w:val="auto"/>
              <w:outlineLvl w:val="9"/>
              <w:rPr>
                <w:rStyle w:val="16"/>
                <w:rFonts w:hint="eastAsia" w:ascii="新宋体" w:hAnsi="新宋体" w:eastAsia="新宋体" w:cs="新宋体"/>
                <w:b/>
                <w:bCs w:val="0"/>
                <w:spacing w:val="-4"/>
                <w:sz w:val="21"/>
                <w:szCs w:val="21"/>
                <w:vertAlign w:val="baseline"/>
              </w:rPr>
            </w:pPr>
            <w:r>
              <w:rPr>
                <w:rFonts w:hint="eastAsia" w:ascii="新宋体" w:hAnsi="新宋体" w:eastAsia="新宋体" w:cs="新宋体"/>
                <w:color w:val="000000"/>
                <w:kern w:val="0"/>
                <w:sz w:val="21"/>
                <w:szCs w:val="21"/>
              </w:rPr>
              <w:t>项目立项</w:t>
            </w:r>
          </w:p>
        </w:tc>
        <w:tc>
          <w:tcPr>
            <w:tcW w:w="1992" w:type="dxa"/>
            <w:noWrap w:val="0"/>
            <w:vAlign w:val="center"/>
          </w:tcPr>
          <w:p w14:paraId="76B09B69">
            <w:pPr>
              <w:keepNext w:val="0"/>
              <w:keepLines w:val="0"/>
              <w:pageBreakBefore w:val="0"/>
              <w:kinsoku/>
              <w:wordWrap/>
              <w:overflowPunct/>
              <w:topLinePunct w:val="0"/>
              <w:autoSpaceDE/>
              <w:autoSpaceDN/>
              <w:bidi w:val="0"/>
              <w:adjustRightInd/>
              <w:spacing w:line="560" w:lineRule="exact"/>
              <w:jc w:val="center"/>
              <w:rPr>
                <w:rFonts w:hint="eastAsia" w:ascii="新宋体" w:hAnsi="新宋体" w:eastAsia="新宋体" w:cs="新宋体"/>
                <w:kern w:val="2"/>
                <w:sz w:val="21"/>
                <w:szCs w:val="21"/>
                <w:vertAlign w:val="baseline"/>
                <w:lang w:val="en-US" w:eastAsia="zh-CN" w:bidi="ar-SA"/>
              </w:rPr>
            </w:pPr>
            <w:r>
              <w:rPr>
                <w:rFonts w:hint="eastAsia" w:ascii="新宋体" w:hAnsi="新宋体" w:eastAsia="新宋体" w:cs="新宋体"/>
                <w:sz w:val="21"/>
                <w:szCs w:val="21"/>
              </w:rPr>
              <w:t>立项依据充分性</w:t>
            </w:r>
          </w:p>
        </w:tc>
        <w:tc>
          <w:tcPr>
            <w:tcW w:w="1351" w:type="dxa"/>
            <w:noWrap w:val="0"/>
            <w:vAlign w:val="top"/>
          </w:tcPr>
          <w:p w14:paraId="1BCE2DFB">
            <w:pPr>
              <w:keepNext w:val="0"/>
              <w:keepLines w:val="0"/>
              <w:pageBreakBefore w:val="0"/>
              <w:kinsoku/>
              <w:wordWrap/>
              <w:overflowPunct/>
              <w:topLinePunct w:val="0"/>
              <w:autoSpaceDE/>
              <w:autoSpaceDN/>
              <w:bidi w:val="0"/>
              <w:adjustRightInd/>
              <w:spacing w:line="560" w:lineRule="exact"/>
              <w:jc w:val="center"/>
              <w:rPr>
                <w:rFonts w:hint="eastAsia" w:ascii="新宋体" w:hAnsi="新宋体" w:eastAsia="新宋体" w:cs="新宋体"/>
                <w:kern w:val="2"/>
                <w:sz w:val="21"/>
                <w:szCs w:val="21"/>
                <w:lang w:val="en-US" w:eastAsia="zh-CN" w:bidi="ar-SA"/>
              </w:rPr>
            </w:pPr>
            <w:r>
              <w:rPr>
                <w:rFonts w:hint="eastAsia" w:ascii="新宋体" w:hAnsi="新宋体" w:eastAsia="新宋体" w:cs="新宋体"/>
                <w:sz w:val="21"/>
                <w:szCs w:val="21"/>
                <w:lang w:val="en-US" w:eastAsia="zh-CN"/>
              </w:rPr>
              <w:t>3</w:t>
            </w:r>
          </w:p>
        </w:tc>
        <w:tc>
          <w:tcPr>
            <w:tcW w:w="2635" w:type="dxa"/>
            <w:noWrap w:val="0"/>
            <w:vAlign w:val="top"/>
          </w:tcPr>
          <w:p w14:paraId="5922FF3D">
            <w:pPr>
              <w:keepNext w:val="0"/>
              <w:keepLines w:val="0"/>
              <w:pageBreakBefore w:val="0"/>
              <w:kinsoku/>
              <w:wordWrap/>
              <w:overflowPunct/>
              <w:topLinePunct w:val="0"/>
              <w:autoSpaceDE/>
              <w:autoSpaceDN/>
              <w:bidi w:val="0"/>
              <w:adjustRightInd/>
              <w:spacing w:line="560" w:lineRule="exact"/>
              <w:jc w:val="center"/>
              <w:rPr>
                <w:rFonts w:hint="eastAsia" w:ascii="新宋体" w:hAnsi="新宋体" w:eastAsia="新宋体" w:cs="新宋体"/>
                <w:kern w:val="2"/>
                <w:sz w:val="21"/>
                <w:szCs w:val="21"/>
                <w:lang w:val="en-US" w:eastAsia="zh-CN" w:bidi="ar-SA"/>
              </w:rPr>
            </w:pPr>
            <w:r>
              <w:rPr>
                <w:rFonts w:hint="eastAsia" w:ascii="新宋体" w:hAnsi="新宋体" w:eastAsia="新宋体" w:cs="新宋体"/>
                <w:sz w:val="21"/>
                <w:szCs w:val="21"/>
                <w:lang w:val="en-US" w:eastAsia="zh-CN"/>
              </w:rPr>
              <w:t>3</w:t>
            </w:r>
          </w:p>
        </w:tc>
      </w:tr>
      <w:tr w14:paraId="1DDA47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992" w:type="dxa"/>
            <w:vMerge w:val="continue"/>
            <w:noWrap w:val="0"/>
            <w:vAlign w:val="center"/>
          </w:tcPr>
          <w:p w14:paraId="50781027">
            <w:pPr>
              <w:keepNext w:val="0"/>
              <w:keepLines w:val="0"/>
              <w:pageBreakBefore w:val="0"/>
              <w:widowControl/>
              <w:kinsoku/>
              <w:wordWrap/>
              <w:overflowPunct/>
              <w:topLinePunct w:val="0"/>
              <w:autoSpaceDE/>
              <w:autoSpaceDN/>
              <w:bidi w:val="0"/>
              <w:adjustRightInd/>
              <w:snapToGrid/>
              <w:spacing w:after="0" w:line="560" w:lineRule="exact"/>
              <w:ind w:right="0" w:rightChars="0"/>
              <w:jc w:val="center"/>
              <w:textAlignment w:val="auto"/>
              <w:outlineLvl w:val="9"/>
              <w:rPr>
                <w:rStyle w:val="16"/>
                <w:rFonts w:hint="eastAsia" w:ascii="新宋体" w:hAnsi="新宋体" w:eastAsia="新宋体" w:cs="新宋体"/>
                <w:b/>
                <w:bCs w:val="0"/>
                <w:spacing w:val="-4"/>
                <w:sz w:val="21"/>
                <w:szCs w:val="21"/>
                <w:vertAlign w:val="baseline"/>
              </w:rPr>
            </w:pPr>
          </w:p>
        </w:tc>
        <w:tc>
          <w:tcPr>
            <w:tcW w:w="1992" w:type="dxa"/>
            <w:vMerge w:val="continue"/>
            <w:noWrap w:val="0"/>
            <w:vAlign w:val="center"/>
          </w:tcPr>
          <w:p w14:paraId="549AFA20">
            <w:pPr>
              <w:keepNext w:val="0"/>
              <w:keepLines w:val="0"/>
              <w:pageBreakBefore w:val="0"/>
              <w:widowControl/>
              <w:kinsoku/>
              <w:wordWrap/>
              <w:overflowPunct/>
              <w:topLinePunct w:val="0"/>
              <w:autoSpaceDE/>
              <w:autoSpaceDN/>
              <w:bidi w:val="0"/>
              <w:adjustRightInd/>
              <w:snapToGrid/>
              <w:spacing w:after="0" w:line="560" w:lineRule="exact"/>
              <w:ind w:right="0" w:rightChars="0"/>
              <w:jc w:val="center"/>
              <w:textAlignment w:val="auto"/>
              <w:outlineLvl w:val="9"/>
              <w:rPr>
                <w:rStyle w:val="16"/>
                <w:rFonts w:hint="eastAsia" w:ascii="新宋体" w:hAnsi="新宋体" w:eastAsia="新宋体" w:cs="新宋体"/>
                <w:b/>
                <w:bCs w:val="0"/>
                <w:spacing w:val="-4"/>
                <w:sz w:val="21"/>
                <w:szCs w:val="21"/>
                <w:vertAlign w:val="baseline"/>
              </w:rPr>
            </w:pPr>
          </w:p>
        </w:tc>
        <w:tc>
          <w:tcPr>
            <w:tcW w:w="1992" w:type="dxa"/>
            <w:noWrap w:val="0"/>
            <w:vAlign w:val="center"/>
          </w:tcPr>
          <w:p w14:paraId="41C080F7">
            <w:pPr>
              <w:keepNext w:val="0"/>
              <w:keepLines w:val="0"/>
              <w:pageBreakBefore w:val="0"/>
              <w:kinsoku/>
              <w:wordWrap/>
              <w:overflowPunct/>
              <w:topLinePunct w:val="0"/>
              <w:autoSpaceDE/>
              <w:autoSpaceDN/>
              <w:bidi w:val="0"/>
              <w:adjustRightInd/>
              <w:spacing w:line="560" w:lineRule="exact"/>
              <w:jc w:val="center"/>
              <w:rPr>
                <w:rFonts w:hint="eastAsia" w:ascii="新宋体" w:hAnsi="新宋体" w:eastAsia="新宋体" w:cs="新宋体"/>
                <w:kern w:val="2"/>
                <w:sz w:val="21"/>
                <w:szCs w:val="21"/>
                <w:vertAlign w:val="baseline"/>
                <w:lang w:val="en-US" w:eastAsia="zh-CN" w:bidi="ar-SA"/>
              </w:rPr>
            </w:pPr>
            <w:r>
              <w:rPr>
                <w:rFonts w:hint="eastAsia" w:ascii="新宋体" w:hAnsi="新宋体" w:eastAsia="新宋体" w:cs="新宋体"/>
                <w:sz w:val="21"/>
                <w:szCs w:val="21"/>
                <w:vertAlign w:val="baseline"/>
              </w:rPr>
              <w:t>立项程序规范性</w:t>
            </w:r>
          </w:p>
        </w:tc>
        <w:tc>
          <w:tcPr>
            <w:tcW w:w="1351" w:type="dxa"/>
            <w:noWrap w:val="0"/>
            <w:vAlign w:val="top"/>
          </w:tcPr>
          <w:p w14:paraId="3C0DE7FC">
            <w:pPr>
              <w:keepNext w:val="0"/>
              <w:keepLines w:val="0"/>
              <w:pageBreakBefore w:val="0"/>
              <w:kinsoku/>
              <w:wordWrap/>
              <w:overflowPunct/>
              <w:topLinePunct w:val="0"/>
              <w:autoSpaceDE/>
              <w:autoSpaceDN/>
              <w:bidi w:val="0"/>
              <w:adjustRightInd/>
              <w:spacing w:line="560" w:lineRule="exact"/>
              <w:jc w:val="center"/>
              <w:rPr>
                <w:rFonts w:hint="eastAsia" w:ascii="新宋体" w:hAnsi="新宋体" w:eastAsia="新宋体" w:cs="新宋体"/>
                <w:kern w:val="2"/>
                <w:sz w:val="21"/>
                <w:szCs w:val="21"/>
                <w:vertAlign w:val="baseline"/>
                <w:lang w:val="en-US" w:eastAsia="zh-CN" w:bidi="ar-SA"/>
              </w:rPr>
            </w:pPr>
            <w:r>
              <w:rPr>
                <w:rFonts w:hint="eastAsia" w:ascii="新宋体" w:hAnsi="新宋体" w:eastAsia="新宋体" w:cs="新宋体"/>
                <w:sz w:val="21"/>
                <w:szCs w:val="21"/>
                <w:vertAlign w:val="baseline"/>
                <w:lang w:val="en-US" w:eastAsia="zh-CN"/>
              </w:rPr>
              <w:t>3</w:t>
            </w:r>
          </w:p>
        </w:tc>
        <w:tc>
          <w:tcPr>
            <w:tcW w:w="2635" w:type="dxa"/>
            <w:noWrap w:val="0"/>
            <w:vAlign w:val="top"/>
          </w:tcPr>
          <w:p w14:paraId="1E74D82E">
            <w:pPr>
              <w:keepNext w:val="0"/>
              <w:keepLines w:val="0"/>
              <w:pageBreakBefore w:val="0"/>
              <w:kinsoku/>
              <w:wordWrap/>
              <w:overflowPunct/>
              <w:topLinePunct w:val="0"/>
              <w:autoSpaceDE/>
              <w:autoSpaceDN/>
              <w:bidi w:val="0"/>
              <w:adjustRightInd/>
              <w:spacing w:line="560" w:lineRule="exact"/>
              <w:jc w:val="center"/>
              <w:rPr>
                <w:rFonts w:hint="eastAsia" w:ascii="新宋体" w:hAnsi="新宋体" w:eastAsia="新宋体" w:cs="新宋体"/>
                <w:kern w:val="2"/>
                <w:sz w:val="21"/>
                <w:szCs w:val="21"/>
                <w:vertAlign w:val="baseline"/>
                <w:lang w:val="en-US" w:eastAsia="zh-CN" w:bidi="ar-SA"/>
              </w:rPr>
            </w:pPr>
            <w:r>
              <w:rPr>
                <w:rFonts w:hint="eastAsia" w:ascii="新宋体" w:hAnsi="新宋体" w:eastAsia="新宋体" w:cs="新宋体"/>
                <w:sz w:val="21"/>
                <w:szCs w:val="21"/>
                <w:vertAlign w:val="baseline"/>
                <w:lang w:val="en-US" w:eastAsia="zh-CN"/>
              </w:rPr>
              <w:t>3</w:t>
            </w:r>
          </w:p>
        </w:tc>
      </w:tr>
      <w:tr w14:paraId="0C78EE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992" w:type="dxa"/>
            <w:vMerge w:val="continue"/>
            <w:noWrap w:val="0"/>
            <w:vAlign w:val="center"/>
          </w:tcPr>
          <w:p w14:paraId="31359714">
            <w:pPr>
              <w:keepNext w:val="0"/>
              <w:keepLines w:val="0"/>
              <w:pageBreakBefore w:val="0"/>
              <w:widowControl/>
              <w:kinsoku/>
              <w:wordWrap/>
              <w:overflowPunct/>
              <w:topLinePunct w:val="0"/>
              <w:autoSpaceDE/>
              <w:autoSpaceDN/>
              <w:bidi w:val="0"/>
              <w:adjustRightInd/>
              <w:snapToGrid/>
              <w:spacing w:after="0" w:line="560" w:lineRule="exact"/>
              <w:ind w:right="0" w:rightChars="0"/>
              <w:jc w:val="center"/>
              <w:textAlignment w:val="auto"/>
              <w:outlineLvl w:val="9"/>
              <w:rPr>
                <w:rStyle w:val="16"/>
                <w:rFonts w:hint="eastAsia" w:ascii="新宋体" w:hAnsi="新宋体" w:eastAsia="新宋体" w:cs="新宋体"/>
                <w:b/>
                <w:bCs w:val="0"/>
                <w:spacing w:val="-4"/>
                <w:sz w:val="21"/>
                <w:szCs w:val="21"/>
                <w:vertAlign w:val="baseline"/>
              </w:rPr>
            </w:pPr>
          </w:p>
        </w:tc>
        <w:tc>
          <w:tcPr>
            <w:tcW w:w="1992" w:type="dxa"/>
            <w:noWrap w:val="0"/>
            <w:vAlign w:val="center"/>
          </w:tcPr>
          <w:p w14:paraId="456E0F55">
            <w:pPr>
              <w:keepNext w:val="0"/>
              <w:keepLines w:val="0"/>
              <w:pageBreakBefore w:val="0"/>
              <w:widowControl/>
              <w:kinsoku/>
              <w:wordWrap/>
              <w:overflowPunct/>
              <w:topLinePunct w:val="0"/>
              <w:autoSpaceDE/>
              <w:autoSpaceDN/>
              <w:bidi w:val="0"/>
              <w:adjustRightInd/>
              <w:snapToGrid/>
              <w:spacing w:after="0" w:line="560" w:lineRule="exact"/>
              <w:ind w:right="0" w:rightChars="0"/>
              <w:jc w:val="center"/>
              <w:textAlignment w:val="auto"/>
              <w:outlineLvl w:val="9"/>
              <w:rPr>
                <w:rStyle w:val="16"/>
                <w:rFonts w:hint="eastAsia" w:ascii="新宋体" w:hAnsi="新宋体" w:eastAsia="新宋体" w:cs="新宋体"/>
                <w:b/>
                <w:bCs w:val="0"/>
                <w:spacing w:val="-4"/>
                <w:sz w:val="21"/>
                <w:szCs w:val="21"/>
                <w:vertAlign w:val="baseline"/>
              </w:rPr>
            </w:pPr>
            <w:r>
              <w:rPr>
                <w:rFonts w:hint="eastAsia" w:ascii="新宋体" w:hAnsi="新宋体" w:eastAsia="新宋体" w:cs="新宋体"/>
                <w:color w:val="000000"/>
                <w:kern w:val="0"/>
                <w:sz w:val="21"/>
                <w:szCs w:val="21"/>
              </w:rPr>
              <w:t>绩效目标</w:t>
            </w:r>
          </w:p>
        </w:tc>
        <w:tc>
          <w:tcPr>
            <w:tcW w:w="1992" w:type="dxa"/>
            <w:noWrap w:val="0"/>
            <w:vAlign w:val="center"/>
          </w:tcPr>
          <w:p w14:paraId="669F418C">
            <w:pPr>
              <w:keepNext w:val="0"/>
              <w:keepLines w:val="0"/>
              <w:pageBreakBefore w:val="0"/>
              <w:kinsoku/>
              <w:wordWrap/>
              <w:overflowPunct/>
              <w:topLinePunct w:val="0"/>
              <w:autoSpaceDE/>
              <w:autoSpaceDN/>
              <w:bidi w:val="0"/>
              <w:adjustRightInd/>
              <w:spacing w:line="560" w:lineRule="exact"/>
              <w:jc w:val="center"/>
              <w:rPr>
                <w:rFonts w:hint="eastAsia" w:ascii="新宋体" w:hAnsi="新宋体" w:eastAsia="新宋体" w:cs="新宋体"/>
                <w:kern w:val="2"/>
                <w:sz w:val="21"/>
                <w:szCs w:val="21"/>
                <w:vertAlign w:val="baseline"/>
                <w:lang w:val="en-US" w:eastAsia="zh-CN" w:bidi="ar-SA"/>
              </w:rPr>
            </w:pPr>
            <w:r>
              <w:rPr>
                <w:rFonts w:hint="eastAsia" w:ascii="新宋体" w:hAnsi="新宋体" w:eastAsia="新宋体" w:cs="新宋体"/>
                <w:sz w:val="21"/>
                <w:szCs w:val="21"/>
                <w:vertAlign w:val="baseline"/>
              </w:rPr>
              <w:t>绩效目标合理性</w:t>
            </w:r>
          </w:p>
        </w:tc>
        <w:tc>
          <w:tcPr>
            <w:tcW w:w="1351" w:type="dxa"/>
            <w:noWrap w:val="0"/>
            <w:vAlign w:val="top"/>
          </w:tcPr>
          <w:p w14:paraId="151043E9">
            <w:pPr>
              <w:keepNext w:val="0"/>
              <w:keepLines w:val="0"/>
              <w:pageBreakBefore w:val="0"/>
              <w:kinsoku/>
              <w:wordWrap/>
              <w:overflowPunct/>
              <w:topLinePunct w:val="0"/>
              <w:autoSpaceDE/>
              <w:autoSpaceDN/>
              <w:bidi w:val="0"/>
              <w:adjustRightInd/>
              <w:spacing w:line="560" w:lineRule="exact"/>
              <w:jc w:val="center"/>
              <w:rPr>
                <w:rFonts w:hint="eastAsia" w:ascii="新宋体" w:hAnsi="新宋体" w:eastAsia="新宋体" w:cs="新宋体"/>
                <w:kern w:val="2"/>
                <w:sz w:val="21"/>
                <w:szCs w:val="21"/>
                <w:vertAlign w:val="baseline"/>
                <w:lang w:val="en-US" w:eastAsia="zh-CN" w:bidi="ar-SA"/>
              </w:rPr>
            </w:pPr>
            <w:r>
              <w:rPr>
                <w:rFonts w:hint="eastAsia" w:ascii="新宋体" w:hAnsi="新宋体" w:eastAsia="新宋体" w:cs="新宋体"/>
                <w:sz w:val="21"/>
                <w:szCs w:val="21"/>
              </w:rPr>
              <w:t>3</w:t>
            </w:r>
          </w:p>
        </w:tc>
        <w:tc>
          <w:tcPr>
            <w:tcW w:w="2635" w:type="dxa"/>
            <w:noWrap w:val="0"/>
            <w:vAlign w:val="top"/>
          </w:tcPr>
          <w:p w14:paraId="3DC20C42">
            <w:pPr>
              <w:keepNext w:val="0"/>
              <w:keepLines w:val="0"/>
              <w:pageBreakBefore w:val="0"/>
              <w:kinsoku/>
              <w:wordWrap/>
              <w:overflowPunct/>
              <w:topLinePunct w:val="0"/>
              <w:autoSpaceDE/>
              <w:autoSpaceDN/>
              <w:bidi w:val="0"/>
              <w:adjustRightInd/>
              <w:spacing w:line="560" w:lineRule="exact"/>
              <w:jc w:val="center"/>
              <w:rPr>
                <w:rFonts w:hint="eastAsia" w:ascii="新宋体" w:hAnsi="新宋体" w:eastAsia="新宋体" w:cs="新宋体"/>
                <w:kern w:val="2"/>
                <w:sz w:val="21"/>
                <w:szCs w:val="21"/>
                <w:vertAlign w:val="baseline"/>
                <w:lang w:val="en-US" w:eastAsia="zh-CN" w:bidi="ar-SA"/>
              </w:rPr>
            </w:pPr>
            <w:r>
              <w:rPr>
                <w:rFonts w:hint="eastAsia" w:ascii="新宋体" w:hAnsi="新宋体" w:eastAsia="新宋体" w:cs="新宋体"/>
                <w:kern w:val="2"/>
                <w:sz w:val="21"/>
                <w:szCs w:val="21"/>
                <w:vertAlign w:val="baseline"/>
                <w:lang w:val="en-US" w:eastAsia="zh-CN" w:bidi="ar-SA"/>
              </w:rPr>
              <w:t>3</w:t>
            </w:r>
          </w:p>
        </w:tc>
      </w:tr>
      <w:tr w14:paraId="698042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992" w:type="dxa"/>
            <w:vMerge w:val="continue"/>
            <w:noWrap w:val="0"/>
            <w:vAlign w:val="center"/>
          </w:tcPr>
          <w:p w14:paraId="0FE323F3">
            <w:pPr>
              <w:keepNext w:val="0"/>
              <w:keepLines w:val="0"/>
              <w:pageBreakBefore w:val="0"/>
              <w:widowControl/>
              <w:kinsoku/>
              <w:wordWrap/>
              <w:overflowPunct/>
              <w:topLinePunct w:val="0"/>
              <w:autoSpaceDE/>
              <w:autoSpaceDN/>
              <w:bidi w:val="0"/>
              <w:adjustRightInd/>
              <w:snapToGrid/>
              <w:spacing w:after="0" w:line="560" w:lineRule="exact"/>
              <w:ind w:right="0" w:rightChars="0"/>
              <w:jc w:val="center"/>
              <w:textAlignment w:val="auto"/>
              <w:outlineLvl w:val="9"/>
              <w:rPr>
                <w:rStyle w:val="16"/>
                <w:rFonts w:hint="eastAsia" w:ascii="新宋体" w:hAnsi="新宋体" w:eastAsia="新宋体" w:cs="新宋体"/>
                <w:b/>
                <w:bCs w:val="0"/>
                <w:spacing w:val="-4"/>
                <w:sz w:val="21"/>
                <w:szCs w:val="21"/>
                <w:vertAlign w:val="baseline"/>
              </w:rPr>
            </w:pPr>
          </w:p>
        </w:tc>
        <w:tc>
          <w:tcPr>
            <w:tcW w:w="1992" w:type="dxa"/>
            <w:noWrap w:val="0"/>
            <w:vAlign w:val="center"/>
          </w:tcPr>
          <w:p w14:paraId="5957E0D4">
            <w:pPr>
              <w:keepNext w:val="0"/>
              <w:keepLines w:val="0"/>
              <w:pageBreakBefore w:val="0"/>
              <w:widowControl/>
              <w:kinsoku/>
              <w:wordWrap/>
              <w:overflowPunct/>
              <w:topLinePunct w:val="0"/>
              <w:autoSpaceDE/>
              <w:autoSpaceDN/>
              <w:bidi w:val="0"/>
              <w:adjustRightInd/>
              <w:snapToGrid/>
              <w:spacing w:after="0" w:line="560" w:lineRule="exact"/>
              <w:ind w:right="0" w:rightChars="0"/>
              <w:jc w:val="center"/>
              <w:textAlignment w:val="auto"/>
              <w:outlineLvl w:val="9"/>
              <w:rPr>
                <w:rStyle w:val="16"/>
                <w:rFonts w:hint="eastAsia" w:ascii="新宋体" w:hAnsi="新宋体" w:eastAsia="新宋体" w:cs="新宋体"/>
                <w:b/>
                <w:bCs w:val="0"/>
                <w:spacing w:val="-4"/>
                <w:sz w:val="21"/>
                <w:szCs w:val="21"/>
                <w:vertAlign w:val="baseline"/>
              </w:rPr>
            </w:pPr>
            <w:r>
              <w:rPr>
                <w:rFonts w:hint="eastAsia" w:ascii="新宋体" w:hAnsi="新宋体" w:eastAsia="新宋体" w:cs="新宋体"/>
                <w:color w:val="000000"/>
                <w:kern w:val="0"/>
                <w:sz w:val="21"/>
                <w:szCs w:val="21"/>
              </w:rPr>
              <w:t>绩效目标</w:t>
            </w:r>
          </w:p>
        </w:tc>
        <w:tc>
          <w:tcPr>
            <w:tcW w:w="1992" w:type="dxa"/>
            <w:noWrap w:val="0"/>
            <w:vAlign w:val="center"/>
          </w:tcPr>
          <w:p w14:paraId="4FB40222">
            <w:pPr>
              <w:keepNext w:val="0"/>
              <w:keepLines w:val="0"/>
              <w:pageBreakBefore w:val="0"/>
              <w:kinsoku/>
              <w:wordWrap/>
              <w:overflowPunct/>
              <w:topLinePunct w:val="0"/>
              <w:autoSpaceDE/>
              <w:autoSpaceDN/>
              <w:bidi w:val="0"/>
              <w:adjustRightInd/>
              <w:spacing w:line="560" w:lineRule="exact"/>
              <w:jc w:val="center"/>
              <w:rPr>
                <w:rFonts w:hint="eastAsia" w:ascii="新宋体" w:hAnsi="新宋体" w:eastAsia="新宋体" w:cs="新宋体"/>
                <w:kern w:val="2"/>
                <w:sz w:val="21"/>
                <w:szCs w:val="21"/>
                <w:vertAlign w:val="baseline"/>
                <w:lang w:val="en-US" w:eastAsia="zh-CN" w:bidi="ar-SA"/>
              </w:rPr>
            </w:pPr>
            <w:r>
              <w:rPr>
                <w:rFonts w:hint="eastAsia" w:ascii="新宋体" w:hAnsi="新宋体" w:eastAsia="新宋体" w:cs="新宋体"/>
                <w:sz w:val="21"/>
                <w:szCs w:val="21"/>
                <w:vertAlign w:val="baseline"/>
              </w:rPr>
              <w:t>绩效指标明确性</w:t>
            </w:r>
          </w:p>
        </w:tc>
        <w:tc>
          <w:tcPr>
            <w:tcW w:w="1351" w:type="dxa"/>
            <w:noWrap w:val="0"/>
            <w:vAlign w:val="top"/>
          </w:tcPr>
          <w:p w14:paraId="1724A92B">
            <w:pPr>
              <w:keepNext w:val="0"/>
              <w:keepLines w:val="0"/>
              <w:pageBreakBefore w:val="0"/>
              <w:kinsoku/>
              <w:wordWrap/>
              <w:overflowPunct/>
              <w:topLinePunct w:val="0"/>
              <w:autoSpaceDE/>
              <w:autoSpaceDN/>
              <w:bidi w:val="0"/>
              <w:adjustRightInd/>
              <w:spacing w:line="560" w:lineRule="exact"/>
              <w:jc w:val="center"/>
              <w:rPr>
                <w:rFonts w:hint="eastAsia" w:ascii="新宋体" w:hAnsi="新宋体" w:eastAsia="新宋体" w:cs="新宋体"/>
                <w:kern w:val="2"/>
                <w:sz w:val="21"/>
                <w:szCs w:val="21"/>
                <w:vertAlign w:val="baseline"/>
                <w:lang w:val="en-US" w:eastAsia="zh-CN" w:bidi="ar-SA"/>
              </w:rPr>
            </w:pPr>
            <w:r>
              <w:rPr>
                <w:rFonts w:hint="eastAsia" w:ascii="新宋体" w:hAnsi="新宋体" w:eastAsia="新宋体" w:cs="新宋体"/>
                <w:sz w:val="21"/>
                <w:szCs w:val="21"/>
              </w:rPr>
              <w:t>3</w:t>
            </w:r>
          </w:p>
        </w:tc>
        <w:tc>
          <w:tcPr>
            <w:tcW w:w="2635" w:type="dxa"/>
            <w:noWrap w:val="0"/>
            <w:vAlign w:val="top"/>
          </w:tcPr>
          <w:p w14:paraId="1D337500">
            <w:pPr>
              <w:keepNext w:val="0"/>
              <w:keepLines w:val="0"/>
              <w:pageBreakBefore w:val="0"/>
              <w:kinsoku/>
              <w:wordWrap/>
              <w:overflowPunct/>
              <w:topLinePunct w:val="0"/>
              <w:autoSpaceDE/>
              <w:autoSpaceDN/>
              <w:bidi w:val="0"/>
              <w:adjustRightInd/>
              <w:spacing w:line="560" w:lineRule="exact"/>
              <w:jc w:val="center"/>
              <w:rPr>
                <w:rFonts w:hint="eastAsia" w:ascii="新宋体" w:hAnsi="新宋体" w:eastAsia="新宋体" w:cs="新宋体"/>
                <w:kern w:val="2"/>
                <w:sz w:val="21"/>
                <w:szCs w:val="21"/>
                <w:vertAlign w:val="baseline"/>
                <w:lang w:val="en-US" w:eastAsia="zh-CN" w:bidi="ar-SA"/>
              </w:rPr>
            </w:pPr>
            <w:r>
              <w:rPr>
                <w:rFonts w:hint="eastAsia" w:ascii="新宋体" w:hAnsi="新宋体" w:eastAsia="新宋体" w:cs="新宋体"/>
                <w:kern w:val="2"/>
                <w:sz w:val="21"/>
                <w:szCs w:val="21"/>
                <w:vertAlign w:val="baseline"/>
                <w:lang w:val="en-US" w:eastAsia="zh-CN" w:bidi="ar-SA"/>
              </w:rPr>
              <w:t>3</w:t>
            </w:r>
          </w:p>
        </w:tc>
      </w:tr>
      <w:tr w14:paraId="449284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992" w:type="dxa"/>
            <w:vMerge w:val="continue"/>
            <w:noWrap w:val="0"/>
            <w:vAlign w:val="center"/>
          </w:tcPr>
          <w:p w14:paraId="3147DBFF">
            <w:pPr>
              <w:keepNext w:val="0"/>
              <w:keepLines w:val="0"/>
              <w:pageBreakBefore w:val="0"/>
              <w:widowControl/>
              <w:kinsoku/>
              <w:wordWrap/>
              <w:overflowPunct/>
              <w:topLinePunct w:val="0"/>
              <w:autoSpaceDE/>
              <w:autoSpaceDN/>
              <w:bidi w:val="0"/>
              <w:adjustRightInd/>
              <w:snapToGrid/>
              <w:spacing w:after="0" w:line="560" w:lineRule="exact"/>
              <w:ind w:right="0" w:rightChars="0"/>
              <w:jc w:val="center"/>
              <w:textAlignment w:val="auto"/>
              <w:outlineLvl w:val="9"/>
              <w:rPr>
                <w:rStyle w:val="16"/>
                <w:rFonts w:hint="eastAsia" w:ascii="新宋体" w:hAnsi="新宋体" w:eastAsia="新宋体" w:cs="新宋体"/>
                <w:b/>
                <w:bCs w:val="0"/>
                <w:spacing w:val="-4"/>
                <w:sz w:val="21"/>
                <w:szCs w:val="21"/>
                <w:vertAlign w:val="baseline"/>
              </w:rPr>
            </w:pPr>
          </w:p>
        </w:tc>
        <w:tc>
          <w:tcPr>
            <w:tcW w:w="1992" w:type="dxa"/>
            <w:vMerge w:val="restart"/>
            <w:noWrap w:val="0"/>
            <w:vAlign w:val="center"/>
          </w:tcPr>
          <w:p w14:paraId="7D0ABE80">
            <w:pPr>
              <w:keepNext w:val="0"/>
              <w:keepLines w:val="0"/>
              <w:pageBreakBefore w:val="0"/>
              <w:widowControl/>
              <w:kinsoku/>
              <w:wordWrap/>
              <w:overflowPunct/>
              <w:topLinePunct w:val="0"/>
              <w:autoSpaceDE/>
              <w:autoSpaceDN/>
              <w:bidi w:val="0"/>
              <w:adjustRightInd/>
              <w:snapToGrid w:val="0"/>
              <w:spacing w:line="560" w:lineRule="exact"/>
              <w:ind w:left="0" w:leftChars="0" w:right="0" w:rightChars="0" w:firstLine="0" w:firstLineChars="0"/>
              <w:jc w:val="center"/>
              <w:textAlignment w:val="auto"/>
              <w:outlineLvl w:val="9"/>
              <w:rPr>
                <w:rStyle w:val="16"/>
                <w:rFonts w:hint="eastAsia" w:ascii="新宋体" w:hAnsi="新宋体" w:eastAsia="新宋体" w:cs="新宋体"/>
                <w:b/>
                <w:bCs w:val="0"/>
                <w:spacing w:val="-4"/>
                <w:sz w:val="21"/>
                <w:szCs w:val="21"/>
                <w:vertAlign w:val="baseline"/>
              </w:rPr>
            </w:pPr>
            <w:r>
              <w:rPr>
                <w:rFonts w:hint="eastAsia" w:ascii="新宋体" w:hAnsi="新宋体" w:eastAsia="新宋体" w:cs="新宋体"/>
                <w:color w:val="000000"/>
                <w:kern w:val="0"/>
                <w:sz w:val="21"/>
                <w:szCs w:val="21"/>
              </w:rPr>
              <w:t>资金投入</w:t>
            </w:r>
          </w:p>
        </w:tc>
        <w:tc>
          <w:tcPr>
            <w:tcW w:w="1992" w:type="dxa"/>
            <w:noWrap w:val="0"/>
            <w:vAlign w:val="center"/>
          </w:tcPr>
          <w:p w14:paraId="7A1FCDC4">
            <w:pPr>
              <w:keepNext w:val="0"/>
              <w:keepLines w:val="0"/>
              <w:pageBreakBefore w:val="0"/>
              <w:kinsoku/>
              <w:wordWrap/>
              <w:overflowPunct/>
              <w:topLinePunct w:val="0"/>
              <w:autoSpaceDE/>
              <w:autoSpaceDN/>
              <w:bidi w:val="0"/>
              <w:adjustRightInd/>
              <w:spacing w:line="560" w:lineRule="exact"/>
              <w:jc w:val="center"/>
              <w:rPr>
                <w:rFonts w:hint="eastAsia" w:ascii="新宋体" w:hAnsi="新宋体" w:eastAsia="新宋体" w:cs="新宋体"/>
                <w:kern w:val="2"/>
                <w:sz w:val="21"/>
                <w:szCs w:val="21"/>
                <w:vertAlign w:val="baseline"/>
                <w:lang w:val="en-US" w:eastAsia="zh-CN" w:bidi="ar-SA"/>
              </w:rPr>
            </w:pPr>
            <w:r>
              <w:rPr>
                <w:rFonts w:hint="eastAsia" w:ascii="新宋体" w:hAnsi="新宋体" w:eastAsia="新宋体" w:cs="新宋体"/>
                <w:sz w:val="21"/>
                <w:szCs w:val="21"/>
                <w:vertAlign w:val="baseline"/>
              </w:rPr>
              <w:t>预算编制科学性</w:t>
            </w:r>
          </w:p>
        </w:tc>
        <w:tc>
          <w:tcPr>
            <w:tcW w:w="1351" w:type="dxa"/>
            <w:noWrap w:val="0"/>
            <w:vAlign w:val="top"/>
          </w:tcPr>
          <w:p w14:paraId="58F2237F">
            <w:pPr>
              <w:keepNext w:val="0"/>
              <w:keepLines w:val="0"/>
              <w:pageBreakBefore w:val="0"/>
              <w:kinsoku/>
              <w:wordWrap/>
              <w:overflowPunct/>
              <w:topLinePunct w:val="0"/>
              <w:autoSpaceDE/>
              <w:autoSpaceDN/>
              <w:bidi w:val="0"/>
              <w:adjustRightInd/>
              <w:spacing w:line="560" w:lineRule="exact"/>
              <w:jc w:val="center"/>
              <w:rPr>
                <w:rFonts w:hint="eastAsia" w:ascii="新宋体" w:hAnsi="新宋体" w:eastAsia="新宋体" w:cs="新宋体"/>
                <w:kern w:val="2"/>
                <w:sz w:val="21"/>
                <w:szCs w:val="21"/>
                <w:vertAlign w:val="baseline"/>
                <w:lang w:val="en-US" w:eastAsia="zh-CN" w:bidi="ar-SA"/>
              </w:rPr>
            </w:pPr>
            <w:r>
              <w:rPr>
                <w:rFonts w:hint="eastAsia" w:ascii="新宋体" w:hAnsi="新宋体" w:eastAsia="新宋体" w:cs="新宋体"/>
                <w:sz w:val="21"/>
                <w:szCs w:val="21"/>
                <w:lang w:val="en-US" w:eastAsia="zh-CN"/>
              </w:rPr>
              <w:t>4</w:t>
            </w:r>
          </w:p>
        </w:tc>
        <w:tc>
          <w:tcPr>
            <w:tcW w:w="2635" w:type="dxa"/>
            <w:noWrap w:val="0"/>
            <w:vAlign w:val="top"/>
          </w:tcPr>
          <w:p w14:paraId="518DEAAB">
            <w:pPr>
              <w:keepNext w:val="0"/>
              <w:keepLines w:val="0"/>
              <w:pageBreakBefore w:val="0"/>
              <w:kinsoku/>
              <w:wordWrap/>
              <w:overflowPunct/>
              <w:topLinePunct w:val="0"/>
              <w:autoSpaceDE/>
              <w:autoSpaceDN/>
              <w:bidi w:val="0"/>
              <w:adjustRightInd/>
              <w:spacing w:line="560" w:lineRule="exact"/>
              <w:jc w:val="center"/>
              <w:rPr>
                <w:rFonts w:hint="eastAsia" w:ascii="新宋体" w:hAnsi="新宋体" w:eastAsia="新宋体" w:cs="新宋体"/>
                <w:kern w:val="2"/>
                <w:sz w:val="21"/>
                <w:szCs w:val="21"/>
                <w:vertAlign w:val="baseline"/>
                <w:lang w:val="en-US" w:eastAsia="zh-CN" w:bidi="ar-SA"/>
              </w:rPr>
            </w:pPr>
            <w:r>
              <w:rPr>
                <w:rFonts w:hint="eastAsia" w:ascii="新宋体" w:hAnsi="新宋体" w:eastAsia="新宋体" w:cs="新宋体"/>
                <w:sz w:val="21"/>
                <w:szCs w:val="21"/>
                <w:lang w:val="en-US" w:eastAsia="zh-CN"/>
              </w:rPr>
              <w:t>4</w:t>
            </w:r>
          </w:p>
        </w:tc>
      </w:tr>
      <w:tr w14:paraId="4D5CF1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992" w:type="dxa"/>
            <w:vMerge w:val="continue"/>
            <w:noWrap w:val="0"/>
            <w:vAlign w:val="center"/>
          </w:tcPr>
          <w:p w14:paraId="764432BA">
            <w:pPr>
              <w:keepNext w:val="0"/>
              <w:keepLines w:val="0"/>
              <w:pageBreakBefore w:val="0"/>
              <w:widowControl/>
              <w:kinsoku/>
              <w:wordWrap/>
              <w:overflowPunct/>
              <w:topLinePunct w:val="0"/>
              <w:autoSpaceDE/>
              <w:autoSpaceDN/>
              <w:bidi w:val="0"/>
              <w:adjustRightInd/>
              <w:snapToGrid/>
              <w:spacing w:after="0" w:line="560" w:lineRule="exact"/>
              <w:ind w:right="0" w:rightChars="0"/>
              <w:jc w:val="center"/>
              <w:textAlignment w:val="auto"/>
              <w:outlineLvl w:val="9"/>
              <w:rPr>
                <w:rStyle w:val="16"/>
                <w:rFonts w:hint="eastAsia" w:ascii="新宋体" w:hAnsi="新宋体" w:eastAsia="新宋体" w:cs="新宋体"/>
                <w:b/>
                <w:bCs w:val="0"/>
                <w:spacing w:val="-4"/>
                <w:sz w:val="21"/>
                <w:szCs w:val="21"/>
                <w:vertAlign w:val="baseline"/>
              </w:rPr>
            </w:pPr>
          </w:p>
        </w:tc>
        <w:tc>
          <w:tcPr>
            <w:tcW w:w="1992" w:type="dxa"/>
            <w:vMerge w:val="continue"/>
            <w:noWrap w:val="0"/>
            <w:vAlign w:val="center"/>
          </w:tcPr>
          <w:p w14:paraId="26C94D7B">
            <w:pPr>
              <w:keepNext w:val="0"/>
              <w:keepLines w:val="0"/>
              <w:pageBreakBefore w:val="0"/>
              <w:widowControl/>
              <w:kinsoku/>
              <w:wordWrap/>
              <w:overflowPunct/>
              <w:topLinePunct w:val="0"/>
              <w:autoSpaceDE/>
              <w:autoSpaceDN/>
              <w:bidi w:val="0"/>
              <w:adjustRightInd/>
              <w:snapToGrid/>
              <w:spacing w:after="0" w:line="560" w:lineRule="exact"/>
              <w:ind w:right="0" w:rightChars="0"/>
              <w:jc w:val="center"/>
              <w:textAlignment w:val="auto"/>
              <w:outlineLvl w:val="9"/>
              <w:rPr>
                <w:rStyle w:val="16"/>
                <w:rFonts w:hint="eastAsia" w:ascii="新宋体" w:hAnsi="新宋体" w:eastAsia="新宋体" w:cs="新宋体"/>
                <w:b/>
                <w:bCs w:val="0"/>
                <w:spacing w:val="-4"/>
                <w:sz w:val="21"/>
                <w:szCs w:val="21"/>
                <w:vertAlign w:val="baseline"/>
              </w:rPr>
            </w:pPr>
          </w:p>
        </w:tc>
        <w:tc>
          <w:tcPr>
            <w:tcW w:w="1992" w:type="dxa"/>
            <w:noWrap w:val="0"/>
            <w:vAlign w:val="center"/>
          </w:tcPr>
          <w:p w14:paraId="29643BBB">
            <w:pPr>
              <w:keepNext w:val="0"/>
              <w:keepLines w:val="0"/>
              <w:pageBreakBefore w:val="0"/>
              <w:kinsoku/>
              <w:wordWrap/>
              <w:overflowPunct/>
              <w:topLinePunct w:val="0"/>
              <w:autoSpaceDE/>
              <w:autoSpaceDN/>
              <w:bidi w:val="0"/>
              <w:adjustRightInd/>
              <w:spacing w:line="560" w:lineRule="exact"/>
              <w:jc w:val="center"/>
              <w:rPr>
                <w:rFonts w:hint="eastAsia" w:ascii="新宋体" w:hAnsi="新宋体" w:eastAsia="新宋体" w:cs="新宋体"/>
                <w:kern w:val="2"/>
                <w:sz w:val="21"/>
                <w:szCs w:val="21"/>
                <w:vertAlign w:val="baseline"/>
                <w:lang w:val="en-US" w:eastAsia="zh-CN" w:bidi="ar-SA"/>
              </w:rPr>
            </w:pPr>
            <w:r>
              <w:rPr>
                <w:rFonts w:hint="eastAsia" w:ascii="新宋体" w:hAnsi="新宋体" w:eastAsia="新宋体" w:cs="新宋体"/>
                <w:sz w:val="21"/>
                <w:szCs w:val="21"/>
                <w:vertAlign w:val="baseline"/>
              </w:rPr>
              <w:t>资金分配合理性</w:t>
            </w:r>
          </w:p>
        </w:tc>
        <w:tc>
          <w:tcPr>
            <w:tcW w:w="1351" w:type="dxa"/>
            <w:noWrap w:val="0"/>
            <w:vAlign w:val="top"/>
          </w:tcPr>
          <w:p w14:paraId="5CF7DF56">
            <w:pPr>
              <w:keepNext w:val="0"/>
              <w:keepLines w:val="0"/>
              <w:pageBreakBefore w:val="0"/>
              <w:kinsoku/>
              <w:wordWrap/>
              <w:overflowPunct/>
              <w:topLinePunct w:val="0"/>
              <w:autoSpaceDE/>
              <w:autoSpaceDN/>
              <w:bidi w:val="0"/>
              <w:adjustRightInd/>
              <w:spacing w:line="560" w:lineRule="exact"/>
              <w:jc w:val="center"/>
              <w:rPr>
                <w:rFonts w:hint="eastAsia" w:ascii="新宋体" w:hAnsi="新宋体" w:eastAsia="新宋体" w:cs="新宋体"/>
                <w:kern w:val="2"/>
                <w:sz w:val="21"/>
                <w:szCs w:val="21"/>
                <w:vertAlign w:val="baseline"/>
                <w:lang w:val="en-US" w:eastAsia="zh-CN" w:bidi="ar-SA"/>
              </w:rPr>
            </w:pPr>
            <w:r>
              <w:rPr>
                <w:rFonts w:hint="eastAsia" w:ascii="新宋体" w:hAnsi="新宋体" w:eastAsia="新宋体" w:cs="新宋体"/>
                <w:sz w:val="21"/>
                <w:szCs w:val="21"/>
                <w:lang w:val="en-US" w:eastAsia="zh-CN"/>
              </w:rPr>
              <w:t>4</w:t>
            </w:r>
          </w:p>
        </w:tc>
        <w:tc>
          <w:tcPr>
            <w:tcW w:w="2635" w:type="dxa"/>
            <w:noWrap w:val="0"/>
            <w:vAlign w:val="top"/>
          </w:tcPr>
          <w:p w14:paraId="2296BC3A">
            <w:pPr>
              <w:keepNext w:val="0"/>
              <w:keepLines w:val="0"/>
              <w:pageBreakBefore w:val="0"/>
              <w:kinsoku/>
              <w:wordWrap/>
              <w:overflowPunct/>
              <w:topLinePunct w:val="0"/>
              <w:autoSpaceDE/>
              <w:autoSpaceDN/>
              <w:bidi w:val="0"/>
              <w:adjustRightInd/>
              <w:spacing w:line="560" w:lineRule="exact"/>
              <w:jc w:val="center"/>
              <w:rPr>
                <w:rFonts w:hint="eastAsia" w:ascii="新宋体" w:hAnsi="新宋体" w:eastAsia="新宋体" w:cs="新宋体"/>
                <w:kern w:val="2"/>
                <w:sz w:val="21"/>
                <w:szCs w:val="21"/>
                <w:vertAlign w:val="baseline"/>
                <w:lang w:val="en-US" w:eastAsia="zh-CN" w:bidi="ar-SA"/>
              </w:rPr>
            </w:pPr>
            <w:r>
              <w:rPr>
                <w:rFonts w:hint="eastAsia" w:ascii="新宋体" w:hAnsi="新宋体" w:eastAsia="新宋体" w:cs="新宋体"/>
                <w:sz w:val="21"/>
                <w:szCs w:val="21"/>
                <w:lang w:val="en-US" w:eastAsia="zh-CN"/>
              </w:rPr>
              <w:t>4</w:t>
            </w:r>
          </w:p>
        </w:tc>
      </w:tr>
      <w:tr w14:paraId="4C2DDC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992" w:type="dxa"/>
            <w:vMerge w:val="restart"/>
            <w:noWrap w:val="0"/>
            <w:vAlign w:val="center"/>
          </w:tcPr>
          <w:p w14:paraId="4B27185E">
            <w:pPr>
              <w:keepNext w:val="0"/>
              <w:keepLines w:val="0"/>
              <w:pageBreakBefore w:val="0"/>
              <w:widowControl/>
              <w:kinsoku/>
              <w:wordWrap/>
              <w:overflowPunct/>
              <w:topLinePunct w:val="0"/>
              <w:autoSpaceDE/>
              <w:autoSpaceDN/>
              <w:bidi w:val="0"/>
              <w:adjustRightInd/>
              <w:snapToGrid/>
              <w:spacing w:after="0" w:line="560" w:lineRule="exact"/>
              <w:ind w:right="0" w:rightChars="0"/>
              <w:jc w:val="center"/>
              <w:textAlignment w:val="auto"/>
              <w:outlineLvl w:val="9"/>
              <w:rPr>
                <w:rStyle w:val="16"/>
                <w:rFonts w:hint="eastAsia" w:ascii="新宋体" w:hAnsi="新宋体" w:eastAsia="新宋体" w:cs="新宋体"/>
                <w:b/>
                <w:bCs w:val="0"/>
                <w:spacing w:val="-4"/>
                <w:sz w:val="21"/>
                <w:szCs w:val="21"/>
                <w:vertAlign w:val="baseline"/>
              </w:rPr>
            </w:pPr>
            <w:r>
              <w:rPr>
                <w:rFonts w:hint="eastAsia" w:ascii="新宋体" w:hAnsi="新宋体" w:eastAsia="新宋体" w:cs="新宋体"/>
                <w:i w:val="0"/>
                <w:caps w:val="0"/>
                <w:color w:val="030303"/>
                <w:spacing w:val="0"/>
                <w:sz w:val="21"/>
                <w:szCs w:val="21"/>
                <w:shd w:val="clear" w:color="auto" w:fill="FFFFFF"/>
              </w:rPr>
              <w:t>项目过程</w:t>
            </w:r>
          </w:p>
        </w:tc>
        <w:tc>
          <w:tcPr>
            <w:tcW w:w="1992" w:type="dxa"/>
            <w:vMerge w:val="restart"/>
            <w:noWrap w:val="0"/>
            <w:vAlign w:val="center"/>
          </w:tcPr>
          <w:p w14:paraId="0F0045B5">
            <w:pPr>
              <w:keepNext w:val="0"/>
              <w:keepLines w:val="0"/>
              <w:pageBreakBefore w:val="0"/>
              <w:widowControl/>
              <w:kinsoku/>
              <w:wordWrap/>
              <w:overflowPunct/>
              <w:topLinePunct w:val="0"/>
              <w:autoSpaceDE/>
              <w:autoSpaceDN/>
              <w:bidi w:val="0"/>
              <w:adjustRightInd/>
              <w:snapToGrid/>
              <w:spacing w:after="0" w:line="560" w:lineRule="exact"/>
              <w:ind w:right="0" w:rightChars="0"/>
              <w:jc w:val="center"/>
              <w:textAlignment w:val="auto"/>
              <w:outlineLvl w:val="9"/>
              <w:rPr>
                <w:rStyle w:val="16"/>
                <w:rFonts w:hint="eastAsia" w:ascii="新宋体" w:hAnsi="新宋体" w:eastAsia="新宋体" w:cs="新宋体"/>
                <w:b/>
                <w:bCs w:val="0"/>
                <w:spacing w:val="-4"/>
                <w:sz w:val="21"/>
                <w:szCs w:val="21"/>
                <w:vertAlign w:val="baseline"/>
              </w:rPr>
            </w:pPr>
            <w:r>
              <w:rPr>
                <w:rFonts w:hint="eastAsia" w:ascii="新宋体" w:hAnsi="新宋体" w:eastAsia="新宋体" w:cs="新宋体"/>
                <w:color w:val="000000"/>
                <w:kern w:val="0"/>
                <w:sz w:val="21"/>
                <w:szCs w:val="21"/>
              </w:rPr>
              <w:t>资金管理</w:t>
            </w:r>
          </w:p>
        </w:tc>
        <w:tc>
          <w:tcPr>
            <w:tcW w:w="1992" w:type="dxa"/>
            <w:noWrap w:val="0"/>
            <w:vAlign w:val="center"/>
          </w:tcPr>
          <w:p w14:paraId="65E73600">
            <w:pPr>
              <w:keepNext w:val="0"/>
              <w:keepLines w:val="0"/>
              <w:pageBreakBefore w:val="0"/>
              <w:kinsoku/>
              <w:wordWrap/>
              <w:overflowPunct/>
              <w:topLinePunct w:val="0"/>
              <w:autoSpaceDE/>
              <w:autoSpaceDN/>
              <w:bidi w:val="0"/>
              <w:adjustRightInd/>
              <w:spacing w:line="560" w:lineRule="exact"/>
              <w:jc w:val="center"/>
              <w:rPr>
                <w:rFonts w:hint="eastAsia" w:ascii="新宋体" w:hAnsi="新宋体" w:eastAsia="新宋体" w:cs="新宋体"/>
                <w:kern w:val="2"/>
                <w:sz w:val="21"/>
                <w:szCs w:val="21"/>
                <w:vertAlign w:val="baseline"/>
                <w:lang w:val="en-US" w:eastAsia="zh-CN" w:bidi="ar-SA"/>
              </w:rPr>
            </w:pPr>
            <w:r>
              <w:rPr>
                <w:rFonts w:hint="eastAsia" w:ascii="新宋体" w:hAnsi="新宋体" w:eastAsia="新宋体" w:cs="新宋体"/>
                <w:sz w:val="21"/>
                <w:szCs w:val="21"/>
                <w:vertAlign w:val="baseline"/>
              </w:rPr>
              <w:t>资金到位率</w:t>
            </w:r>
          </w:p>
        </w:tc>
        <w:tc>
          <w:tcPr>
            <w:tcW w:w="1351" w:type="dxa"/>
            <w:noWrap w:val="0"/>
            <w:vAlign w:val="top"/>
          </w:tcPr>
          <w:p w14:paraId="783E3F49">
            <w:pPr>
              <w:keepNext w:val="0"/>
              <w:keepLines w:val="0"/>
              <w:pageBreakBefore w:val="0"/>
              <w:kinsoku/>
              <w:wordWrap/>
              <w:overflowPunct/>
              <w:topLinePunct w:val="0"/>
              <w:autoSpaceDE/>
              <w:autoSpaceDN/>
              <w:bidi w:val="0"/>
              <w:adjustRightInd/>
              <w:spacing w:line="560" w:lineRule="exact"/>
              <w:jc w:val="center"/>
              <w:rPr>
                <w:rFonts w:hint="eastAsia" w:ascii="新宋体" w:hAnsi="新宋体" w:eastAsia="新宋体" w:cs="新宋体"/>
                <w:kern w:val="2"/>
                <w:sz w:val="21"/>
                <w:szCs w:val="21"/>
                <w:vertAlign w:val="baseline"/>
                <w:lang w:val="en-US" w:eastAsia="zh-CN" w:bidi="ar-SA"/>
              </w:rPr>
            </w:pPr>
            <w:r>
              <w:rPr>
                <w:rFonts w:hint="eastAsia" w:ascii="新宋体" w:hAnsi="新宋体" w:eastAsia="新宋体" w:cs="新宋体"/>
                <w:sz w:val="21"/>
                <w:szCs w:val="21"/>
                <w:lang w:val="en-US" w:eastAsia="zh-CN"/>
              </w:rPr>
              <w:t>2</w:t>
            </w:r>
          </w:p>
        </w:tc>
        <w:tc>
          <w:tcPr>
            <w:tcW w:w="2635" w:type="dxa"/>
            <w:noWrap w:val="0"/>
            <w:vAlign w:val="top"/>
          </w:tcPr>
          <w:p w14:paraId="0E22E33D">
            <w:pPr>
              <w:keepNext w:val="0"/>
              <w:keepLines w:val="0"/>
              <w:pageBreakBefore w:val="0"/>
              <w:kinsoku/>
              <w:wordWrap/>
              <w:overflowPunct/>
              <w:topLinePunct w:val="0"/>
              <w:autoSpaceDE/>
              <w:autoSpaceDN/>
              <w:bidi w:val="0"/>
              <w:adjustRightInd/>
              <w:spacing w:line="560" w:lineRule="exact"/>
              <w:jc w:val="center"/>
              <w:rPr>
                <w:rFonts w:hint="eastAsia" w:ascii="新宋体" w:hAnsi="新宋体" w:eastAsia="新宋体" w:cs="新宋体"/>
                <w:kern w:val="2"/>
                <w:sz w:val="21"/>
                <w:szCs w:val="21"/>
                <w:vertAlign w:val="baseline"/>
                <w:lang w:val="en-US" w:eastAsia="zh-CN" w:bidi="ar-SA"/>
              </w:rPr>
            </w:pPr>
            <w:r>
              <w:rPr>
                <w:rFonts w:hint="eastAsia" w:ascii="新宋体" w:hAnsi="新宋体" w:eastAsia="新宋体" w:cs="新宋体"/>
                <w:sz w:val="21"/>
                <w:szCs w:val="21"/>
                <w:lang w:val="en-US" w:eastAsia="zh-CN"/>
              </w:rPr>
              <w:t>2</w:t>
            </w:r>
          </w:p>
        </w:tc>
      </w:tr>
      <w:tr w14:paraId="3D476B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992" w:type="dxa"/>
            <w:vMerge w:val="continue"/>
            <w:noWrap w:val="0"/>
            <w:vAlign w:val="center"/>
          </w:tcPr>
          <w:p w14:paraId="76FC1A42">
            <w:pPr>
              <w:keepNext w:val="0"/>
              <w:keepLines w:val="0"/>
              <w:pageBreakBefore w:val="0"/>
              <w:widowControl/>
              <w:kinsoku/>
              <w:wordWrap/>
              <w:overflowPunct/>
              <w:topLinePunct w:val="0"/>
              <w:autoSpaceDE/>
              <w:autoSpaceDN/>
              <w:bidi w:val="0"/>
              <w:adjustRightInd/>
              <w:snapToGrid/>
              <w:spacing w:after="0" w:line="560" w:lineRule="exact"/>
              <w:ind w:right="0" w:rightChars="0"/>
              <w:jc w:val="center"/>
              <w:textAlignment w:val="auto"/>
              <w:outlineLvl w:val="9"/>
              <w:rPr>
                <w:rStyle w:val="16"/>
                <w:rFonts w:hint="eastAsia" w:ascii="新宋体" w:hAnsi="新宋体" w:eastAsia="新宋体" w:cs="新宋体"/>
                <w:b/>
                <w:bCs w:val="0"/>
                <w:spacing w:val="-4"/>
                <w:sz w:val="21"/>
                <w:szCs w:val="21"/>
                <w:vertAlign w:val="baseline"/>
              </w:rPr>
            </w:pPr>
          </w:p>
        </w:tc>
        <w:tc>
          <w:tcPr>
            <w:tcW w:w="1992" w:type="dxa"/>
            <w:vMerge w:val="continue"/>
            <w:noWrap w:val="0"/>
            <w:vAlign w:val="center"/>
          </w:tcPr>
          <w:p w14:paraId="3ACF1859">
            <w:pPr>
              <w:keepNext w:val="0"/>
              <w:keepLines w:val="0"/>
              <w:pageBreakBefore w:val="0"/>
              <w:widowControl/>
              <w:kinsoku/>
              <w:wordWrap/>
              <w:overflowPunct/>
              <w:topLinePunct w:val="0"/>
              <w:autoSpaceDE/>
              <w:autoSpaceDN/>
              <w:bidi w:val="0"/>
              <w:adjustRightInd/>
              <w:snapToGrid/>
              <w:spacing w:after="0" w:line="560" w:lineRule="exact"/>
              <w:ind w:right="0" w:rightChars="0"/>
              <w:jc w:val="center"/>
              <w:textAlignment w:val="auto"/>
              <w:outlineLvl w:val="9"/>
              <w:rPr>
                <w:rStyle w:val="16"/>
                <w:rFonts w:hint="eastAsia" w:ascii="新宋体" w:hAnsi="新宋体" w:eastAsia="新宋体" w:cs="新宋体"/>
                <w:b/>
                <w:bCs w:val="0"/>
                <w:spacing w:val="-4"/>
                <w:sz w:val="21"/>
                <w:szCs w:val="21"/>
                <w:vertAlign w:val="baseline"/>
              </w:rPr>
            </w:pPr>
          </w:p>
        </w:tc>
        <w:tc>
          <w:tcPr>
            <w:tcW w:w="1992" w:type="dxa"/>
            <w:noWrap w:val="0"/>
            <w:vAlign w:val="center"/>
          </w:tcPr>
          <w:p w14:paraId="373A7834">
            <w:pPr>
              <w:keepNext w:val="0"/>
              <w:keepLines w:val="0"/>
              <w:pageBreakBefore w:val="0"/>
              <w:kinsoku/>
              <w:wordWrap/>
              <w:overflowPunct/>
              <w:topLinePunct w:val="0"/>
              <w:autoSpaceDE/>
              <w:autoSpaceDN/>
              <w:bidi w:val="0"/>
              <w:adjustRightInd/>
              <w:spacing w:line="560" w:lineRule="exact"/>
              <w:jc w:val="center"/>
              <w:rPr>
                <w:rFonts w:hint="eastAsia" w:ascii="新宋体" w:hAnsi="新宋体" w:eastAsia="新宋体" w:cs="新宋体"/>
                <w:kern w:val="2"/>
                <w:sz w:val="21"/>
                <w:szCs w:val="21"/>
                <w:vertAlign w:val="baseline"/>
                <w:lang w:val="en-US" w:eastAsia="zh-CN" w:bidi="ar-SA"/>
              </w:rPr>
            </w:pPr>
            <w:r>
              <w:rPr>
                <w:rFonts w:hint="eastAsia" w:ascii="新宋体" w:hAnsi="新宋体" w:eastAsia="新宋体" w:cs="新宋体"/>
                <w:sz w:val="21"/>
                <w:szCs w:val="21"/>
                <w:vertAlign w:val="baseline"/>
              </w:rPr>
              <w:t>预算执行率</w:t>
            </w:r>
          </w:p>
        </w:tc>
        <w:tc>
          <w:tcPr>
            <w:tcW w:w="1351" w:type="dxa"/>
            <w:noWrap w:val="0"/>
            <w:vAlign w:val="top"/>
          </w:tcPr>
          <w:p w14:paraId="6F87ADB1">
            <w:pPr>
              <w:keepNext w:val="0"/>
              <w:keepLines w:val="0"/>
              <w:pageBreakBefore w:val="0"/>
              <w:kinsoku/>
              <w:wordWrap/>
              <w:overflowPunct/>
              <w:topLinePunct w:val="0"/>
              <w:autoSpaceDE/>
              <w:autoSpaceDN/>
              <w:bidi w:val="0"/>
              <w:adjustRightInd/>
              <w:spacing w:line="560" w:lineRule="exact"/>
              <w:jc w:val="center"/>
              <w:rPr>
                <w:rFonts w:hint="eastAsia" w:ascii="新宋体" w:hAnsi="新宋体" w:eastAsia="新宋体" w:cs="新宋体"/>
                <w:kern w:val="2"/>
                <w:sz w:val="21"/>
                <w:szCs w:val="21"/>
                <w:vertAlign w:val="baseline"/>
                <w:lang w:val="en-US" w:eastAsia="zh-CN" w:bidi="ar-SA"/>
              </w:rPr>
            </w:pPr>
            <w:r>
              <w:rPr>
                <w:rFonts w:hint="eastAsia" w:ascii="新宋体" w:hAnsi="新宋体" w:eastAsia="新宋体" w:cs="新宋体"/>
                <w:sz w:val="21"/>
                <w:szCs w:val="21"/>
                <w:lang w:val="en-US" w:eastAsia="zh-CN"/>
              </w:rPr>
              <w:t>5</w:t>
            </w:r>
          </w:p>
        </w:tc>
        <w:tc>
          <w:tcPr>
            <w:tcW w:w="2635" w:type="dxa"/>
            <w:noWrap w:val="0"/>
            <w:vAlign w:val="top"/>
          </w:tcPr>
          <w:p w14:paraId="6E9B38BE">
            <w:pPr>
              <w:keepNext w:val="0"/>
              <w:keepLines w:val="0"/>
              <w:pageBreakBefore w:val="0"/>
              <w:kinsoku/>
              <w:wordWrap/>
              <w:overflowPunct/>
              <w:topLinePunct w:val="0"/>
              <w:autoSpaceDE/>
              <w:autoSpaceDN/>
              <w:bidi w:val="0"/>
              <w:adjustRightInd/>
              <w:spacing w:line="560" w:lineRule="exact"/>
              <w:jc w:val="center"/>
              <w:rPr>
                <w:rFonts w:hint="eastAsia" w:ascii="新宋体" w:hAnsi="新宋体" w:eastAsia="新宋体" w:cs="新宋体"/>
                <w:kern w:val="2"/>
                <w:sz w:val="21"/>
                <w:szCs w:val="21"/>
                <w:vertAlign w:val="baseline"/>
                <w:lang w:val="en-US" w:eastAsia="zh-CN" w:bidi="ar-SA"/>
              </w:rPr>
            </w:pPr>
            <w:r>
              <w:rPr>
                <w:rFonts w:hint="eastAsia" w:ascii="新宋体" w:hAnsi="新宋体" w:eastAsia="新宋体" w:cs="新宋体"/>
                <w:sz w:val="21"/>
                <w:szCs w:val="21"/>
                <w:lang w:val="en-US" w:eastAsia="zh-CN"/>
              </w:rPr>
              <w:t>5</w:t>
            </w:r>
          </w:p>
        </w:tc>
      </w:tr>
      <w:tr w14:paraId="2F7132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992" w:type="dxa"/>
            <w:vMerge w:val="continue"/>
            <w:noWrap w:val="0"/>
            <w:vAlign w:val="center"/>
          </w:tcPr>
          <w:p w14:paraId="693A3A8D">
            <w:pPr>
              <w:keepNext w:val="0"/>
              <w:keepLines w:val="0"/>
              <w:pageBreakBefore w:val="0"/>
              <w:widowControl/>
              <w:kinsoku/>
              <w:wordWrap/>
              <w:overflowPunct/>
              <w:topLinePunct w:val="0"/>
              <w:autoSpaceDE/>
              <w:autoSpaceDN/>
              <w:bidi w:val="0"/>
              <w:adjustRightInd/>
              <w:snapToGrid/>
              <w:spacing w:after="0" w:line="560" w:lineRule="exact"/>
              <w:ind w:right="0" w:rightChars="0"/>
              <w:jc w:val="center"/>
              <w:textAlignment w:val="auto"/>
              <w:outlineLvl w:val="9"/>
              <w:rPr>
                <w:rStyle w:val="16"/>
                <w:rFonts w:hint="eastAsia" w:ascii="新宋体" w:hAnsi="新宋体" w:eastAsia="新宋体" w:cs="新宋体"/>
                <w:b/>
                <w:bCs w:val="0"/>
                <w:spacing w:val="-4"/>
                <w:sz w:val="21"/>
                <w:szCs w:val="21"/>
                <w:vertAlign w:val="baseline"/>
              </w:rPr>
            </w:pPr>
          </w:p>
        </w:tc>
        <w:tc>
          <w:tcPr>
            <w:tcW w:w="1992" w:type="dxa"/>
            <w:vMerge w:val="continue"/>
            <w:noWrap w:val="0"/>
            <w:vAlign w:val="center"/>
          </w:tcPr>
          <w:p w14:paraId="764185D6">
            <w:pPr>
              <w:keepNext w:val="0"/>
              <w:keepLines w:val="0"/>
              <w:pageBreakBefore w:val="0"/>
              <w:widowControl/>
              <w:kinsoku/>
              <w:wordWrap/>
              <w:overflowPunct/>
              <w:topLinePunct w:val="0"/>
              <w:autoSpaceDE/>
              <w:autoSpaceDN/>
              <w:bidi w:val="0"/>
              <w:adjustRightInd/>
              <w:snapToGrid/>
              <w:spacing w:after="0" w:line="560" w:lineRule="exact"/>
              <w:ind w:right="0" w:rightChars="0"/>
              <w:jc w:val="center"/>
              <w:textAlignment w:val="auto"/>
              <w:outlineLvl w:val="9"/>
              <w:rPr>
                <w:rStyle w:val="16"/>
                <w:rFonts w:hint="eastAsia" w:ascii="新宋体" w:hAnsi="新宋体" w:eastAsia="新宋体" w:cs="新宋体"/>
                <w:b/>
                <w:bCs w:val="0"/>
                <w:spacing w:val="-4"/>
                <w:sz w:val="21"/>
                <w:szCs w:val="21"/>
                <w:vertAlign w:val="baseline"/>
              </w:rPr>
            </w:pPr>
          </w:p>
        </w:tc>
        <w:tc>
          <w:tcPr>
            <w:tcW w:w="1992" w:type="dxa"/>
            <w:noWrap w:val="0"/>
            <w:vAlign w:val="center"/>
          </w:tcPr>
          <w:p w14:paraId="420FCAD1">
            <w:pPr>
              <w:keepNext w:val="0"/>
              <w:keepLines w:val="0"/>
              <w:pageBreakBefore w:val="0"/>
              <w:kinsoku/>
              <w:wordWrap/>
              <w:overflowPunct/>
              <w:topLinePunct w:val="0"/>
              <w:autoSpaceDE/>
              <w:autoSpaceDN/>
              <w:bidi w:val="0"/>
              <w:adjustRightInd/>
              <w:spacing w:line="560" w:lineRule="exact"/>
              <w:jc w:val="center"/>
              <w:rPr>
                <w:rFonts w:hint="eastAsia" w:ascii="新宋体" w:hAnsi="新宋体" w:eastAsia="新宋体" w:cs="新宋体"/>
                <w:kern w:val="2"/>
                <w:sz w:val="21"/>
                <w:szCs w:val="21"/>
                <w:vertAlign w:val="baseline"/>
                <w:lang w:val="en-US" w:eastAsia="zh-CN" w:bidi="ar-SA"/>
              </w:rPr>
            </w:pPr>
            <w:r>
              <w:rPr>
                <w:rFonts w:hint="eastAsia" w:ascii="新宋体" w:hAnsi="新宋体" w:eastAsia="新宋体" w:cs="新宋体"/>
                <w:sz w:val="21"/>
                <w:szCs w:val="21"/>
                <w:vertAlign w:val="baseline"/>
              </w:rPr>
              <w:t>资金使用合规性</w:t>
            </w:r>
          </w:p>
        </w:tc>
        <w:tc>
          <w:tcPr>
            <w:tcW w:w="1351" w:type="dxa"/>
            <w:noWrap w:val="0"/>
            <w:vAlign w:val="top"/>
          </w:tcPr>
          <w:p w14:paraId="1574D2FE">
            <w:pPr>
              <w:keepNext w:val="0"/>
              <w:keepLines w:val="0"/>
              <w:pageBreakBefore w:val="0"/>
              <w:kinsoku/>
              <w:wordWrap/>
              <w:overflowPunct/>
              <w:topLinePunct w:val="0"/>
              <w:autoSpaceDE/>
              <w:autoSpaceDN/>
              <w:bidi w:val="0"/>
              <w:adjustRightInd/>
              <w:spacing w:line="560" w:lineRule="exact"/>
              <w:jc w:val="center"/>
              <w:rPr>
                <w:rFonts w:hint="eastAsia" w:ascii="新宋体" w:hAnsi="新宋体" w:eastAsia="新宋体" w:cs="新宋体"/>
                <w:kern w:val="2"/>
                <w:sz w:val="21"/>
                <w:szCs w:val="21"/>
                <w:vertAlign w:val="baseline"/>
                <w:lang w:val="en-US" w:eastAsia="zh-CN" w:bidi="ar-SA"/>
              </w:rPr>
            </w:pPr>
            <w:r>
              <w:rPr>
                <w:rFonts w:hint="eastAsia" w:ascii="新宋体" w:hAnsi="新宋体" w:eastAsia="新宋体" w:cs="新宋体"/>
                <w:sz w:val="21"/>
                <w:szCs w:val="21"/>
              </w:rPr>
              <w:t>3</w:t>
            </w:r>
          </w:p>
        </w:tc>
        <w:tc>
          <w:tcPr>
            <w:tcW w:w="2635" w:type="dxa"/>
            <w:noWrap w:val="0"/>
            <w:vAlign w:val="top"/>
          </w:tcPr>
          <w:p w14:paraId="7F6F1D7D">
            <w:pPr>
              <w:keepNext w:val="0"/>
              <w:keepLines w:val="0"/>
              <w:pageBreakBefore w:val="0"/>
              <w:kinsoku/>
              <w:wordWrap/>
              <w:overflowPunct/>
              <w:topLinePunct w:val="0"/>
              <w:autoSpaceDE/>
              <w:autoSpaceDN/>
              <w:bidi w:val="0"/>
              <w:adjustRightInd/>
              <w:spacing w:line="560" w:lineRule="exact"/>
              <w:jc w:val="center"/>
              <w:rPr>
                <w:rFonts w:hint="eastAsia" w:ascii="新宋体" w:hAnsi="新宋体" w:eastAsia="新宋体" w:cs="新宋体"/>
                <w:kern w:val="2"/>
                <w:sz w:val="21"/>
                <w:szCs w:val="21"/>
                <w:vertAlign w:val="baseline"/>
                <w:lang w:val="en-US" w:eastAsia="zh-CN" w:bidi="ar-SA"/>
              </w:rPr>
            </w:pPr>
            <w:r>
              <w:rPr>
                <w:rFonts w:hint="eastAsia" w:ascii="新宋体" w:hAnsi="新宋体" w:eastAsia="新宋体" w:cs="新宋体"/>
                <w:sz w:val="21"/>
                <w:szCs w:val="21"/>
              </w:rPr>
              <w:t>3</w:t>
            </w:r>
          </w:p>
        </w:tc>
      </w:tr>
      <w:tr w14:paraId="34FBF2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992" w:type="dxa"/>
            <w:vMerge w:val="continue"/>
            <w:noWrap w:val="0"/>
            <w:vAlign w:val="center"/>
          </w:tcPr>
          <w:p w14:paraId="24B47FB4">
            <w:pPr>
              <w:keepNext w:val="0"/>
              <w:keepLines w:val="0"/>
              <w:pageBreakBefore w:val="0"/>
              <w:widowControl/>
              <w:kinsoku/>
              <w:wordWrap/>
              <w:overflowPunct/>
              <w:topLinePunct w:val="0"/>
              <w:autoSpaceDE/>
              <w:autoSpaceDN/>
              <w:bidi w:val="0"/>
              <w:adjustRightInd/>
              <w:snapToGrid/>
              <w:spacing w:after="0" w:line="560" w:lineRule="exact"/>
              <w:ind w:right="0" w:rightChars="0"/>
              <w:jc w:val="center"/>
              <w:textAlignment w:val="auto"/>
              <w:outlineLvl w:val="9"/>
              <w:rPr>
                <w:rStyle w:val="16"/>
                <w:rFonts w:hint="eastAsia" w:ascii="新宋体" w:hAnsi="新宋体" w:eastAsia="新宋体" w:cs="新宋体"/>
                <w:b/>
                <w:bCs w:val="0"/>
                <w:spacing w:val="-4"/>
                <w:sz w:val="21"/>
                <w:szCs w:val="21"/>
                <w:vertAlign w:val="baseline"/>
              </w:rPr>
            </w:pPr>
          </w:p>
        </w:tc>
        <w:tc>
          <w:tcPr>
            <w:tcW w:w="1992" w:type="dxa"/>
            <w:vMerge w:val="restart"/>
            <w:noWrap w:val="0"/>
            <w:vAlign w:val="center"/>
          </w:tcPr>
          <w:p w14:paraId="1596CBDE">
            <w:pPr>
              <w:keepNext w:val="0"/>
              <w:keepLines w:val="0"/>
              <w:pageBreakBefore w:val="0"/>
              <w:widowControl/>
              <w:kinsoku/>
              <w:wordWrap/>
              <w:overflowPunct/>
              <w:topLinePunct w:val="0"/>
              <w:autoSpaceDE/>
              <w:autoSpaceDN/>
              <w:bidi w:val="0"/>
              <w:adjustRightInd/>
              <w:snapToGrid w:val="0"/>
              <w:spacing w:line="560" w:lineRule="exact"/>
              <w:ind w:left="0" w:leftChars="0" w:right="0" w:rightChars="0" w:firstLine="0" w:firstLineChars="0"/>
              <w:jc w:val="center"/>
              <w:textAlignment w:val="auto"/>
              <w:outlineLvl w:val="9"/>
              <w:rPr>
                <w:rFonts w:hint="eastAsia" w:ascii="新宋体" w:hAnsi="新宋体" w:eastAsia="新宋体" w:cs="新宋体"/>
                <w:color w:val="000000"/>
                <w:kern w:val="0"/>
                <w:sz w:val="21"/>
                <w:szCs w:val="21"/>
              </w:rPr>
            </w:pPr>
            <w:r>
              <w:rPr>
                <w:rFonts w:hint="eastAsia" w:ascii="新宋体" w:hAnsi="新宋体" w:eastAsia="新宋体" w:cs="新宋体"/>
                <w:color w:val="000000"/>
                <w:kern w:val="0"/>
                <w:sz w:val="21"/>
                <w:szCs w:val="21"/>
              </w:rPr>
              <w:t>组织实施</w:t>
            </w:r>
          </w:p>
          <w:p w14:paraId="2245DDD6">
            <w:pPr>
              <w:keepNext w:val="0"/>
              <w:keepLines w:val="0"/>
              <w:pageBreakBefore w:val="0"/>
              <w:widowControl/>
              <w:kinsoku/>
              <w:wordWrap/>
              <w:overflowPunct/>
              <w:topLinePunct w:val="0"/>
              <w:autoSpaceDE/>
              <w:autoSpaceDN/>
              <w:bidi w:val="0"/>
              <w:adjustRightInd/>
              <w:snapToGrid/>
              <w:spacing w:after="0" w:line="560" w:lineRule="exact"/>
              <w:ind w:right="0" w:rightChars="0"/>
              <w:jc w:val="center"/>
              <w:textAlignment w:val="auto"/>
              <w:outlineLvl w:val="9"/>
              <w:rPr>
                <w:rStyle w:val="16"/>
                <w:rFonts w:hint="eastAsia" w:ascii="新宋体" w:hAnsi="新宋体" w:eastAsia="新宋体" w:cs="新宋体"/>
                <w:b/>
                <w:bCs w:val="0"/>
                <w:spacing w:val="-4"/>
                <w:sz w:val="21"/>
                <w:szCs w:val="21"/>
                <w:vertAlign w:val="baseline"/>
              </w:rPr>
            </w:pPr>
          </w:p>
        </w:tc>
        <w:tc>
          <w:tcPr>
            <w:tcW w:w="1992" w:type="dxa"/>
            <w:noWrap w:val="0"/>
            <w:vAlign w:val="center"/>
          </w:tcPr>
          <w:p w14:paraId="74F123CC">
            <w:pPr>
              <w:keepNext w:val="0"/>
              <w:keepLines w:val="0"/>
              <w:pageBreakBefore w:val="0"/>
              <w:kinsoku/>
              <w:wordWrap/>
              <w:overflowPunct/>
              <w:topLinePunct w:val="0"/>
              <w:autoSpaceDE/>
              <w:autoSpaceDN/>
              <w:bidi w:val="0"/>
              <w:adjustRightInd/>
              <w:spacing w:line="560" w:lineRule="exact"/>
              <w:jc w:val="center"/>
              <w:rPr>
                <w:rFonts w:hint="eastAsia" w:ascii="新宋体" w:hAnsi="新宋体" w:eastAsia="新宋体" w:cs="新宋体"/>
                <w:kern w:val="2"/>
                <w:sz w:val="21"/>
                <w:szCs w:val="21"/>
                <w:vertAlign w:val="baseline"/>
                <w:lang w:val="en-US" w:eastAsia="zh-CN" w:bidi="ar-SA"/>
              </w:rPr>
            </w:pPr>
            <w:r>
              <w:rPr>
                <w:rFonts w:hint="eastAsia" w:ascii="新宋体" w:hAnsi="新宋体" w:eastAsia="新宋体" w:cs="新宋体"/>
                <w:sz w:val="21"/>
                <w:szCs w:val="21"/>
                <w:vertAlign w:val="baseline"/>
              </w:rPr>
              <w:t>管理制度健全性</w:t>
            </w:r>
          </w:p>
        </w:tc>
        <w:tc>
          <w:tcPr>
            <w:tcW w:w="1351" w:type="dxa"/>
            <w:noWrap w:val="0"/>
            <w:vAlign w:val="top"/>
          </w:tcPr>
          <w:p w14:paraId="328530E1">
            <w:pPr>
              <w:keepNext w:val="0"/>
              <w:keepLines w:val="0"/>
              <w:pageBreakBefore w:val="0"/>
              <w:kinsoku/>
              <w:wordWrap/>
              <w:overflowPunct/>
              <w:topLinePunct w:val="0"/>
              <w:autoSpaceDE/>
              <w:autoSpaceDN/>
              <w:bidi w:val="0"/>
              <w:adjustRightInd/>
              <w:spacing w:line="560" w:lineRule="exact"/>
              <w:jc w:val="center"/>
              <w:rPr>
                <w:rFonts w:hint="eastAsia" w:ascii="新宋体" w:hAnsi="新宋体" w:eastAsia="新宋体" w:cs="新宋体"/>
                <w:kern w:val="2"/>
                <w:sz w:val="21"/>
                <w:szCs w:val="21"/>
                <w:vertAlign w:val="baseline"/>
                <w:lang w:val="en-US" w:eastAsia="zh-CN" w:bidi="ar-SA"/>
              </w:rPr>
            </w:pPr>
            <w:r>
              <w:rPr>
                <w:rFonts w:hint="eastAsia" w:ascii="新宋体" w:hAnsi="新宋体" w:eastAsia="新宋体" w:cs="新宋体"/>
                <w:sz w:val="21"/>
                <w:szCs w:val="21"/>
              </w:rPr>
              <w:t>5</w:t>
            </w:r>
          </w:p>
        </w:tc>
        <w:tc>
          <w:tcPr>
            <w:tcW w:w="2635" w:type="dxa"/>
            <w:noWrap w:val="0"/>
            <w:vAlign w:val="top"/>
          </w:tcPr>
          <w:p w14:paraId="2A56390A">
            <w:pPr>
              <w:keepNext w:val="0"/>
              <w:keepLines w:val="0"/>
              <w:pageBreakBefore w:val="0"/>
              <w:kinsoku/>
              <w:wordWrap/>
              <w:overflowPunct/>
              <w:topLinePunct w:val="0"/>
              <w:autoSpaceDE/>
              <w:autoSpaceDN/>
              <w:bidi w:val="0"/>
              <w:adjustRightInd/>
              <w:spacing w:line="560" w:lineRule="exact"/>
              <w:jc w:val="center"/>
              <w:rPr>
                <w:rFonts w:hint="eastAsia" w:ascii="新宋体" w:hAnsi="新宋体" w:eastAsia="新宋体" w:cs="新宋体"/>
                <w:kern w:val="2"/>
                <w:sz w:val="21"/>
                <w:szCs w:val="21"/>
                <w:vertAlign w:val="baseline"/>
                <w:lang w:val="en-US" w:eastAsia="zh-CN" w:bidi="ar-SA"/>
              </w:rPr>
            </w:pPr>
            <w:r>
              <w:rPr>
                <w:rFonts w:hint="eastAsia" w:ascii="新宋体" w:hAnsi="新宋体" w:eastAsia="新宋体" w:cs="新宋体"/>
                <w:sz w:val="21"/>
                <w:szCs w:val="21"/>
              </w:rPr>
              <w:t>5</w:t>
            </w:r>
          </w:p>
        </w:tc>
      </w:tr>
      <w:tr w14:paraId="27E846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992" w:type="dxa"/>
            <w:vMerge w:val="continue"/>
            <w:noWrap w:val="0"/>
            <w:vAlign w:val="center"/>
          </w:tcPr>
          <w:p w14:paraId="6016B11D">
            <w:pPr>
              <w:keepNext w:val="0"/>
              <w:keepLines w:val="0"/>
              <w:pageBreakBefore w:val="0"/>
              <w:widowControl/>
              <w:kinsoku/>
              <w:wordWrap/>
              <w:overflowPunct/>
              <w:topLinePunct w:val="0"/>
              <w:autoSpaceDE/>
              <w:autoSpaceDN/>
              <w:bidi w:val="0"/>
              <w:adjustRightInd/>
              <w:snapToGrid/>
              <w:spacing w:after="0" w:line="560" w:lineRule="exact"/>
              <w:ind w:right="0" w:rightChars="0"/>
              <w:jc w:val="center"/>
              <w:textAlignment w:val="auto"/>
              <w:outlineLvl w:val="9"/>
              <w:rPr>
                <w:rStyle w:val="16"/>
                <w:rFonts w:hint="eastAsia" w:ascii="新宋体" w:hAnsi="新宋体" w:eastAsia="新宋体" w:cs="新宋体"/>
                <w:b/>
                <w:bCs w:val="0"/>
                <w:spacing w:val="-4"/>
                <w:sz w:val="21"/>
                <w:szCs w:val="21"/>
                <w:vertAlign w:val="baseline"/>
              </w:rPr>
            </w:pPr>
          </w:p>
        </w:tc>
        <w:tc>
          <w:tcPr>
            <w:tcW w:w="1992" w:type="dxa"/>
            <w:vMerge w:val="continue"/>
            <w:noWrap w:val="0"/>
            <w:vAlign w:val="center"/>
          </w:tcPr>
          <w:p w14:paraId="320B508F">
            <w:pPr>
              <w:keepNext w:val="0"/>
              <w:keepLines w:val="0"/>
              <w:pageBreakBefore w:val="0"/>
              <w:widowControl/>
              <w:kinsoku/>
              <w:wordWrap/>
              <w:overflowPunct/>
              <w:topLinePunct w:val="0"/>
              <w:autoSpaceDE/>
              <w:autoSpaceDN/>
              <w:bidi w:val="0"/>
              <w:adjustRightInd/>
              <w:snapToGrid/>
              <w:spacing w:after="0" w:line="560" w:lineRule="exact"/>
              <w:ind w:right="0" w:rightChars="0"/>
              <w:jc w:val="center"/>
              <w:textAlignment w:val="auto"/>
              <w:outlineLvl w:val="9"/>
              <w:rPr>
                <w:rStyle w:val="16"/>
                <w:rFonts w:hint="eastAsia" w:ascii="新宋体" w:hAnsi="新宋体" w:eastAsia="新宋体" w:cs="新宋体"/>
                <w:b/>
                <w:bCs w:val="0"/>
                <w:spacing w:val="-4"/>
                <w:sz w:val="21"/>
                <w:szCs w:val="21"/>
                <w:vertAlign w:val="baseline"/>
              </w:rPr>
            </w:pPr>
          </w:p>
        </w:tc>
        <w:tc>
          <w:tcPr>
            <w:tcW w:w="1992" w:type="dxa"/>
            <w:noWrap w:val="0"/>
            <w:vAlign w:val="center"/>
          </w:tcPr>
          <w:p w14:paraId="10273E4E">
            <w:pPr>
              <w:keepNext w:val="0"/>
              <w:keepLines w:val="0"/>
              <w:pageBreakBefore w:val="0"/>
              <w:kinsoku/>
              <w:wordWrap/>
              <w:overflowPunct/>
              <w:topLinePunct w:val="0"/>
              <w:autoSpaceDE/>
              <w:autoSpaceDN/>
              <w:bidi w:val="0"/>
              <w:adjustRightInd/>
              <w:spacing w:line="560" w:lineRule="exact"/>
              <w:jc w:val="center"/>
              <w:rPr>
                <w:rFonts w:hint="eastAsia" w:ascii="新宋体" w:hAnsi="新宋体" w:eastAsia="新宋体" w:cs="新宋体"/>
                <w:kern w:val="2"/>
                <w:sz w:val="21"/>
                <w:szCs w:val="21"/>
                <w:vertAlign w:val="baseline"/>
                <w:lang w:val="en-US" w:eastAsia="zh-CN" w:bidi="ar-SA"/>
              </w:rPr>
            </w:pPr>
            <w:r>
              <w:rPr>
                <w:rFonts w:hint="eastAsia" w:ascii="新宋体" w:hAnsi="新宋体" w:eastAsia="新宋体" w:cs="新宋体"/>
                <w:sz w:val="21"/>
                <w:szCs w:val="21"/>
                <w:vertAlign w:val="baseline"/>
              </w:rPr>
              <w:t>制度执行有效性</w:t>
            </w:r>
          </w:p>
        </w:tc>
        <w:tc>
          <w:tcPr>
            <w:tcW w:w="1351" w:type="dxa"/>
            <w:noWrap w:val="0"/>
            <w:vAlign w:val="top"/>
          </w:tcPr>
          <w:p w14:paraId="430A1719">
            <w:pPr>
              <w:keepNext w:val="0"/>
              <w:keepLines w:val="0"/>
              <w:pageBreakBefore w:val="0"/>
              <w:kinsoku/>
              <w:wordWrap/>
              <w:overflowPunct/>
              <w:topLinePunct w:val="0"/>
              <w:autoSpaceDE/>
              <w:autoSpaceDN/>
              <w:bidi w:val="0"/>
              <w:adjustRightInd/>
              <w:spacing w:line="560" w:lineRule="exact"/>
              <w:jc w:val="center"/>
              <w:rPr>
                <w:rFonts w:hint="eastAsia" w:ascii="新宋体" w:hAnsi="新宋体" w:eastAsia="新宋体" w:cs="新宋体"/>
                <w:kern w:val="2"/>
                <w:sz w:val="21"/>
                <w:szCs w:val="21"/>
                <w:vertAlign w:val="baseline"/>
                <w:lang w:val="en-US" w:eastAsia="zh-CN" w:bidi="ar-SA"/>
              </w:rPr>
            </w:pPr>
            <w:r>
              <w:rPr>
                <w:rFonts w:hint="eastAsia" w:ascii="新宋体" w:hAnsi="新宋体" w:eastAsia="新宋体" w:cs="新宋体"/>
                <w:sz w:val="21"/>
                <w:szCs w:val="21"/>
              </w:rPr>
              <w:t>5</w:t>
            </w:r>
          </w:p>
        </w:tc>
        <w:tc>
          <w:tcPr>
            <w:tcW w:w="2635" w:type="dxa"/>
            <w:noWrap w:val="0"/>
            <w:vAlign w:val="top"/>
          </w:tcPr>
          <w:p w14:paraId="29A0D09D">
            <w:pPr>
              <w:keepNext w:val="0"/>
              <w:keepLines w:val="0"/>
              <w:pageBreakBefore w:val="0"/>
              <w:kinsoku/>
              <w:wordWrap/>
              <w:overflowPunct/>
              <w:topLinePunct w:val="0"/>
              <w:autoSpaceDE/>
              <w:autoSpaceDN/>
              <w:bidi w:val="0"/>
              <w:adjustRightInd/>
              <w:spacing w:line="560" w:lineRule="exact"/>
              <w:jc w:val="center"/>
              <w:rPr>
                <w:rFonts w:hint="eastAsia" w:ascii="新宋体" w:hAnsi="新宋体" w:eastAsia="新宋体" w:cs="新宋体"/>
                <w:kern w:val="2"/>
                <w:sz w:val="21"/>
                <w:szCs w:val="21"/>
                <w:vertAlign w:val="baseline"/>
                <w:lang w:val="en-US" w:eastAsia="zh-CN" w:bidi="ar-SA"/>
              </w:rPr>
            </w:pPr>
            <w:r>
              <w:rPr>
                <w:rFonts w:hint="eastAsia" w:ascii="新宋体" w:hAnsi="新宋体" w:eastAsia="新宋体" w:cs="新宋体"/>
                <w:sz w:val="21"/>
                <w:szCs w:val="21"/>
              </w:rPr>
              <w:t>5</w:t>
            </w:r>
          </w:p>
        </w:tc>
      </w:tr>
      <w:tr w14:paraId="50BFDD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992" w:type="dxa"/>
            <w:vMerge w:val="restart"/>
            <w:noWrap w:val="0"/>
            <w:vAlign w:val="center"/>
          </w:tcPr>
          <w:p w14:paraId="2580E1B9">
            <w:pPr>
              <w:keepNext w:val="0"/>
              <w:keepLines w:val="0"/>
              <w:pageBreakBefore w:val="0"/>
              <w:widowControl/>
              <w:kinsoku/>
              <w:wordWrap/>
              <w:overflowPunct/>
              <w:topLinePunct w:val="0"/>
              <w:autoSpaceDE/>
              <w:autoSpaceDN/>
              <w:bidi w:val="0"/>
              <w:adjustRightInd/>
              <w:snapToGrid/>
              <w:spacing w:after="0" w:line="560" w:lineRule="exact"/>
              <w:ind w:right="0" w:rightChars="0"/>
              <w:jc w:val="center"/>
              <w:textAlignment w:val="auto"/>
              <w:outlineLvl w:val="9"/>
              <w:rPr>
                <w:rStyle w:val="16"/>
                <w:rFonts w:hint="eastAsia" w:ascii="新宋体" w:hAnsi="新宋体" w:eastAsia="新宋体" w:cs="新宋体"/>
                <w:b/>
                <w:bCs w:val="0"/>
                <w:spacing w:val="-4"/>
                <w:sz w:val="21"/>
                <w:szCs w:val="21"/>
                <w:vertAlign w:val="baseline"/>
              </w:rPr>
            </w:pPr>
            <w:r>
              <w:rPr>
                <w:rFonts w:hint="eastAsia" w:ascii="新宋体" w:hAnsi="新宋体" w:eastAsia="新宋体" w:cs="新宋体"/>
                <w:i w:val="0"/>
                <w:caps w:val="0"/>
                <w:color w:val="030303"/>
                <w:spacing w:val="0"/>
                <w:sz w:val="21"/>
                <w:szCs w:val="21"/>
                <w:shd w:val="clear" w:color="auto" w:fill="FFFFFF"/>
              </w:rPr>
              <w:t>项目产出</w:t>
            </w:r>
          </w:p>
        </w:tc>
        <w:tc>
          <w:tcPr>
            <w:tcW w:w="1992" w:type="dxa"/>
            <w:noWrap w:val="0"/>
            <w:vAlign w:val="center"/>
          </w:tcPr>
          <w:p w14:paraId="2BEFC48F">
            <w:pPr>
              <w:keepNext w:val="0"/>
              <w:keepLines w:val="0"/>
              <w:pageBreakBefore w:val="0"/>
              <w:widowControl/>
              <w:kinsoku/>
              <w:wordWrap/>
              <w:overflowPunct/>
              <w:topLinePunct w:val="0"/>
              <w:autoSpaceDE/>
              <w:autoSpaceDN/>
              <w:bidi w:val="0"/>
              <w:adjustRightInd/>
              <w:snapToGrid/>
              <w:spacing w:after="0" w:line="560" w:lineRule="exact"/>
              <w:ind w:right="0" w:rightChars="0"/>
              <w:jc w:val="center"/>
              <w:textAlignment w:val="auto"/>
              <w:outlineLvl w:val="9"/>
              <w:rPr>
                <w:rStyle w:val="16"/>
                <w:rFonts w:hint="eastAsia" w:ascii="新宋体" w:hAnsi="新宋体" w:eastAsia="新宋体" w:cs="新宋体"/>
                <w:b/>
                <w:bCs w:val="0"/>
                <w:spacing w:val="-4"/>
                <w:sz w:val="21"/>
                <w:szCs w:val="21"/>
                <w:vertAlign w:val="baseline"/>
              </w:rPr>
            </w:pPr>
            <w:r>
              <w:rPr>
                <w:rFonts w:hint="eastAsia" w:ascii="新宋体" w:hAnsi="新宋体" w:eastAsia="新宋体" w:cs="新宋体"/>
                <w:color w:val="000000"/>
                <w:kern w:val="0"/>
                <w:sz w:val="21"/>
                <w:szCs w:val="21"/>
              </w:rPr>
              <w:t>产出数量</w:t>
            </w:r>
          </w:p>
        </w:tc>
        <w:tc>
          <w:tcPr>
            <w:tcW w:w="1992" w:type="dxa"/>
            <w:noWrap w:val="0"/>
            <w:vAlign w:val="center"/>
          </w:tcPr>
          <w:p w14:paraId="3B5E1567">
            <w:pPr>
              <w:keepNext w:val="0"/>
              <w:keepLines w:val="0"/>
              <w:pageBreakBefore w:val="0"/>
              <w:kinsoku/>
              <w:wordWrap/>
              <w:overflowPunct/>
              <w:topLinePunct w:val="0"/>
              <w:autoSpaceDE/>
              <w:autoSpaceDN/>
              <w:bidi w:val="0"/>
              <w:adjustRightInd/>
              <w:spacing w:line="560" w:lineRule="exact"/>
              <w:jc w:val="center"/>
              <w:rPr>
                <w:rFonts w:hint="eastAsia" w:ascii="新宋体" w:hAnsi="新宋体" w:eastAsia="新宋体" w:cs="新宋体"/>
                <w:kern w:val="2"/>
                <w:sz w:val="21"/>
                <w:szCs w:val="21"/>
                <w:vertAlign w:val="baseline"/>
                <w:lang w:val="en-US" w:eastAsia="zh-CN" w:bidi="ar-SA"/>
              </w:rPr>
            </w:pPr>
            <w:r>
              <w:rPr>
                <w:rFonts w:hint="eastAsia" w:ascii="新宋体" w:hAnsi="新宋体" w:eastAsia="新宋体" w:cs="新宋体"/>
                <w:sz w:val="21"/>
                <w:szCs w:val="21"/>
                <w:vertAlign w:val="baseline"/>
              </w:rPr>
              <w:t>实际完成率</w:t>
            </w:r>
          </w:p>
        </w:tc>
        <w:tc>
          <w:tcPr>
            <w:tcW w:w="1351" w:type="dxa"/>
            <w:noWrap w:val="0"/>
            <w:vAlign w:val="top"/>
          </w:tcPr>
          <w:p w14:paraId="006C0770">
            <w:pPr>
              <w:keepNext w:val="0"/>
              <w:keepLines w:val="0"/>
              <w:pageBreakBefore w:val="0"/>
              <w:kinsoku/>
              <w:wordWrap/>
              <w:overflowPunct/>
              <w:topLinePunct w:val="0"/>
              <w:autoSpaceDE/>
              <w:autoSpaceDN/>
              <w:bidi w:val="0"/>
              <w:adjustRightInd/>
              <w:spacing w:line="560" w:lineRule="exact"/>
              <w:jc w:val="center"/>
              <w:rPr>
                <w:rFonts w:hint="eastAsia" w:ascii="新宋体" w:hAnsi="新宋体" w:eastAsia="新宋体" w:cs="新宋体"/>
                <w:kern w:val="2"/>
                <w:sz w:val="21"/>
                <w:szCs w:val="21"/>
                <w:vertAlign w:val="baseline"/>
                <w:lang w:val="en-US" w:eastAsia="zh-CN" w:bidi="ar-SA"/>
              </w:rPr>
            </w:pPr>
            <w:r>
              <w:rPr>
                <w:rFonts w:hint="eastAsia" w:ascii="新宋体" w:hAnsi="新宋体" w:eastAsia="新宋体" w:cs="新宋体"/>
                <w:sz w:val="21"/>
                <w:szCs w:val="21"/>
              </w:rPr>
              <w:t>8</w:t>
            </w:r>
          </w:p>
        </w:tc>
        <w:tc>
          <w:tcPr>
            <w:tcW w:w="2635" w:type="dxa"/>
            <w:noWrap w:val="0"/>
            <w:vAlign w:val="center"/>
          </w:tcPr>
          <w:p w14:paraId="317A6397">
            <w:pPr>
              <w:keepNext w:val="0"/>
              <w:keepLines w:val="0"/>
              <w:pageBreakBefore w:val="0"/>
              <w:widowControl/>
              <w:kinsoku/>
              <w:wordWrap/>
              <w:overflowPunct/>
              <w:topLinePunct w:val="0"/>
              <w:autoSpaceDE/>
              <w:autoSpaceDN/>
              <w:bidi w:val="0"/>
              <w:adjustRightInd/>
              <w:snapToGrid/>
              <w:spacing w:after="0" w:line="560" w:lineRule="exact"/>
              <w:ind w:right="0" w:rightChars="0"/>
              <w:jc w:val="center"/>
              <w:textAlignment w:val="auto"/>
              <w:outlineLvl w:val="9"/>
              <w:rPr>
                <w:rStyle w:val="16"/>
                <w:rFonts w:hint="eastAsia" w:ascii="新宋体" w:hAnsi="新宋体" w:eastAsia="新宋体" w:cs="新宋体"/>
                <w:b w:val="0"/>
                <w:bCs/>
                <w:spacing w:val="-4"/>
                <w:sz w:val="21"/>
                <w:szCs w:val="21"/>
                <w:vertAlign w:val="baseline"/>
                <w:lang w:val="en-US" w:eastAsia="zh-CN"/>
              </w:rPr>
            </w:pPr>
            <w:r>
              <w:rPr>
                <w:rStyle w:val="16"/>
                <w:rFonts w:hint="eastAsia" w:ascii="新宋体" w:hAnsi="新宋体" w:eastAsia="新宋体" w:cs="新宋体"/>
                <w:b w:val="0"/>
                <w:bCs/>
                <w:spacing w:val="-4"/>
                <w:sz w:val="21"/>
                <w:szCs w:val="21"/>
                <w:vertAlign w:val="baseline"/>
                <w:lang w:val="en-US" w:eastAsia="zh-CN"/>
              </w:rPr>
              <w:t>8</w:t>
            </w:r>
          </w:p>
        </w:tc>
      </w:tr>
      <w:tr w14:paraId="6D3E36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992" w:type="dxa"/>
            <w:vMerge w:val="continue"/>
            <w:noWrap w:val="0"/>
            <w:vAlign w:val="center"/>
          </w:tcPr>
          <w:p w14:paraId="1ECD0810">
            <w:pPr>
              <w:keepNext w:val="0"/>
              <w:keepLines w:val="0"/>
              <w:pageBreakBefore w:val="0"/>
              <w:widowControl/>
              <w:kinsoku/>
              <w:wordWrap/>
              <w:overflowPunct/>
              <w:topLinePunct w:val="0"/>
              <w:autoSpaceDE/>
              <w:autoSpaceDN/>
              <w:bidi w:val="0"/>
              <w:adjustRightInd/>
              <w:snapToGrid/>
              <w:spacing w:after="0" w:line="560" w:lineRule="exact"/>
              <w:ind w:right="0" w:rightChars="0"/>
              <w:jc w:val="center"/>
              <w:textAlignment w:val="auto"/>
              <w:outlineLvl w:val="9"/>
              <w:rPr>
                <w:rStyle w:val="16"/>
                <w:rFonts w:hint="eastAsia" w:ascii="新宋体" w:hAnsi="新宋体" w:eastAsia="新宋体" w:cs="新宋体"/>
                <w:b/>
                <w:bCs w:val="0"/>
                <w:spacing w:val="-4"/>
                <w:sz w:val="21"/>
                <w:szCs w:val="21"/>
                <w:vertAlign w:val="baseline"/>
              </w:rPr>
            </w:pPr>
          </w:p>
        </w:tc>
        <w:tc>
          <w:tcPr>
            <w:tcW w:w="1992" w:type="dxa"/>
            <w:noWrap w:val="0"/>
            <w:vAlign w:val="center"/>
          </w:tcPr>
          <w:p w14:paraId="670E7A95">
            <w:pPr>
              <w:keepNext w:val="0"/>
              <w:keepLines w:val="0"/>
              <w:pageBreakBefore w:val="0"/>
              <w:widowControl/>
              <w:kinsoku/>
              <w:wordWrap/>
              <w:overflowPunct/>
              <w:topLinePunct w:val="0"/>
              <w:autoSpaceDE/>
              <w:autoSpaceDN/>
              <w:bidi w:val="0"/>
              <w:adjustRightInd/>
              <w:snapToGrid/>
              <w:spacing w:after="0" w:line="560" w:lineRule="exact"/>
              <w:ind w:right="0" w:rightChars="0"/>
              <w:jc w:val="center"/>
              <w:textAlignment w:val="auto"/>
              <w:outlineLvl w:val="9"/>
              <w:rPr>
                <w:rStyle w:val="16"/>
                <w:rFonts w:hint="eastAsia" w:ascii="新宋体" w:hAnsi="新宋体" w:eastAsia="新宋体" w:cs="新宋体"/>
                <w:b/>
                <w:bCs w:val="0"/>
                <w:spacing w:val="-4"/>
                <w:sz w:val="21"/>
                <w:szCs w:val="21"/>
                <w:vertAlign w:val="baseline"/>
              </w:rPr>
            </w:pPr>
            <w:r>
              <w:rPr>
                <w:rFonts w:hint="eastAsia" w:ascii="新宋体" w:hAnsi="新宋体" w:eastAsia="新宋体" w:cs="新宋体"/>
                <w:color w:val="000000"/>
                <w:kern w:val="0"/>
                <w:sz w:val="21"/>
                <w:szCs w:val="21"/>
              </w:rPr>
              <w:t>产出</w:t>
            </w:r>
            <w:r>
              <w:rPr>
                <w:rFonts w:hint="eastAsia" w:ascii="新宋体" w:hAnsi="新宋体" w:eastAsia="新宋体" w:cs="新宋体"/>
                <w:color w:val="000000"/>
                <w:kern w:val="0"/>
                <w:sz w:val="21"/>
                <w:szCs w:val="21"/>
                <w:lang w:val="en-US" w:eastAsia="zh-CN"/>
              </w:rPr>
              <w:t>质</w:t>
            </w:r>
            <w:r>
              <w:rPr>
                <w:rFonts w:hint="eastAsia" w:ascii="新宋体" w:hAnsi="新宋体" w:eastAsia="新宋体" w:cs="新宋体"/>
                <w:color w:val="000000"/>
                <w:kern w:val="0"/>
                <w:sz w:val="21"/>
                <w:szCs w:val="21"/>
              </w:rPr>
              <w:t>量</w:t>
            </w:r>
          </w:p>
        </w:tc>
        <w:tc>
          <w:tcPr>
            <w:tcW w:w="1992" w:type="dxa"/>
            <w:noWrap w:val="0"/>
            <w:vAlign w:val="center"/>
          </w:tcPr>
          <w:p w14:paraId="5D06EACA">
            <w:pPr>
              <w:keepNext w:val="0"/>
              <w:keepLines w:val="0"/>
              <w:pageBreakBefore w:val="0"/>
              <w:kinsoku/>
              <w:wordWrap/>
              <w:overflowPunct/>
              <w:topLinePunct w:val="0"/>
              <w:autoSpaceDE/>
              <w:autoSpaceDN/>
              <w:bidi w:val="0"/>
              <w:adjustRightInd/>
              <w:spacing w:line="560" w:lineRule="exact"/>
              <w:jc w:val="center"/>
              <w:rPr>
                <w:rFonts w:hint="eastAsia" w:ascii="新宋体" w:hAnsi="新宋体" w:eastAsia="新宋体" w:cs="新宋体"/>
                <w:kern w:val="2"/>
                <w:sz w:val="21"/>
                <w:szCs w:val="21"/>
                <w:vertAlign w:val="baseline"/>
                <w:lang w:val="en-US" w:eastAsia="zh-CN" w:bidi="ar-SA"/>
              </w:rPr>
            </w:pPr>
            <w:r>
              <w:rPr>
                <w:rFonts w:hint="eastAsia" w:ascii="新宋体" w:hAnsi="新宋体" w:eastAsia="新宋体" w:cs="新宋体"/>
                <w:sz w:val="21"/>
                <w:szCs w:val="21"/>
                <w:vertAlign w:val="baseline"/>
              </w:rPr>
              <w:t>质量达标率</w:t>
            </w:r>
          </w:p>
        </w:tc>
        <w:tc>
          <w:tcPr>
            <w:tcW w:w="1351" w:type="dxa"/>
            <w:noWrap w:val="0"/>
            <w:vAlign w:val="top"/>
          </w:tcPr>
          <w:p w14:paraId="6B5DCC0B">
            <w:pPr>
              <w:keepNext w:val="0"/>
              <w:keepLines w:val="0"/>
              <w:pageBreakBefore w:val="0"/>
              <w:kinsoku/>
              <w:wordWrap/>
              <w:overflowPunct/>
              <w:topLinePunct w:val="0"/>
              <w:autoSpaceDE/>
              <w:autoSpaceDN/>
              <w:bidi w:val="0"/>
              <w:adjustRightInd/>
              <w:spacing w:line="560" w:lineRule="exact"/>
              <w:jc w:val="center"/>
              <w:rPr>
                <w:rFonts w:hint="eastAsia" w:ascii="新宋体" w:hAnsi="新宋体" w:eastAsia="新宋体" w:cs="新宋体"/>
                <w:kern w:val="2"/>
                <w:sz w:val="21"/>
                <w:szCs w:val="21"/>
                <w:vertAlign w:val="baseline"/>
                <w:lang w:val="en-US" w:eastAsia="zh-CN" w:bidi="ar-SA"/>
              </w:rPr>
            </w:pPr>
            <w:r>
              <w:rPr>
                <w:rFonts w:hint="eastAsia" w:ascii="新宋体" w:hAnsi="新宋体" w:eastAsia="新宋体" w:cs="新宋体"/>
                <w:sz w:val="21"/>
                <w:szCs w:val="21"/>
                <w:lang w:val="en-US" w:eastAsia="zh-CN"/>
              </w:rPr>
              <w:t>8</w:t>
            </w:r>
          </w:p>
        </w:tc>
        <w:tc>
          <w:tcPr>
            <w:tcW w:w="2635" w:type="dxa"/>
            <w:noWrap w:val="0"/>
            <w:vAlign w:val="center"/>
          </w:tcPr>
          <w:p w14:paraId="2DE2D1A2">
            <w:pPr>
              <w:keepNext w:val="0"/>
              <w:keepLines w:val="0"/>
              <w:pageBreakBefore w:val="0"/>
              <w:widowControl/>
              <w:kinsoku/>
              <w:wordWrap/>
              <w:overflowPunct/>
              <w:topLinePunct w:val="0"/>
              <w:autoSpaceDE/>
              <w:autoSpaceDN/>
              <w:bidi w:val="0"/>
              <w:adjustRightInd/>
              <w:snapToGrid/>
              <w:spacing w:after="0" w:line="560" w:lineRule="exact"/>
              <w:ind w:right="0" w:rightChars="0"/>
              <w:jc w:val="center"/>
              <w:textAlignment w:val="auto"/>
              <w:outlineLvl w:val="9"/>
              <w:rPr>
                <w:rStyle w:val="16"/>
                <w:rFonts w:hint="eastAsia" w:ascii="新宋体" w:hAnsi="新宋体" w:eastAsia="新宋体" w:cs="新宋体"/>
                <w:b w:val="0"/>
                <w:bCs/>
                <w:spacing w:val="-4"/>
                <w:sz w:val="21"/>
                <w:szCs w:val="21"/>
                <w:vertAlign w:val="baseline"/>
                <w:lang w:val="en-US" w:eastAsia="zh-CN"/>
              </w:rPr>
            </w:pPr>
            <w:r>
              <w:rPr>
                <w:rStyle w:val="16"/>
                <w:rFonts w:hint="eastAsia" w:ascii="新宋体" w:hAnsi="新宋体" w:eastAsia="新宋体" w:cs="新宋体"/>
                <w:b w:val="0"/>
                <w:bCs/>
                <w:spacing w:val="-4"/>
                <w:sz w:val="21"/>
                <w:szCs w:val="21"/>
                <w:vertAlign w:val="baseline"/>
                <w:lang w:val="en-US" w:eastAsia="zh-CN"/>
              </w:rPr>
              <w:t>8</w:t>
            </w:r>
          </w:p>
        </w:tc>
      </w:tr>
      <w:tr w14:paraId="556512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992" w:type="dxa"/>
            <w:vMerge w:val="continue"/>
            <w:noWrap w:val="0"/>
            <w:vAlign w:val="center"/>
          </w:tcPr>
          <w:p w14:paraId="24A6FB54">
            <w:pPr>
              <w:keepNext w:val="0"/>
              <w:keepLines w:val="0"/>
              <w:pageBreakBefore w:val="0"/>
              <w:widowControl/>
              <w:kinsoku/>
              <w:wordWrap/>
              <w:overflowPunct/>
              <w:topLinePunct w:val="0"/>
              <w:autoSpaceDE/>
              <w:autoSpaceDN/>
              <w:bidi w:val="0"/>
              <w:adjustRightInd/>
              <w:snapToGrid/>
              <w:spacing w:after="0" w:line="560" w:lineRule="exact"/>
              <w:ind w:right="0" w:rightChars="0"/>
              <w:jc w:val="center"/>
              <w:textAlignment w:val="auto"/>
              <w:outlineLvl w:val="9"/>
              <w:rPr>
                <w:rStyle w:val="16"/>
                <w:rFonts w:hint="eastAsia" w:ascii="新宋体" w:hAnsi="新宋体" w:eastAsia="新宋体" w:cs="新宋体"/>
                <w:b/>
                <w:bCs w:val="0"/>
                <w:spacing w:val="-4"/>
                <w:sz w:val="21"/>
                <w:szCs w:val="21"/>
                <w:vertAlign w:val="baseline"/>
              </w:rPr>
            </w:pPr>
          </w:p>
        </w:tc>
        <w:tc>
          <w:tcPr>
            <w:tcW w:w="1992" w:type="dxa"/>
            <w:noWrap w:val="0"/>
            <w:vAlign w:val="center"/>
          </w:tcPr>
          <w:p w14:paraId="164A499E">
            <w:pPr>
              <w:keepNext w:val="0"/>
              <w:keepLines w:val="0"/>
              <w:pageBreakBefore w:val="0"/>
              <w:widowControl/>
              <w:kinsoku/>
              <w:wordWrap/>
              <w:overflowPunct/>
              <w:topLinePunct w:val="0"/>
              <w:autoSpaceDE/>
              <w:autoSpaceDN/>
              <w:bidi w:val="0"/>
              <w:adjustRightInd/>
              <w:snapToGrid/>
              <w:spacing w:after="0" w:line="560" w:lineRule="exact"/>
              <w:ind w:right="0" w:rightChars="0"/>
              <w:jc w:val="center"/>
              <w:textAlignment w:val="auto"/>
              <w:outlineLvl w:val="9"/>
              <w:rPr>
                <w:rStyle w:val="16"/>
                <w:rFonts w:hint="eastAsia" w:ascii="新宋体" w:hAnsi="新宋体" w:eastAsia="新宋体" w:cs="新宋体"/>
                <w:b/>
                <w:bCs w:val="0"/>
                <w:spacing w:val="-4"/>
                <w:sz w:val="21"/>
                <w:szCs w:val="21"/>
                <w:vertAlign w:val="baseline"/>
                <w:lang w:eastAsia="zh-CN"/>
              </w:rPr>
            </w:pPr>
            <w:r>
              <w:rPr>
                <w:rFonts w:hint="eastAsia" w:ascii="新宋体" w:hAnsi="新宋体" w:eastAsia="新宋体" w:cs="新宋体"/>
                <w:color w:val="000000"/>
                <w:kern w:val="0"/>
                <w:sz w:val="21"/>
                <w:szCs w:val="21"/>
              </w:rPr>
              <w:t>产出</w:t>
            </w:r>
            <w:r>
              <w:rPr>
                <w:rFonts w:hint="eastAsia" w:ascii="新宋体" w:hAnsi="新宋体" w:eastAsia="新宋体" w:cs="新宋体"/>
                <w:color w:val="000000"/>
                <w:kern w:val="0"/>
                <w:sz w:val="21"/>
                <w:szCs w:val="21"/>
                <w:lang w:val="en-US" w:eastAsia="zh-CN"/>
              </w:rPr>
              <w:t>时效</w:t>
            </w:r>
          </w:p>
        </w:tc>
        <w:tc>
          <w:tcPr>
            <w:tcW w:w="1992" w:type="dxa"/>
            <w:noWrap w:val="0"/>
            <w:vAlign w:val="center"/>
          </w:tcPr>
          <w:p w14:paraId="746CDA1C">
            <w:pPr>
              <w:keepNext w:val="0"/>
              <w:keepLines w:val="0"/>
              <w:pageBreakBefore w:val="0"/>
              <w:kinsoku/>
              <w:wordWrap/>
              <w:overflowPunct/>
              <w:topLinePunct w:val="0"/>
              <w:autoSpaceDE/>
              <w:autoSpaceDN/>
              <w:bidi w:val="0"/>
              <w:adjustRightInd/>
              <w:spacing w:line="560" w:lineRule="exact"/>
              <w:jc w:val="center"/>
              <w:rPr>
                <w:rFonts w:hint="eastAsia" w:ascii="新宋体" w:hAnsi="新宋体" w:eastAsia="新宋体" w:cs="新宋体"/>
                <w:kern w:val="2"/>
                <w:sz w:val="21"/>
                <w:szCs w:val="21"/>
                <w:vertAlign w:val="baseline"/>
                <w:lang w:val="en-US" w:eastAsia="zh-CN" w:bidi="ar-SA"/>
              </w:rPr>
            </w:pPr>
            <w:r>
              <w:rPr>
                <w:rFonts w:hint="eastAsia" w:ascii="新宋体" w:hAnsi="新宋体" w:eastAsia="新宋体" w:cs="新宋体"/>
                <w:sz w:val="21"/>
                <w:szCs w:val="21"/>
                <w:vertAlign w:val="baseline"/>
              </w:rPr>
              <w:t>完成及时性</w:t>
            </w:r>
          </w:p>
        </w:tc>
        <w:tc>
          <w:tcPr>
            <w:tcW w:w="1351" w:type="dxa"/>
            <w:noWrap w:val="0"/>
            <w:vAlign w:val="top"/>
          </w:tcPr>
          <w:p w14:paraId="0ADD074C">
            <w:pPr>
              <w:keepNext w:val="0"/>
              <w:keepLines w:val="0"/>
              <w:pageBreakBefore w:val="0"/>
              <w:kinsoku/>
              <w:wordWrap/>
              <w:overflowPunct/>
              <w:topLinePunct w:val="0"/>
              <w:autoSpaceDE/>
              <w:autoSpaceDN/>
              <w:bidi w:val="0"/>
              <w:adjustRightInd/>
              <w:spacing w:line="560" w:lineRule="exact"/>
              <w:jc w:val="center"/>
              <w:rPr>
                <w:rFonts w:hint="eastAsia" w:ascii="新宋体" w:hAnsi="新宋体" w:eastAsia="新宋体" w:cs="新宋体"/>
                <w:kern w:val="2"/>
                <w:sz w:val="21"/>
                <w:szCs w:val="21"/>
                <w:vertAlign w:val="baseline"/>
                <w:lang w:val="en-US" w:eastAsia="zh-CN" w:bidi="ar-SA"/>
              </w:rPr>
            </w:pPr>
            <w:r>
              <w:rPr>
                <w:rFonts w:hint="eastAsia" w:ascii="新宋体" w:hAnsi="新宋体" w:eastAsia="新宋体" w:cs="新宋体"/>
                <w:sz w:val="21"/>
                <w:szCs w:val="21"/>
                <w:lang w:val="en-US" w:eastAsia="zh-CN"/>
              </w:rPr>
              <w:t>7</w:t>
            </w:r>
          </w:p>
        </w:tc>
        <w:tc>
          <w:tcPr>
            <w:tcW w:w="2635" w:type="dxa"/>
            <w:noWrap w:val="0"/>
            <w:vAlign w:val="center"/>
          </w:tcPr>
          <w:p w14:paraId="788DA8D3">
            <w:pPr>
              <w:keepNext w:val="0"/>
              <w:keepLines w:val="0"/>
              <w:pageBreakBefore w:val="0"/>
              <w:widowControl/>
              <w:kinsoku/>
              <w:wordWrap/>
              <w:overflowPunct/>
              <w:topLinePunct w:val="0"/>
              <w:autoSpaceDE/>
              <w:autoSpaceDN/>
              <w:bidi w:val="0"/>
              <w:adjustRightInd/>
              <w:snapToGrid/>
              <w:spacing w:after="0" w:line="560" w:lineRule="exact"/>
              <w:ind w:right="0" w:rightChars="0"/>
              <w:jc w:val="center"/>
              <w:textAlignment w:val="auto"/>
              <w:outlineLvl w:val="9"/>
              <w:rPr>
                <w:rStyle w:val="16"/>
                <w:rFonts w:hint="eastAsia" w:ascii="新宋体" w:hAnsi="新宋体" w:eastAsia="新宋体" w:cs="新宋体"/>
                <w:b w:val="0"/>
                <w:bCs/>
                <w:spacing w:val="-4"/>
                <w:sz w:val="21"/>
                <w:szCs w:val="21"/>
                <w:vertAlign w:val="baseline"/>
                <w:lang w:val="en-US" w:eastAsia="zh-CN"/>
              </w:rPr>
            </w:pPr>
            <w:r>
              <w:rPr>
                <w:rStyle w:val="16"/>
                <w:rFonts w:hint="eastAsia" w:ascii="新宋体" w:hAnsi="新宋体" w:eastAsia="新宋体" w:cs="新宋体"/>
                <w:b w:val="0"/>
                <w:bCs/>
                <w:spacing w:val="-4"/>
                <w:sz w:val="21"/>
                <w:szCs w:val="21"/>
                <w:vertAlign w:val="baseline"/>
                <w:lang w:val="en-US" w:eastAsia="zh-CN"/>
              </w:rPr>
              <w:t>7</w:t>
            </w:r>
          </w:p>
        </w:tc>
      </w:tr>
      <w:tr w14:paraId="6C9198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992" w:type="dxa"/>
            <w:vMerge w:val="continue"/>
            <w:noWrap w:val="0"/>
            <w:vAlign w:val="center"/>
          </w:tcPr>
          <w:p w14:paraId="08AB709E">
            <w:pPr>
              <w:keepNext w:val="0"/>
              <w:keepLines w:val="0"/>
              <w:pageBreakBefore w:val="0"/>
              <w:widowControl/>
              <w:kinsoku/>
              <w:wordWrap/>
              <w:overflowPunct/>
              <w:topLinePunct w:val="0"/>
              <w:autoSpaceDE/>
              <w:autoSpaceDN/>
              <w:bidi w:val="0"/>
              <w:adjustRightInd/>
              <w:snapToGrid/>
              <w:spacing w:after="0" w:line="560" w:lineRule="exact"/>
              <w:ind w:right="0" w:rightChars="0"/>
              <w:jc w:val="center"/>
              <w:textAlignment w:val="auto"/>
              <w:outlineLvl w:val="9"/>
              <w:rPr>
                <w:rStyle w:val="16"/>
                <w:rFonts w:hint="eastAsia" w:ascii="新宋体" w:hAnsi="新宋体" w:eastAsia="新宋体" w:cs="新宋体"/>
                <w:b/>
                <w:bCs w:val="0"/>
                <w:spacing w:val="-4"/>
                <w:sz w:val="21"/>
                <w:szCs w:val="21"/>
                <w:vertAlign w:val="baseline"/>
              </w:rPr>
            </w:pPr>
          </w:p>
        </w:tc>
        <w:tc>
          <w:tcPr>
            <w:tcW w:w="1992" w:type="dxa"/>
            <w:noWrap w:val="0"/>
            <w:vAlign w:val="center"/>
          </w:tcPr>
          <w:p w14:paraId="215FA1FD">
            <w:pPr>
              <w:keepNext w:val="0"/>
              <w:keepLines w:val="0"/>
              <w:pageBreakBefore w:val="0"/>
              <w:widowControl/>
              <w:kinsoku/>
              <w:wordWrap/>
              <w:overflowPunct/>
              <w:topLinePunct w:val="0"/>
              <w:autoSpaceDE/>
              <w:autoSpaceDN/>
              <w:bidi w:val="0"/>
              <w:adjustRightInd/>
              <w:snapToGrid/>
              <w:spacing w:after="0" w:line="560" w:lineRule="exact"/>
              <w:ind w:right="0" w:rightChars="0"/>
              <w:jc w:val="center"/>
              <w:textAlignment w:val="auto"/>
              <w:outlineLvl w:val="9"/>
              <w:rPr>
                <w:rStyle w:val="16"/>
                <w:rFonts w:hint="eastAsia" w:ascii="新宋体" w:hAnsi="新宋体" w:eastAsia="新宋体" w:cs="新宋体"/>
                <w:b/>
                <w:bCs w:val="0"/>
                <w:spacing w:val="-4"/>
                <w:sz w:val="21"/>
                <w:szCs w:val="21"/>
                <w:vertAlign w:val="baseline"/>
                <w:lang w:eastAsia="zh-CN"/>
              </w:rPr>
            </w:pPr>
            <w:r>
              <w:rPr>
                <w:rFonts w:hint="eastAsia" w:ascii="新宋体" w:hAnsi="新宋体" w:eastAsia="新宋体" w:cs="新宋体"/>
                <w:color w:val="000000"/>
                <w:kern w:val="0"/>
                <w:sz w:val="21"/>
                <w:szCs w:val="21"/>
              </w:rPr>
              <w:t>产出</w:t>
            </w:r>
            <w:r>
              <w:rPr>
                <w:rFonts w:hint="eastAsia" w:ascii="新宋体" w:hAnsi="新宋体" w:eastAsia="新宋体" w:cs="新宋体"/>
                <w:color w:val="000000"/>
                <w:kern w:val="0"/>
                <w:sz w:val="21"/>
                <w:szCs w:val="21"/>
                <w:lang w:val="en-US" w:eastAsia="zh-CN"/>
              </w:rPr>
              <w:t>成本</w:t>
            </w:r>
          </w:p>
        </w:tc>
        <w:tc>
          <w:tcPr>
            <w:tcW w:w="1992" w:type="dxa"/>
            <w:noWrap w:val="0"/>
            <w:vAlign w:val="center"/>
          </w:tcPr>
          <w:p w14:paraId="37906FBB">
            <w:pPr>
              <w:keepNext w:val="0"/>
              <w:keepLines w:val="0"/>
              <w:pageBreakBefore w:val="0"/>
              <w:kinsoku/>
              <w:wordWrap/>
              <w:overflowPunct/>
              <w:topLinePunct w:val="0"/>
              <w:autoSpaceDE/>
              <w:autoSpaceDN/>
              <w:bidi w:val="0"/>
              <w:adjustRightInd/>
              <w:spacing w:line="560" w:lineRule="exact"/>
              <w:jc w:val="center"/>
              <w:rPr>
                <w:rFonts w:hint="eastAsia" w:ascii="新宋体" w:hAnsi="新宋体" w:eastAsia="新宋体" w:cs="新宋体"/>
                <w:kern w:val="2"/>
                <w:sz w:val="21"/>
                <w:szCs w:val="21"/>
                <w:vertAlign w:val="baseline"/>
                <w:lang w:val="en-US" w:eastAsia="zh-CN" w:bidi="ar-SA"/>
              </w:rPr>
            </w:pPr>
            <w:r>
              <w:rPr>
                <w:rFonts w:hint="eastAsia" w:ascii="新宋体" w:hAnsi="新宋体" w:eastAsia="新宋体" w:cs="新宋体"/>
                <w:sz w:val="21"/>
                <w:szCs w:val="21"/>
                <w:vertAlign w:val="baseline"/>
              </w:rPr>
              <w:t>成本完成率</w:t>
            </w:r>
          </w:p>
        </w:tc>
        <w:tc>
          <w:tcPr>
            <w:tcW w:w="1351" w:type="dxa"/>
            <w:noWrap w:val="0"/>
            <w:vAlign w:val="top"/>
          </w:tcPr>
          <w:p w14:paraId="7C45F6E1">
            <w:pPr>
              <w:keepNext w:val="0"/>
              <w:keepLines w:val="0"/>
              <w:pageBreakBefore w:val="0"/>
              <w:kinsoku/>
              <w:wordWrap/>
              <w:overflowPunct/>
              <w:topLinePunct w:val="0"/>
              <w:autoSpaceDE/>
              <w:autoSpaceDN/>
              <w:bidi w:val="0"/>
              <w:adjustRightInd/>
              <w:spacing w:line="560" w:lineRule="exact"/>
              <w:jc w:val="center"/>
              <w:rPr>
                <w:rFonts w:hint="eastAsia" w:ascii="新宋体" w:hAnsi="新宋体" w:eastAsia="新宋体" w:cs="新宋体"/>
                <w:kern w:val="2"/>
                <w:sz w:val="21"/>
                <w:szCs w:val="21"/>
                <w:vertAlign w:val="baseline"/>
                <w:lang w:val="en-US" w:eastAsia="zh-CN" w:bidi="ar-SA"/>
              </w:rPr>
            </w:pPr>
            <w:r>
              <w:rPr>
                <w:rFonts w:hint="eastAsia" w:ascii="新宋体" w:hAnsi="新宋体" w:eastAsia="新宋体" w:cs="新宋体"/>
                <w:sz w:val="21"/>
                <w:szCs w:val="21"/>
                <w:lang w:val="en-US" w:eastAsia="zh-CN"/>
              </w:rPr>
              <w:t>7</w:t>
            </w:r>
          </w:p>
        </w:tc>
        <w:tc>
          <w:tcPr>
            <w:tcW w:w="2635" w:type="dxa"/>
            <w:noWrap w:val="0"/>
            <w:vAlign w:val="center"/>
          </w:tcPr>
          <w:p w14:paraId="71A3E773">
            <w:pPr>
              <w:keepNext w:val="0"/>
              <w:keepLines w:val="0"/>
              <w:pageBreakBefore w:val="0"/>
              <w:widowControl/>
              <w:kinsoku/>
              <w:wordWrap/>
              <w:overflowPunct/>
              <w:topLinePunct w:val="0"/>
              <w:autoSpaceDE/>
              <w:autoSpaceDN/>
              <w:bidi w:val="0"/>
              <w:adjustRightInd/>
              <w:snapToGrid/>
              <w:spacing w:after="0" w:line="560" w:lineRule="exact"/>
              <w:ind w:right="0" w:rightChars="0"/>
              <w:jc w:val="center"/>
              <w:textAlignment w:val="auto"/>
              <w:outlineLvl w:val="9"/>
              <w:rPr>
                <w:rStyle w:val="16"/>
                <w:rFonts w:hint="eastAsia" w:ascii="新宋体" w:hAnsi="新宋体" w:eastAsia="新宋体" w:cs="新宋体"/>
                <w:b w:val="0"/>
                <w:bCs/>
                <w:spacing w:val="-4"/>
                <w:sz w:val="21"/>
                <w:szCs w:val="21"/>
                <w:vertAlign w:val="baseline"/>
                <w:lang w:val="en-US" w:eastAsia="zh-CN"/>
              </w:rPr>
            </w:pPr>
            <w:r>
              <w:rPr>
                <w:rStyle w:val="16"/>
                <w:rFonts w:hint="eastAsia" w:ascii="新宋体" w:hAnsi="新宋体" w:eastAsia="新宋体" w:cs="新宋体"/>
                <w:b w:val="0"/>
                <w:bCs/>
                <w:spacing w:val="-4"/>
                <w:sz w:val="21"/>
                <w:szCs w:val="21"/>
                <w:vertAlign w:val="baseline"/>
                <w:lang w:val="en-US" w:eastAsia="zh-CN"/>
              </w:rPr>
              <w:t>7</w:t>
            </w:r>
          </w:p>
        </w:tc>
      </w:tr>
      <w:tr w14:paraId="5FA37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992" w:type="dxa"/>
            <w:vMerge w:val="restart"/>
            <w:noWrap w:val="0"/>
            <w:vAlign w:val="center"/>
          </w:tcPr>
          <w:p w14:paraId="4E4F599D">
            <w:pPr>
              <w:keepNext w:val="0"/>
              <w:keepLines w:val="0"/>
              <w:pageBreakBefore w:val="0"/>
              <w:widowControl/>
              <w:kinsoku/>
              <w:wordWrap/>
              <w:overflowPunct/>
              <w:topLinePunct w:val="0"/>
              <w:autoSpaceDE/>
              <w:autoSpaceDN/>
              <w:bidi w:val="0"/>
              <w:adjustRightInd/>
              <w:snapToGrid/>
              <w:spacing w:after="0" w:line="560" w:lineRule="exact"/>
              <w:ind w:right="0" w:rightChars="0"/>
              <w:jc w:val="center"/>
              <w:textAlignment w:val="auto"/>
              <w:outlineLvl w:val="9"/>
              <w:rPr>
                <w:rStyle w:val="16"/>
                <w:rFonts w:hint="eastAsia" w:ascii="新宋体" w:hAnsi="新宋体" w:eastAsia="新宋体" w:cs="新宋体"/>
                <w:b/>
                <w:bCs w:val="0"/>
                <w:spacing w:val="-4"/>
                <w:sz w:val="21"/>
                <w:szCs w:val="21"/>
                <w:vertAlign w:val="baseline"/>
              </w:rPr>
            </w:pPr>
            <w:r>
              <w:rPr>
                <w:rFonts w:hint="eastAsia" w:ascii="新宋体" w:hAnsi="新宋体" w:eastAsia="新宋体" w:cs="新宋体"/>
                <w:i w:val="0"/>
                <w:caps w:val="0"/>
                <w:color w:val="030303"/>
                <w:spacing w:val="0"/>
                <w:sz w:val="21"/>
                <w:szCs w:val="21"/>
                <w:shd w:val="clear" w:color="auto" w:fill="FFFFFF"/>
              </w:rPr>
              <w:t>项目效益</w:t>
            </w:r>
            <w:r>
              <w:rPr>
                <w:rFonts w:hint="eastAsia" w:ascii="新宋体" w:hAnsi="新宋体" w:eastAsia="新宋体" w:cs="新宋体"/>
                <w:color w:val="000000"/>
                <w:kern w:val="0"/>
                <w:sz w:val="21"/>
                <w:szCs w:val="21"/>
              </w:rPr>
              <w:t>　</w:t>
            </w:r>
          </w:p>
        </w:tc>
        <w:tc>
          <w:tcPr>
            <w:tcW w:w="1992" w:type="dxa"/>
            <w:vMerge w:val="restart"/>
            <w:noWrap w:val="0"/>
            <w:vAlign w:val="center"/>
          </w:tcPr>
          <w:p w14:paraId="37267282">
            <w:pPr>
              <w:keepNext w:val="0"/>
              <w:keepLines w:val="0"/>
              <w:pageBreakBefore w:val="0"/>
              <w:widowControl/>
              <w:kinsoku/>
              <w:wordWrap/>
              <w:overflowPunct/>
              <w:topLinePunct w:val="0"/>
              <w:autoSpaceDE/>
              <w:autoSpaceDN/>
              <w:bidi w:val="0"/>
              <w:adjustRightInd/>
              <w:snapToGrid/>
              <w:spacing w:after="0" w:line="560" w:lineRule="exact"/>
              <w:ind w:right="0" w:rightChars="0"/>
              <w:jc w:val="center"/>
              <w:textAlignment w:val="auto"/>
              <w:outlineLvl w:val="9"/>
              <w:rPr>
                <w:rStyle w:val="16"/>
                <w:rFonts w:hint="eastAsia" w:ascii="新宋体" w:hAnsi="新宋体" w:eastAsia="新宋体" w:cs="新宋体"/>
                <w:b/>
                <w:bCs w:val="0"/>
                <w:spacing w:val="-4"/>
                <w:sz w:val="21"/>
                <w:szCs w:val="21"/>
                <w:vertAlign w:val="baseline"/>
              </w:rPr>
            </w:pPr>
            <w:r>
              <w:rPr>
                <w:rFonts w:hint="eastAsia" w:ascii="新宋体" w:hAnsi="新宋体" w:eastAsia="新宋体" w:cs="新宋体"/>
                <w:color w:val="000000"/>
                <w:kern w:val="0"/>
                <w:sz w:val="21"/>
                <w:szCs w:val="21"/>
              </w:rPr>
              <w:t>项目效益</w:t>
            </w:r>
          </w:p>
        </w:tc>
        <w:tc>
          <w:tcPr>
            <w:tcW w:w="1992" w:type="dxa"/>
            <w:noWrap w:val="0"/>
            <w:vAlign w:val="center"/>
          </w:tcPr>
          <w:p w14:paraId="6CFCB24D">
            <w:pPr>
              <w:keepNext w:val="0"/>
              <w:keepLines w:val="0"/>
              <w:pageBreakBefore w:val="0"/>
              <w:kinsoku/>
              <w:wordWrap/>
              <w:overflowPunct/>
              <w:topLinePunct w:val="0"/>
              <w:autoSpaceDE/>
              <w:autoSpaceDN/>
              <w:bidi w:val="0"/>
              <w:adjustRightInd/>
              <w:spacing w:line="560" w:lineRule="exact"/>
              <w:jc w:val="center"/>
              <w:rPr>
                <w:rFonts w:hint="eastAsia" w:ascii="新宋体" w:hAnsi="新宋体" w:eastAsia="新宋体" w:cs="新宋体"/>
                <w:kern w:val="2"/>
                <w:sz w:val="21"/>
                <w:szCs w:val="21"/>
                <w:vertAlign w:val="baseline"/>
                <w:lang w:val="en-US" w:eastAsia="zh-CN" w:bidi="ar-SA"/>
              </w:rPr>
            </w:pPr>
            <w:r>
              <w:rPr>
                <w:rFonts w:hint="eastAsia" w:ascii="新宋体" w:hAnsi="新宋体" w:eastAsia="新宋体" w:cs="新宋体"/>
                <w:sz w:val="21"/>
                <w:szCs w:val="21"/>
                <w:vertAlign w:val="baseline"/>
              </w:rPr>
              <w:t>实施效益</w:t>
            </w:r>
          </w:p>
        </w:tc>
        <w:tc>
          <w:tcPr>
            <w:tcW w:w="1351" w:type="dxa"/>
            <w:noWrap w:val="0"/>
            <w:vAlign w:val="top"/>
          </w:tcPr>
          <w:p w14:paraId="7B2C7F62">
            <w:pPr>
              <w:keepNext w:val="0"/>
              <w:keepLines w:val="0"/>
              <w:pageBreakBefore w:val="0"/>
              <w:kinsoku/>
              <w:wordWrap/>
              <w:overflowPunct/>
              <w:topLinePunct w:val="0"/>
              <w:autoSpaceDE/>
              <w:autoSpaceDN/>
              <w:bidi w:val="0"/>
              <w:adjustRightInd/>
              <w:spacing w:line="560" w:lineRule="exact"/>
              <w:jc w:val="center"/>
              <w:rPr>
                <w:rFonts w:hint="eastAsia" w:ascii="新宋体" w:hAnsi="新宋体" w:eastAsia="新宋体" w:cs="新宋体"/>
                <w:kern w:val="2"/>
                <w:sz w:val="21"/>
                <w:szCs w:val="21"/>
                <w:vertAlign w:val="baseline"/>
                <w:lang w:val="en-US" w:eastAsia="zh-CN" w:bidi="ar-SA"/>
              </w:rPr>
            </w:pPr>
            <w:r>
              <w:rPr>
                <w:rFonts w:hint="eastAsia" w:ascii="新宋体" w:hAnsi="新宋体" w:eastAsia="新宋体" w:cs="新宋体"/>
                <w:sz w:val="21"/>
                <w:szCs w:val="21"/>
                <w:lang w:val="en-US" w:eastAsia="zh-CN"/>
              </w:rPr>
              <w:t>15</w:t>
            </w:r>
          </w:p>
        </w:tc>
        <w:tc>
          <w:tcPr>
            <w:tcW w:w="2635" w:type="dxa"/>
            <w:noWrap w:val="0"/>
            <w:vAlign w:val="center"/>
          </w:tcPr>
          <w:p w14:paraId="5A3E0F1D">
            <w:pPr>
              <w:keepNext w:val="0"/>
              <w:keepLines w:val="0"/>
              <w:pageBreakBefore w:val="0"/>
              <w:widowControl/>
              <w:kinsoku/>
              <w:wordWrap/>
              <w:overflowPunct/>
              <w:topLinePunct w:val="0"/>
              <w:autoSpaceDE/>
              <w:autoSpaceDN/>
              <w:bidi w:val="0"/>
              <w:adjustRightInd/>
              <w:snapToGrid/>
              <w:spacing w:after="0" w:line="560" w:lineRule="exact"/>
              <w:ind w:right="0" w:rightChars="0"/>
              <w:jc w:val="center"/>
              <w:textAlignment w:val="auto"/>
              <w:outlineLvl w:val="9"/>
              <w:rPr>
                <w:rStyle w:val="16"/>
                <w:rFonts w:hint="eastAsia" w:ascii="新宋体" w:hAnsi="新宋体" w:eastAsia="新宋体" w:cs="新宋体"/>
                <w:b w:val="0"/>
                <w:bCs/>
                <w:spacing w:val="-4"/>
                <w:sz w:val="21"/>
                <w:szCs w:val="21"/>
                <w:vertAlign w:val="baseline"/>
                <w:lang w:val="en-US" w:eastAsia="zh-CN"/>
              </w:rPr>
            </w:pPr>
            <w:r>
              <w:rPr>
                <w:rStyle w:val="16"/>
                <w:rFonts w:hint="eastAsia" w:ascii="新宋体" w:hAnsi="新宋体" w:eastAsia="新宋体" w:cs="新宋体"/>
                <w:b w:val="0"/>
                <w:bCs/>
                <w:spacing w:val="-4"/>
                <w:sz w:val="21"/>
                <w:szCs w:val="21"/>
                <w:vertAlign w:val="baseline"/>
                <w:lang w:val="en-US" w:eastAsia="zh-CN"/>
              </w:rPr>
              <w:t>15</w:t>
            </w:r>
          </w:p>
        </w:tc>
      </w:tr>
      <w:tr w14:paraId="1D5718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992" w:type="dxa"/>
            <w:vMerge w:val="continue"/>
            <w:noWrap w:val="0"/>
            <w:vAlign w:val="center"/>
          </w:tcPr>
          <w:p w14:paraId="5334C02B">
            <w:pPr>
              <w:keepNext w:val="0"/>
              <w:keepLines w:val="0"/>
              <w:pageBreakBefore w:val="0"/>
              <w:widowControl/>
              <w:kinsoku/>
              <w:wordWrap/>
              <w:overflowPunct/>
              <w:topLinePunct w:val="0"/>
              <w:autoSpaceDE/>
              <w:autoSpaceDN/>
              <w:bidi w:val="0"/>
              <w:adjustRightInd/>
              <w:snapToGrid/>
              <w:spacing w:after="0" w:line="560" w:lineRule="exact"/>
              <w:ind w:right="0" w:rightChars="0"/>
              <w:jc w:val="center"/>
              <w:textAlignment w:val="auto"/>
              <w:outlineLvl w:val="9"/>
              <w:rPr>
                <w:rStyle w:val="16"/>
                <w:rFonts w:hint="eastAsia" w:ascii="新宋体" w:hAnsi="新宋体" w:eastAsia="新宋体" w:cs="新宋体"/>
                <w:b/>
                <w:bCs w:val="0"/>
                <w:spacing w:val="-4"/>
                <w:sz w:val="21"/>
                <w:szCs w:val="21"/>
                <w:vertAlign w:val="baseline"/>
              </w:rPr>
            </w:pPr>
          </w:p>
        </w:tc>
        <w:tc>
          <w:tcPr>
            <w:tcW w:w="1992" w:type="dxa"/>
            <w:vMerge w:val="continue"/>
            <w:noWrap w:val="0"/>
            <w:vAlign w:val="center"/>
          </w:tcPr>
          <w:p w14:paraId="3DD8D8E6">
            <w:pPr>
              <w:keepNext w:val="0"/>
              <w:keepLines w:val="0"/>
              <w:pageBreakBefore w:val="0"/>
              <w:widowControl/>
              <w:kinsoku/>
              <w:wordWrap/>
              <w:overflowPunct/>
              <w:topLinePunct w:val="0"/>
              <w:autoSpaceDE/>
              <w:autoSpaceDN/>
              <w:bidi w:val="0"/>
              <w:adjustRightInd/>
              <w:snapToGrid/>
              <w:spacing w:after="0" w:line="560" w:lineRule="exact"/>
              <w:ind w:right="0" w:rightChars="0"/>
              <w:jc w:val="center"/>
              <w:textAlignment w:val="auto"/>
              <w:outlineLvl w:val="9"/>
              <w:rPr>
                <w:rStyle w:val="16"/>
                <w:rFonts w:hint="eastAsia" w:ascii="新宋体" w:hAnsi="新宋体" w:eastAsia="新宋体" w:cs="新宋体"/>
                <w:b/>
                <w:bCs w:val="0"/>
                <w:spacing w:val="-4"/>
                <w:sz w:val="21"/>
                <w:szCs w:val="21"/>
                <w:vertAlign w:val="baseline"/>
              </w:rPr>
            </w:pPr>
          </w:p>
        </w:tc>
        <w:tc>
          <w:tcPr>
            <w:tcW w:w="1992" w:type="dxa"/>
            <w:noWrap w:val="0"/>
            <w:vAlign w:val="center"/>
          </w:tcPr>
          <w:p w14:paraId="5B68A094">
            <w:pPr>
              <w:keepNext w:val="0"/>
              <w:keepLines w:val="0"/>
              <w:pageBreakBefore w:val="0"/>
              <w:kinsoku/>
              <w:wordWrap/>
              <w:overflowPunct/>
              <w:topLinePunct w:val="0"/>
              <w:autoSpaceDE/>
              <w:autoSpaceDN/>
              <w:bidi w:val="0"/>
              <w:adjustRightInd/>
              <w:spacing w:line="560" w:lineRule="exact"/>
              <w:jc w:val="center"/>
              <w:rPr>
                <w:rFonts w:hint="eastAsia" w:ascii="新宋体" w:hAnsi="新宋体" w:eastAsia="新宋体" w:cs="新宋体"/>
                <w:kern w:val="2"/>
                <w:sz w:val="21"/>
                <w:szCs w:val="21"/>
                <w:vertAlign w:val="baseline"/>
                <w:lang w:val="en-US" w:eastAsia="zh-CN" w:bidi="ar-SA"/>
              </w:rPr>
            </w:pPr>
            <w:r>
              <w:rPr>
                <w:rFonts w:hint="eastAsia" w:ascii="新宋体" w:hAnsi="新宋体" w:eastAsia="新宋体" w:cs="新宋体"/>
                <w:sz w:val="21"/>
                <w:szCs w:val="21"/>
                <w:vertAlign w:val="baseline"/>
              </w:rPr>
              <w:t>满意度</w:t>
            </w:r>
          </w:p>
        </w:tc>
        <w:tc>
          <w:tcPr>
            <w:tcW w:w="1351" w:type="dxa"/>
            <w:noWrap w:val="0"/>
            <w:vAlign w:val="top"/>
          </w:tcPr>
          <w:p w14:paraId="4E9C83BD">
            <w:pPr>
              <w:keepNext w:val="0"/>
              <w:keepLines w:val="0"/>
              <w:pageBreakBefore w:val="0"/>
              <w:kinsoku/>
              <w:wordWrap/>
              <w:overflowPunct/>
              <w:topLinePunct w:val="0"/>
              <w:autoSpaceDE/>
              <w:autoSpaceDN/>
              <w:bidi w:val="0"/>
              <w:adjustRightInd/>
              <w:spacing w:line="560" w:lineRule="exact"/>
              <w:jc w:val="center"/>
              <w:rPr>
                <w:rFonts w:hint="eastAsia" w:ascii="新宋体" w:hAnsi="新宋体" w:eastAsia="新宋体" w:cs="新宋体"/>
                <w:kern w:val="2"/>
                <w:sz w:val="21"/>
                <w:szCs w:val="21"/>
                <w:vertAlign w:val="baseline"/>
                <w:lang w:val="en-US" w:eastAsia="zh-CN" w:bidi="ar-SA"/>
              </w:rPr>
            </w:pPr>
            <w:r>
              <w:rPr>
                <w:rFonts w:hint="eastAsia" w:ascii="新宋体" w:hAnsi="新宋体" w:eastAsia="新宋体" w:cs="新宋体"/>
                <w:sz w:val="21"/>
                <w:szCs w:val="21"/>
                <w:lang w:val="en-US" w:eastAsia="zh-CN"/>
              </w:rPr>
              <w:t>15</w:t>
            </w:r>
          </w:p>
        </w:tc>
        <w:tc>
          <w:tcPr>
            <w:tcW w:w="2635" w:type="dxa"/>
            <w:noWrap w:val="0"/>
            <w:vAlign w:val="center"/>
          </w:tcPr>
          <w:p w14:paraId="2AA04844">
            <w:pPr>
              <w:keepNext w:val="0"/>
              <w:keepLines w:val="0"/>
              <w:pageBreakBefore w:val="0"/>
              <w:widowControl/>
              <w:kinsoku/>
              <w:wordWrap/>
              <w:overflowPunct/>
              <w:topLinePunct w:val="0"/>
              <w:autoSpaceDE/>
              <w:autoSpaceDN/>
              <w:bidi w:val="0"/>
              <w:adjustRightInd/>
              <w:snapToGrid/>
              <w:spacing w:after="0" w:line="560" w:lineRule="exact"/>
              <w:ind w:right="0" w:rightChars="0"/>
              <w:jc w:val="center"/>
              <w:textAlignment w:val="auto"/>
              <w:outlineLvl w:val="9"/>
              <w:rPr>
                <w:rStyle w:val="16"/>
                <w:rFonts w:hint="eastAsia" w:ascii="新宋体" w:hAnsi="新宋体" w:eastAsia="新宋体" w:cs="新宋体"/>
                <w:b w:val="0"/>
                <w:bCs/>
                <w:spacing w:val="-4"/>
                <w:sz w:val="21"/>
                <w:szCs w:val="21"/>
                <w:vertAlign w:val="baseline"/>
                <w:lang w:val="en-US" w:eastAsia="zh-CN"/>
              </w:rPr>
            </w:pPr>
            <w:r>
              <w:rPr>
                <w:rStyle w:val="16"/>
                <w:rFonts w:hint="eastAsia" w:ascii="新宋体" w:hAnsi="新宋体" w:eastAsia="新宋体" w:cs="新宋体"/>
                <w:b w:val="0"/>
                <w:bCs/>
                <w:spacing w:val="-4"/>
                <w:sz w:val="21"/>
                <w:szCs w:val="21"/>
                <w:vertAlign w:val="baseline"/>
                <w:lang w:val="en-US" w:eastAsia="zh-CN"/>
              </w:rPr>
              <w:t>15</w:t>
            </w:r>
          </w:p>
        </w:tc>
      </w:tr>
    </w:tbl>
    <w:p w14:paraId="5277B8BD">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pacing w:before="0" w:beforeAutospacing="0" w:after="0" w:afterAutospacing="0" w:line="560" w:lineRule="exact"/>
        <w:ind w:left="0" w:right="0" w:firstLine="640"/>
        <w:jc w:val="both"/>
        <w:rPr>
          <w:rStyle w:val="16"/>
          <w:rFonts w:hint="eastAsia" w:ascii="新宋体" w:hAnsi="新宋体" w:eastAsia="新宋体" w:cs="新宋体"/>
          <w:b w:val="0"/>
          <w:bCs/>
          <w:color w:val="auto"/>
          <w:spacing w:val="-4"/>
          <w:sz w:val="21"/>
          <w:szCs w:val="21"/>
          <w:lang w:val="en-US" w:eastAsia="zh-CN"/>
        </w:rPr>
      </w:pPr>
      <w:r>
        <w:rPr>
          <w:rStyle w:val="16"/>
          <w:rFonts w:hint="eastAsia" w:ascii="新宋体" w:hAnsi="新宋体" w:eastAsia="新宋体" w:cs="新宋体"/>
          <w:b w:val="0"/>
          <w:bCs/>
          <w:i w:val="0"/>
          <w:caps w:val="0"/>
          <w:color w:val="030303"/>
          <w:spacing w:val="0"/>
          <w:sz w:val="21"/>
          <w:szCs w:val="21"/>
          <w:shd w:val="clear" w:color="auto" w:fill="FFFFFF"/>
          <w:lang w:val="en-US" w:eastAsia="zh-CN"/>
        </w:rPr>
        <w:t xml:space="preserve">                                                 </w:t>
      </w:r>
      <w:r>
        <w:rPr>
          <w:rStyle w:val="16"/>
          <w:rFonts w:hint="eastAsia" w:ascii="新宋体" w:hAnsi="新宋体" w:eastAsia="新宋体" w:cs="新宋体"/>
          <w:i w:val="0"/>
          <w:caps w:val="0"/>
          <w:color w:val="030303"/>
          <w:spacing w:val="0"/>
          <w:sz w:val="21"/>
          <w:szCs w:val="21"/>
          <w:shd w:val="clear" w:color="auto" w:fill="FFFFFF"/>
          <w:lang w:val="en-US" w:eastAsia="zh-CN"/>
        </w:rPr>
        <w:t>合计分：</w:t>
      </w:r>
      <w:r>
        <w:rPr>
          <w:rStyle w:val="16"/>
          <w:rFonts w:hint="eastAsia" w:ascii="新宋体" w:hAnsi="新宋体" w:eastAsia="新宋体" w:cs="新宋体"/>
          <w:b w:val="0"/>
          <w:bCs/>
          <w:i w:val="0"/>
          <w:caps w:val="0"/>
          <w:color w:val="030303"/>
          <w:spacing w:val="0"/>
          <w:sz w:val="21"/>
          <w:szCs w:val="21"/>
          <w:shd w:val="clear" w:color="auto" w:fill="FFFFFF"/>
          <w:lang w:val="en-US" w:eastAsia="zh-CN"/>
        </w:rPr>
        <w:t xml:space="preserve">       100分</w:t>
      </w:r>
    </w:p>
    <w:p w14:paraId="6848CA9E">
      <w:pPr>
        <w:spacing w:line="600" w:lineRule="exact"/>
        <w:outlineLvl w:val="0"/>
        <w:rPr>
          <w:rFonts w:hint="eastAsia" w:ascii="仿宋_GB2312" w:hAnsi="仿宋_GB2312" w:eastAsia="仿宋_GB2312" w:cs="仿宋_GB2312"/>
          <w:b/>
          <w:bCs/>
          <w:i w:val="0"/>
          <w:caps w:val="0"/>
          <w:color w:val="000000" w:themeColor="text1"/>
          <w:spacing w:val="0"/>
          <w:sz w:val="28"/>
          <w:szCs w:val="28"/>
          <w:shd w:val="clear" w:color="auto" w:fill="FFFFFF"/>
          <w14:textFill>
            <w14:solidFill>
              <w14:schemeClr w14:val="tx1"/>
            </w14:solidFill>
          </w14:textFill>
        </w:rPr>
      </w:pPr>
      <w:bookmarkStart w:id="9" w:name="_Toc17897"/>
      <w:r>
        <w:rPr>
          <w:rFonts w:hint="eastAsia" w:ascii="仿宋_GB2312" w:hAnsi="仿宋_GB2312" w:eastAsia="仿宋_GB2312" w:cs="仿宋_GB2312"/>
          <w:b/>
          <w:bCs/>
          <w:color w:val="000000" w:themeColor="text1"/>
          <w:sz w:val="28"/>
          <w:szCs w:val="28"/>
          <w14:textFill>
            <w14:solidFill>
              <w14:schemeClr w14:val="tx1"/>
            </w14:solidFill>
          </w14:textFill>
        </w:rPr>
        <w:t>四、绩效评价指标分析</w:t>
      </w:r>
      <w:bookmarkEnd w:id="9"/>
    </w:p>
    <w:p w14:paraId="4954363D">
      <w:pPr>
        <w:keepNext w:val="0"/>
        <w:keepLines w:val="0"/>
        <w:pageBreakBefore w:val="0"/>
        <w:kinsoku/>
        <w:wordWrap/>
        <w:overflowPunct/>
        <w:topLinePunct w:val="0"/>
        <w:autoSpaceDE/>
        <w:autoSpaceDN/>
        <w:bidi w:val="0"/>
        <w:adjustRightInd/>
        <w:snapToGrid/>
        <w:spacing w:after="0" w:line="560" w:lineRule="exact"/>
        <w:ind w:right="0" w:rightChars="0"/>
        <w:textAlignment w:val="auto"/>
        <w:rPr>
          <w:rStyle w:val="16"/>
          <w:rFonts w:hint="eastAsia" w:ascii="仿宋_GB2312" w:hAnsi="仿宋_GB2312" w:eastAsia="仿宋_GB2312" w:cs="仿宋_GB2312"/>
          <w:b w:val="0"/>
          <w:bCs/>
          <w:spacing w:val="-4"/>
          <w:sz w:val="28"/>
          <w:szCs w:val="28"/>
          <w:lang w:val="en-US" w:eastAsia="zh-CN"/>
        </w:rPr>
      </w:pPr>
      <w:r>
        <w:rPr>
          <w:rStyle w:val="16"/>
          <w:rFonts w:hint="eastAsia" w:ascii="仿宋_GB2312" w:hAnsi="仿宋_GB2312" w:eastAsia="仿宋_GB2312" w:cs="仿宋_GB2312"/>
          <w:b w:val="0"/>
          <w:bCs/>
          <w:spacing w:val="-4"/>
          <w:sz w:val="28"/>
          <w:szCs w:val="28"/>
          <w:lang w:val="en-US" w:eastAsia="zh-CN"/>
        </w:rPr>
        <w:t>（一）项目决策情况</w:t>
      </w:r>
    </w:p>
    <w:p w14:paraId="3D84DD68">
      <w:pPr>
        <w:keepNext w:val="0"/>
        <w:keepLines w:val="0"/>
        <w:pageBreakBefore w:val="0"/>
        <w:widowControl/>
        <w:kinsoku/>
        <w:wordWrap/>
        <w:overflowPunct/>
        <w:topLinePunct w:val="0"/>
        <w:autoSpaceDE/>
        <w:autoSpaceDN/>
        <w:bidi w:val="0"/>
        <w:adjustRightInd/>
        <w:snapToGrid/>
        <w:spacing w:after="0" w:line="560" w:lineRule="exact"/>
        <w:ind w:right="0" w:rightChars="0" w:firstLine="273" w:firstLineChars="100"/>
        <w:jc w:val="left"/>
        <w:textAlignment w:val="auto"/>
        <w:outlineLvl w:val="9"/>
        <w:rPr>
          <w:rStyle w:val="16"/>
          <w:rFonts w:hint="eastAsia" w:ascii="仿宋_GB2312" w:hAnsi="仿宋_GB2312" w:eastAsia="仿宋_GB2312" w:cs="仿宋_GB2312"/>
          <w:b/>
          <w:bCs w:val="0"/>
          <w:spacing w:val="-4"/>
          <w:sz w:val="28"/>
          <w:szCs w:val="28"/>
          <w:lang w:val="en-US" w:eastAsia="zh-CN"/>
        </w:rPr>
      </w:pPr>
      <w:r>
        <w:rPr>
          <w:rStyle w:val="16"/>
          <w:rFonts w:hint="eastAsia" w:ascii="仿宋_GB2312" w:hAnsi="仿宋_GB2312" w:eastAsia="仿宋_GB2312" w:cs="仿宋_GB2312"/>
          <w:b/>
          <w:bCs w:val="0"/>
          <w:spacing w:val="-4"/>
          <w:sz w:val="28"/>
          <w:szCs w:val="28"/>
          <w:lang w:val="en-US" w:eastAsia="zh-CN"/>
        </w:rPr>
        <w:t>1、立项依据充分性</w:t>
      </w:r>
    </w:p>
    <w:p w14:paraId="6CD076B8">
      <w:pPr>
        <w:keepNext w:val="0"/>
        <w:keepLines w:val="0"/>
        <w:pageBreakBefore w:val="0"/>
        <w:widowControl/>
        <w:kinsoku/>
        <w:wordWrap/>
        <w:overflowPunct/>
        <w:topLinePunct w:val="0"/>
        <w:autoSpaceDE/>
        <w:autoSpaceDN/>
        <w:bidi w:val="0"/>
        <w:adjustRightInd/>
        <w:snapToGrid/>
        <w:spacing w:after="0" w:line="560" w:lineRule="exact"/>
        <w:ind w:left="0" w:leftChars="0" w:right="0" w:rightChars="0" w:firstLine="544" w:firstLineChars="200"/>
        <w:jc w:val="left"/>
        <w:textAlignment w:val="auto"/>
        <w:outlineLvl w:val="9"/>
        <w:rPr>
          <w:rStyle w:val="16"/>
          <w:rFonts w:hint="eastAsia" w:ascii="仿宋_GB2312" w:hAnsi="仿宋_GB2312" w:eastAsia="仿宋_GB2312" w:cs="仿宋_GB2312"/>
          <w:b w:val="0"/>
          <w:bCs/>
          <w:spacing w:val="-4"/>
          <w:sz w:val="28"/>
          <w:szCs w:val="28"/>
          <w:lang w:val="en-US" w:eastAsia="zh-CN"/>
        </w:rPr>
      </w:pPr>
      <w:r>
        <w:rPr>
          <w:rStyle w:val="16"/>
          <w:rFonts w:hint="eastAsia" w:ascii="仿宋_GB2312" w:hAnsi="仿宋_GB2312" w:eastAsia="仿宋_GB2312" w:cs="仿宋_GB2312"/>
          <w:b w:val="0"/>
          <w:bCs/>
          <w:spacing w:val="-4"/>
          <w:sz w:val="28"/>
          <w:szCs w:val="28"/>
          <w:lang w:val="en-US" w:eastAsia="zh-CN"/>
        </w:rPr>
        <w:t>项目立项依据：</w:t>
      </w:r>
      <w:r>
        <w:rPr>
          <w:rFonts w:hint="eastAsia" w:ascii="仿宋_GB2312" w:hAnsi="仿宋_GB2312" w:eastAsia="仿宋_GB2312" w:cs="仿宋_GB2312"/>
          <w:sz w:val="28"/>
          <w:szCs w:val="28"/>
          <w:lang w:val="en-US" w:eastAsia="zh-CN"/>
        </w:rPr>
        <w:t>根据《新疆维吾尔自治区人力资源和社会保障厅[2010]535号《关于增补新疆盐湖化工厂49名无固定收入遗孀取暖费的复函》</w:t>
      </w:r>
      <w:r>
        <w:rPr>
          <w:rStyle w:val="16"/>
          <w:rFonts w:hint="eastAsia" w:ascii="仿宋_GB2312" w:hAnsi="仿宋_GB2312" w:eastAsia="仿宋_GB2312" w:cs="仿宋_GB2312"/>
          <w:b w:val="0"/>
          <w:bCs/>
          <w:spacing w:val="-4"/>
          <w:sz w:val="28"/>
          <w:szCs w:val="28"/>
          <w:lang w:val="en-US" w:eastAsia="zh-CN"/>
        </w:rPr>
        <w:t>文件精神与破产企业盐湖化工厂供养人员领取生活补助资金的范围相符，属于部门履职所需。</w:t>
      </w:r>
    </w:p>
    <w:p w14:paraId="6BD273D9">
      <w:pPr>
        <w:pStyle w:val="2"/>
        <w:numPr>
          <w:ilvl w:val="0"/>
          <w:numId w:val="5"/>
        </w:numPr>
        <w:ind w:left="0" w:leftChars="0" w:firstLine="546" w:firstLineChars="200"/>
        <w:rPr>
          <w:rStyle w:val="16"/>
          <w:rFonts w:hint="eastAsia" w:ascii="仿宋_GB2312" w:hAnsi="仿宋_GB2312" w:eastAsia="仿宋_GB2312" w:cs="仿宋_GB2312"/>
          <w:b/>
          <w:bCs w:val="0"/>
          <w:spacing w:val="-4"/>
          <w:sz w:val="28"/>
          <w:szCs w:val="28"/>
          <w:lang w:eastAsia="zh-CN"/>
        </w:rPr>
      </w:pPr>
      <w:r>
        <w:rPr>
          <w:rStyle w:val="16"/>
          <w:rFonts w:hint="eastAsia" w:ascii="仿宋_GB2312" w:hAnsi="仿宋_GB2312" w:eastAsia="仿宋_GB2312" w:cs="仿宋_GB2312"/>
          <w:b/>
          <w:bCs w:val="0"/>
          <w:spacing w:val="-4"/>
          <w:kern w:val="2"/>
          <w:sz w:val="28"/>
          <w:szCs w:val="28"/>
          <w:lang w:val="en-US" w:eastAsia="zh-CN" w:bidi="ar-SA"/>
        </w:rPr>
        <w:t>立项程序规范性</w:t>
      </w:r>
    </w:p>
    <w:p w14:paraId="57C2D2B2">
      <w:pPr>
        <w:keepNext w:val="0"/>
        <w:keepLines w:val="0"/>
        <w:pageBreakBefore w:val="0"/>
        <w:widowControl/>
        <w:kinsoku/>
        <w:wordWrap/>
        <w:overflowPunct/>
        <w:topLinePunct w:val="0"/>
        <w:autoSpaceDE/>
        <w:autoSpaceDN/>
        <w:bidi w:val="0"/>
        <w:adjustRightInd/>
        <w:snapToGrid/>
        <w:spacing w:after="0" w:line="560" w:lineRule="exact"/>
        <w:ind w:left="0" w:leftChars="0" w:right="0" w:rightChars="0" w:firstLine="544" w:firstLineChars="200"/>
        <w:jc w:val="left"/>
        <w:textAlignment w:val="auto"/>
        <w:outlineLvl w:val="9"/>
        <w:rPr>
          <w:rStyle w:val="16"/>
          <w:rFonts w:hint="eastAsia" w:ascii="仿宋_GB2312" w:hAnsi="仿宋_GB2312" w:eastAsia="仿宋_GB2312" w:cs="仿宋_GB2312"/>
          <w:b w:val="0"/>
          <w:bCs/>
          <w:spacing w:val="-4"/>
          <w:sz w:val="28"/>
          <w:szCs w:val="28"/>
          <w:lang w:val="en-US" w:eastAsia="zh-CN"/>
        </w:rPr>
      </w:pPr>
      <w:r>
        <w:rPr>
          <w:rStyle w:val="16"/>
          <w:rFonts w:hint="eastAsia" w:ascii="仿宋_GB2312" w:hAnsi="仿宋_GB2312" w:eastAsia="仿宋_GB2312" w:cs="仿宋_GB2312"/>
          <w:b w:val="0"/>
          <w:bCs/>
          <w:spacing w:val="-4"/>
          <w:sz w:val="28"/>
          <w:szCs w:val="28"/>
          <w:lang w:val="en-US" w:eastAsia="zh-CN"/>
        </w:rPr>
        <w:t>本处</w:t>
      </w:r>
      <w:r>
        <w:rPr>
          <w:rStyle w:val="16"/>
          <w:rFonts w:hint="eastAsia" w:ascii="仿宋_GB2312" w:hAnsi="仿宋_GB2312" w:eastAsia="仿宋_GB2312" w:cs="仿宋_GB2312"/>
          <w:b w:val="0"/>
          <w:bCs/>
          <w:spacing w:val="-4"/>
          <w:sz w:val="28"/>
          <w:szCs w:val="28"/>
          <w:lang w:eastAsia="zh-CN"/>
        </w:rPr>
        <w:t>成立了以负责人为组长的项目小组，项目小组由</w:t>
      </w:r>
      <w:r>
        <w:rPr>
          <w:rStyle w:val="16"/>
          <w:rFonts w:hint="eastAsia" w:ascii="仿宋_GB2312" w:hAnsi="仿宋_GB2312" w:eastAsia="仿宋_GB2312" w:cs="仿宋_GB2312"/>
          <w:b w:val="0"/>
          <w:bCs/>
          <w:spacing w:val="-4"/>
          <w:sz w:val="28"/>
          <w:szCs w:val="28"/>
          <w:lang w:val="en-US" w:eastAsia="zh-CN"/>
        </w:rPr>
        <w:t>业务骨干</w:t>
      </w:r>
      <w:r>
        <w:rPr>
          <w:rStyle w:val="16"/>
          <w:rFonts w:hint="eastAsia" w:ascii="仿宋_GB2312" w:hAnsi="仿宋_GB2312" w:eastAsia="仿宋_GB2312" w:cs="仿宋_GB2312"/>
          <w:b w:val="0"/>
          <w:bCs/>
          <w:spacing w:val="-4"/>
          <w:sz w:val="28"/>
          <w:szCs w:val="28"/>
          <w:lang w:eastAsia="zh-CN"/>
        </w:rPr>
        <w:t>、</w:t>
      </w:r>
      <w:r>
        <w:rPr>
          <w:rStyle w:val="16"/>
          <w:rFonts w:hint="eastAsia" w:ascii="仿宋_GB2312" w:hAnsi="仿宋_GB2312" w:eastAsia="仿宋_GB2312" w:cs="仿宋_GB2312"/>
          <w:b w:val="0"/>
          <w:bCs/>
          <w:spacing w:val="-4"/>
          <w:sz w:val="28"/>
          <w:szCs w:val="28"/>
          <w:lang w:val="en-US" w:eastAsia="zh-CN"/>
        </w:rPr>
        <w:t>熟悉</w:t>
      </w:r>
      <w:r>
        <w:rPr>
          <w:rStyle w:val="16"/>
          <w:rFonts w:hint="eastAsia" w:ascii="仿宋_GB2312" w:hAnsi="仿宋_GB2312" w:eastAsia="仿宋_GB2312" w:cs="仿宋_GB2312"/>
          <w:b w:val="0"/>
          <w:bCs/>
          <w:spacing w:val="-4"/>
          <w:sz w:val="28"/>
          <w:szCs w:val="28"/>
          <w:lang w:eastAsia="zh-CN"/>
        </w:rPr>
        <w:t>财务</w:t>
      </w:r>
      <w:r>
        <w:rPr>
          <w:rStyle w:val="16"/>
          <w:rFonts w:hint="eastAsia" w:ascii="仿宋_GB2312" w:hAnsi="仿宋_GB2312" w:eastAsia="仿宋_GB2312" w:cs="仿宋_GB2312"/>
          <w:b w:val="0"/>
          <w:bCs/>
          <w:spacing w:val="-4"/>
          <w:sz w:val="28"/>
          <w:szCs w:val="28"/>
          <w:lang w:val="en-US" w:eastAsia="zh-CN"/>
        </w:rPr>
        <w:t>工作</w:t>
      </w:r>
      <w:r>
        <w:rPr>
          <w:rStyle w:val="16"/>
          <w:rFonts w:hint="eastAsia" w:ascii="仿宋_GB2312" w:hAnsi="仿宋_GB2312" w:eastAsia="仿宋_GB2312" w:cs="仿宋_GB2312"/>
          <w:b w:val="0"/>
          <w:bCs/>
          <w:spacing w:val="-4"/>
          <w:sz w:val="28"/>
          <w:szCs w:val="28"/>
          <w:lang w:eastAsia="zh-CN"/>
        </w:rPr>
        <w:t>人员共同组成，经项目小组研究确定并提出申请，经</w:t>
      </w:r>
      <w:r>
        <w:rPr>
          <w:rStyle w:val="16"/>
          <w:rFonts w:hint="eastAsia" w:ascii="仿宋_GB2312" w:hAnsi="仿宋_GB2312" w:eastAsia="仿宋_GB2312" w:cs="仿宋_GB2312"/>
          <w:b w:val="0"/>
          <w:bCs/>
          <w:spacing w:val="-4"/>
          <w:sz w:val="28"/>
          <w:szCs w:val="28"/>
          <w:lang w:val="en-US" w:eastAsia="zh-CN"/>
        </w:rPr>
        <w:t>厅有关</w:t>
      </w:r>
      <w:r>
        <w:rPr>
          <w:rStyle w:val="16"/>
          <w:rFonts w:hint="eastAsia" w:ascii="仿宋_GB2312" w:hAnsi="仿宋_GB2312" w:eastAsia="仿宋_GB2312" w:cs="仿宋_GB2312"/>
          <w:b w:val="0"/>
          <w:bCs/>
          <w:spacing w:val="-4"/>
          <w:sz w:val="28"/>
          <w:szCs w:val="28"/>
          <w:lang w:eastAsia="zh-CN"/>
        </w:rPr>
        <w:t>会</w:t>
      </w:r>
      <w:r>
        <w:rPr>
          <w:rStyle w:val="16"/>
          <w:rFonts w:hint="eastAsia" w:ascii="仿宋_GB2312" w:hAnsi="仿宋_GB2312" w:eastAsia="仿宋_GB2312" w:cs="仿宋_GB2312"/>
          <w:b w:val="0"/>
          <w:bCs/>
          <w:spacing w:val="-4"/>
          <w:sz w:val="28"/>
          <w:szCs w:val="28"/>
          <w:lang w:val="en-US" w:eastAsia="zh-CN"/>
        </w:rPr>
        <w:t>议同意。</w:t>
      </w:r>
    </w:p>
    <w:p w14:paraId="6C13189F">
      <w:pPr>
        <w:keepNext w:val="0"/>
        <w:keepLines w:val="0"/>
        <w:pageBreakBefore w:val="0"/>
        <w:widowControl/>
        <w:kinsoku/>
        <w:wordWrap/>
        <w:overflowPunct/>
        <w:topLinePunct w:val="0"/>
        <w:autoSpaceDE/>
        <w:autoSpaceDN/>
        <w:bidi w:val="0"/>
        <w:adjustRightInd/>
        <w:snapToGrid/>
        <w:spacing w:after="0" w:line="560" w:lineRule="exact"/>
        <w:ind w:right="0" w:rightChars="0"/>
        <w:jc w:val="left"/>
        <w:textAlignment w:val="auto"/>
        <w:outlineLvl w:val="9"/>
        <w:rPr>
          <w:rStyle w:val="16"/>
          <w:rFonts w:hint="eastAsia" w:ascii="仿宋_GB2312" w:hAnsi="仿宋_GB2312" w:eastAsia="仿宋_GB2312" w:cs="仿宋_GB2312"/>
          <w:bCs w:val="0"/>
          <w:spacing w:val="-4"/>
          <w:kern w:val="2"/>
          <w:sz w:val="28"/>
          <w:szCs w:val="28"/>
          <w:lang w:val="en-US" w:eastAsia="zh-CN" w:bidi="ar-SA"/>
        </w:rPr>
      </w:pPr>
      <w:r>
        <w:rPr>
          <w:rStyle w:val="16"/>
          <w:rFonts w:hint="eastAsia" w:ascii="仿宋_GB2312" w:hAnsi="仿宋_GB2312" w:eastAsia="仿宋_GB2312" w:cs="仿宋_GB2312"/>
          <w:bCs w:val="0"/>
          <w:spacing w:val="-4"/>
          <w:kern w:val="2"/>
          <w:sz w:val="28"/>
          <w:szCs w:val="28"/>
          <w:lang w:val="en-US" w:eastAsia="zh-CN" w:bidi="ar-SA"/>
        </w:rPr>
        <w:t>3、绩效目标合理性</w:t>
      </w:r>
    </w:p>
    <w:p w14:paraId="53B8BF3A">
      <w:pPr>
        <w:keepNext w:val="0"/>
        <w:keepLines w:val="0"/>
        <w:pageBreakBefore w:val="0"/>
        <w:widowControl w:val="0"/>
        <w:kinsoku/>
        <w:wordWrap/>
        <w:overflowPunct/>
        <w:topLinePunct w:val="0"/>
        <w:autoSpaceDE/>
        <w:autoSpaceDN/>
        <w:bidi w:val="0"/>
        <w:adjustRightInd/>
        <w:snapToGrid/>
        <w:spacing w:line="480" w:lineRule="auto"/>
        <w:ind w:firstLine="272" w:firstLineChars="100"/>
        <w:jc w:val="both"/>
        <w:textAlignment w:val="auto"/>
        <w:rPr>
          <w:rStyle w:val="16"/>
          <w:rFonts w:hint="eastAsia" w:ascii="仿宋_GB2312" w:hAnsi="仿宋_GB2312" w:eastAsia="仿宋_GB2312" w:cs="仿宋_GB2312"/>
          <w:b w:val="0"/>
          <w:bCs/>
          <w:spacing w:val="-4"/>
          <w:sz w:val="28"/>
          <w:szCs w:val="28"/>
          <w:lang w:eastAsia="zh-CN"/>
        </w:rPr>
      </w:pPr>
      <w:r>
        <w:rPr>
          <w:rStyle w:val="16"/>
          <w:rFonts w:hint="eastAsia" w:ascii="仿宋_GB2312" w:hAnsi="仿宋_GB2312" w:eastAsia="仿宋_GB2312" w:cs="仿宋_GB2312"/>
          <w:b w:val="0"/>
          <w:bCs/>
          <w:spacing w:val="-4"/>
          <w:sz w:val="28"/>
          <w:szCs w:val="28"/>
          <w:lang w:eastAsia="zh-CN"/>
        </w:rPr>
        <w:t>“</w:t>
      </w:r>
      <w:r>
        <w:rPr>
          <w:rFonts w:hint="eastAsia" w:ascii="仿宋_GB2312" w:hAnsi="仿宋_GB2312" w:eastAsia="仿宋_GB2312" w:cs="仿宋_GB2312"/>
          <w:kern w:val="0"/>
          <w:sz w:val="28"/>
          <w:szCs w:val="28"/>
          <w:lang w:val="en-US" w:eastAsia="zh-CN"/>
        </w:rPr>
        <w:t xml:space="preserve"> 原破产企业职工暖气费生活补助及养老保险金</w:t>
      </w:r>
      <w:r>
        <w:rPr>
          <w:rStyle w:val="16"/>
          <w:rFonts w:hint="eastAsia" w:ascii="仿宋_GB2312" w:hAnsi="仿宋_GB2312" w:eastAsia="仿宋_GB2312" w:cs="仿宋_GB2312"/>
          <w:b w:val="0"/>
          <w:bCs/>
          <w:spacing w:val="-4"/>
          <w:sz w:val="28"/>
          <w:szCs w:val="28"/>
          <w:lang w:eastAsia="zh-CN"/>
        </w:rPr>
        <w:t>”设立了项目绩效目标，与进一步认真落实好党和政府给予原破产企业供养人员及养老保险金</w:t>
      </w:r>
      <w:r>
        <w:rPr>
          <w:rStyle w:val="16"/>
          <w:rFonts w:hint="eastAsia" w:ascii="仿宋_GB2312" w:hAnsi="仿宋_GB2312" w:eastAsia="仿宋_GB2312" w:cs="仿宋_GB2312"/>
          <w:b w:val="0"/>
          <w:bCs/>
          <w:spacing w:val="-4"/>
          <w:sz w:val="28"/>
          <w:szCs w:val="28"/>
          <w:lang w:val="en-US" w:eastAsia="zh-CN"/>
        </w:rPr>
        <w:t>的</w:t>
      </w:r>
      <w:r>
        <w:rPr>
          <w:rStyle w:val="16"/>
          <w:rFonts w:hint="eastAsia" w:ascii="仿宋_GB2312" w:hAnsi="仿宋_GB2312" w:eastAsia="仿宋_GB2312" w:cs="仿宋_GB2312"/>
          <w:b w:val="0"/>
          <w:bCs/>
          <w:spacing w:val="-4"/>
          <w:sz w:val="28"/>
          <w:szCs w:val="28"/>
          <w:lang w:eastAsia="zh-CN"/>
        </w:rPr>
        <w:t>相关政策相符，项目的预期产出效益和效果也均能符合正常的业绩水平，并且与预算确定的项目投资额或资金量相匹配。</w:t>
      </w:r>
    </w:p>
    <w:p w14:paraId="0790A0E8">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Style w:val="16"/>
          <w:rFonts w:hint="eastAsia" w:ascii="仿宋_GB2312" w:hAnsi="仿宋_GB2312" w:eastAsia="仿宋_GB2312" w:cs="仿宋_GB2312"/>
          <w:bCs w:val="0"/>
          <w:spacing w:val="-4"/>
          <w:kern w:val="2"/>
          <w:sz w:val="28"/>
          <w:szCs w:val="28"/>
          <w:lang w:val="en-US" w:eastAsia="zh-CN" w:bidi="ar-SA"/>
        </w:rPr>
      </w:pPr>
      <w:r>
        <w:rPr>
          <w:rStyle w:val="16"/>
          <w:rFonts w:hint="eastAsia" w:ascii="仿宋_GB2312" w:hAnsi="仿宋_GB2312" w:eastAsia="仿宋_GB2312" w:cs="仿宋_GB2312"/>
          <w:bCs w:val="0"/>
          <w:spacing w:val="-4"/>
          <w:kern w:val="2"/>
          <w:sz w:val="28"/>
          <w:szCs w:val="28"/>
          <w:lang w:val="en-US" w:eastAsia="zh-CN" w:bidi="ar-SA"/>
        </w:rPr>
        <w:t>4、绩效指标明确性</w:t>
      </w:r>
    </w:p>
    <w:p w14:paraId="6CC9336F">
      <w:pPr>
        <w:keepNext w:val="0"/>
        <w:keepLines w:val="0"/>
        <w:pageBreakBefore w:val="0"/>
        <w:widowControl w:val="0"/>
        <w:kinsoku/>
        <w:wordWrap/>
        <w:overflowPunct/>
        <w:topLinePunct w:val="0"/>
        <w:autoSpaceDE/>
        <w:autoSpaceDN/>
        <w:bidi w:val="0"/>
        <w:adjustRightInd/>
        <w:snapToGrid/>
        <w:spacing w:line="480" w:lineRule="auto"/>
        <w:ind w:firstLine="272" w:firstLineChars="100"/>
        <w:jc w:val="both"/>
        <w:textAlignment w:val="auto"/>
        <w:rPr>
          <w:rStyle w:val="16"/>
          <w:rFonts w:hint="eastAsia" w:ascii="仿宋_GB2312" w:hAnsi="仿宋_GB2312" w:eastAsia="仿宋_GB2312" w:cs="仿宋_GB2312"/>
          <w:b w:val="0"/>
          <w:bCs/>
          <w:spacing w:val="-4"/>
          <w:sz w:val="28"/>
          <w:szCs w:val="28"/>
          <w:lang w:val="en-US" w:eastAsia="zh-CN"/>
        </w:rPr>
      </w:pPr>
      <w:r>
        <w:rPr>
          <w:rStyle w:val="16"/>
          <w:rFonts w:hint="eastAsia" w:ascii="仿宋_GB2312" w:hAnsi="仿宋_GB2312" w:eastAsia="仿宋_GB2312" w:cs="仿宋_GB2312"/>
          <w:b w:val="0"/>
          <w:bCs/>
          <w:spacing w:val="-4"/>
          <w:sz w:val="28"/>
          <w:szCs w:val="28"/>
          <w:lang w:val="en-US" w:eastAsia="zh-CN"/>
        </w:rPr>
        <w:t>“</w:t>
      </w:r>
      <w:r>
        <w:rPr>
          <w:rFonts w:hint="eastAsia" w:ascii="仿宋_GB2312" w:hAnsi="仿宋_GB2312" w:eastAsia="仿宋_GB2312" w:cs="仿宋_GB2312"/>
          <w:kern w:val="0"/>
          <w:sz w:val="28"/>
          <w:szCs w:val="28"/>
          <w:lang w:val="en-US" w:eastAsia="zh-CN"/>
        </w:rPr>
        <w:t xml:space="preserve"> 原破产企业职工暖气费生活补助及养老保险金</w:t>
      </w:r>
      <w:r>
        <w:rPr>
          <w:rStyle w:val="16"/>
          <w:rFonts w:hint="eastAsia" w:ascii="仿宋_GB2312" w:hAnsi="仿宋_GB2312" w:eastAsia="仿宋_GB2312" w:cs="仿宋_GB2312"/>
          <w:b w:val="0"/>
          <w:bCs/>
          <w:spacing w:val="-4"/>
          <w:sz w:val="28"/>
          <w:szCs w:val="28"/>
          <w:lang w:val="en-US" w:eastAsia="zh-CN"/>
        </w:rPr>
        <w:t>”项目将项目绩效目标细化分解为具体的绩效指标，一级指标共3条，二级指标共7条，三级指标共7条，其中量化指标条数共7条，所有绩效指标均通过清晰、可衡量的指标值予以体现，并且做到了与项目目标任务数或计划数相对应。</w:t>
      </w:r>
    </w:p>
    <w:p w14:paraId="55E1C1FC">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Style w:val="16"/>
          <w:rFonts w:hint="eastAsia" w:ascii="仿宋_GB2312" w:hAnsi="仿宋_GB2312" w:eastAsia="仿宋_GB2312" w:cs="仿宋_GB2312"/>
          <w:bCs w:val="0"/>
          <w:spacing w:val="-4"/>
          <w:kern w:val="2"/>
          <w:sz w:val="28"/>
          <w:szCs w:val="28"/>
          <w:lang w:val="en-US" w:eastAsia="zh-CN" w:bidi="ar-SA"/>
        </w:rPr>
      </w:pPr>
      <w:r>
        <w:rPr>
          <w:rStyle w:val="16"/>
          <w:rFonts w:hint="eastAsia" w:ascii="仿宋_GB2312" w:hAnsi="仿宋_GB2312" w:eastAsia="仿宋_GB2312" w:cs="仿宋_GB2312"/>
          <w:bCs w:val="0"/>
          <w:spacing w:val="-4"/>
          <w:kern w:val="2"/>
          <w:sz w:val="28"/>
          <w:szCs w:val="28"/>
          <w:lang w:val="en-US" w:eastAsia="zh-CN" w:bidi="ar-SA"/>
        </w:rPr>
        <w:t>5、预算编制科学性</w:t>
      </w:r>
    </w:p>
    <w:p w14:paraId="22271A12">
      <w:pPr>
        <w:pStyle w:val="2"/>
        <w:keepNext w:val="0"/>
        <w:keepLines w:val="0"/>
        <w:pageBreakBefore w:val="0"/>
        <w:widowControl w:val="0"/>
        <w:kinsoku/>
        <w:wordWrap/>
        <w:overflowPunct/>
        <w:topLinePunct w:val="0"/>
        <w:autoSpaceDE/>
        <w:autoSpaceDN/>
        <w:bidi w:val="0"/>
        <w:adjustRightInd/>
        <w:snapToGrid/>
        <w:spacing w:line="560" w:lineRule="exact"/>
        <w:ind w:left="0" w:leftChars="0" w:firstLine="544" w:firstLineChars="200"/>
        <w:textAlignment w:val="auto"/>
        <w:rPr>
          <w:rStyle w:val="16"/>
          <w:rFonts w:hint="eastAsia" w:ascii="仿宋_GB2312" w:hAnsi="仿宋_GB2312" w:eastAsia="仿宋_GB2312" w:cs="仿宋_GB2312"/>
          <w:b w:val="0"/>
          <w:bCs/>
          <w:spacing w:val="-4"/>
          <w:sz w:val="28"/>
          <w:szCs w:val="28"/>
          <w:lang w:val="en-US" w:eastAsia="zh-CN"/>
        </w:rPr>
      </w:pPr>
      <w:r>
        <w:rPr>
          <w:rStyle w:val="16"/>
          <w:rFonts w:hint="eastAsia" w:ascii="仿宋_GB2312" w:hAnsi="仿宋_GB2312" w:eastAsia="仿宋_GB2312" w:cs="仿宋_GB2312"/>
          <w:b w:val="0"/>
          <w:bCs/>
          <w:spacing w:val="-4"/>
          <w:sz w:val="28"/>
          <w:szCs w:val="28"/>
          <w:lang w:val="en-US" w:eastAsia="zh-CN"/>
        </w:rPr>
        <w:t>预算经处室集体讨论、处室领导把关后编制。结合处室工作内容，严格按照自治区相关文件要求测算预算额度、编制预算，确保项目投资额与工作任务相匹配。</w:t>
      </w:r>
    </w:p>
    <w:p w14:paraId="5468E07C">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Style w:val="16"/>
          <w:rFonts w:hint="eastAsia" w:ascii="仿宋_GB2312" w:hAnsi="仿宋_GB2312" w:eastAsia="仿宋_GB2312" w:cs="仿宋_GB2312"/>
          <w:bCs w:val="0"/>
          <w:spacing w:val="-4"/>
          <w:kern w:val="2"/>
          <w:sz w:val="28"/>
          <w:szCs w:val="28"/>
          <w:lang w:val="en-US" w:eastAsia="zh-CN" w:bidi="ar-SA"/>
        </w:rPr>
      </w:pPr>
      <w:r>
        <w:rPr>
          <w:rStyle w:val="16"/>
          <w:rFonts w:hint="eastAsia" w:ascii="仿宋_GB2312" w:hAnsi="仿宋_GB2312" w:eastAsia="仿宋_GB2312" w:cs="仿宋_GB2312"/>
          <w:bCs w:val="0"/>
          <w:spacing w:val="-4"/>
          <w:kern w:val="2"/>
          <w:sz w:val="28"/>
          <w:szCs w:val="28"/>
          <w:lang w:val="en-US" w:eastAsia="zh-CN" w:bidi="ar-SA"/>
        </w:rPr>
        <w:t>6、资金分配合理性</w:t>
      </w:r>
    </w:p>
    <w:p w14:paraId="5B0B61AC">
      <w:pPr>
        <w:pStyle w:val="2"/>
        <w:keepNext w:val="0"/>
        <w:keepLines w:val="0"/>
        <w:pageBreakBefore w:val="0"/>
        <w:widowControl w:val="0"/>
        <w:kinsoku/>
        <w:wordWrap/>
        <w:overflowPunct/>
        <w:topLinePunct w:val="0"/>
        <w:autoSpaceDE/>
        <w:autoSpaceDN/>
        <w:bidi w:val="0"/>
        <w:adjustRightInd/>
        <w:snapToGrid/>
        <w:spacing w:line="560" w:lineRule="exact"/>
        <w:ind w:left="0" w:leftChars="0" w:firstLine="544" w:firstLineChars="200"/>
        <w:textAlignment w:val="auto"/>
        <w:rPr>
          <w:rStyle w:val="16"/>
          <w:rFonts w:hint="eastAsia" w:ascii="仿宋_GB2312" w:hAnsi="仿宋_GB2312" w:eastAsia="仿宋_GB2312" w:cs="仿宋_GB2312"/>
          <w:b w:val="0"/>
          <w:bCs/>
          <w:spacing w:val="-4"/>
          <w:sz w:val="28"/>
          <w:szCs w:val="28"/>
          <w:lang w:val="en-US" w:eastAsia="zh-CN"/>
        </w:rPr>
      </w:pPr>
      <w:r>
        <w:rPr>
          <w:rStyle w:val="16"/>
          <w:rFonts w:hint="eastAsia" w:ascii="仿宋_GB2312" w:hAnsi="仿宋_GB2312" w:eastAsia="仿宋_GB2312" w:cs="仿宋_GB2312"/>
          <w:b w:val="0"/>
          <w:bCs/>
          <w:spacing w:val="-4"/>
          <w:sz w:val="28"/>
          <w:szCs w:val="28"/>
          <w:lang w:val="en-US" w:eastAsia="zh-CN"/>
        </w:rPr>
        <w:t>预算资金分配依据：</w:t>
      </w:r>
      <w:r>
        <w:rPr>
          <w:rFonts w:hint="eastAsia" w:ascii="仿宋_GB2312" w:hAnsi="仿宋_GB2312" w:eastAsia="仿宋_GB2312" w:cs="仿宋_GB2312"/>
          <w:sz w:val="28"/>
          <w:szCs w:val="28"/>
          <w:lang w:val="en-US" w:eastAsia="zh-CN"/>
        </w:rPr>
        <w:t>新疆维吾尔自治区人力资源和社会保障厅[2010]535号《关于增补新疆盐湖化工厂49名无固定收入遗孀取暖费的复函》</w:t>
      </w:r>
    </w:p>
    <w:p w14:paraId="030651F3">
      <w:pPr>
        <w:keepNext w:val="0"/>
        <w:keepLines w:val="0"/>
        <w:pageBreakBefore w:val="0"/>
        <w:numPr>
          <w:ilvl w:val="0"/>
          <w:numId w:val="6"/>
        </w:numPr>
        <w:kinsoku/>
        <w:wordWrap/>
        <w:overflowPunct/>
        <w:topLinePunct w:val="0"/>
        <w:autoSpaceDE/>
        <w:autoSpaceDN/>
        <w:bidi w:val="0"/>
        <w:adjustRightInd/>
        <w:snapToGrid/>
        <w:spacing w:after="0" w:line="560" w:lineRule="exact"/>
        <w:ind w:left="0" w:leftChars="0" w:right="0" w:rightChars="0" w:firstLine="544" w:firstLineChars="200"/>
        <w:textAlignment w:val="auto"/>
        <w:rPr>
          <w:rStyle w:val="16"/>
          <w:rFonts w:hint="eastAsia" w:ascii="仿宋_GB2312" w:hAnsi="仿宋_GB2312" w:eastAsia="仿宋_GB2312" w:cs="仿宋_GB2312"/>
          <w:b w:val="0"/>
          <w:bCs w:val="0"/>
          <w:spacing w:val="-4"/>
          <w:sz w:val="28"/>
          <w:szCs w:val="28"/>
          <w:lang w:val="en-US" w:eastAsia="zh-CN"/>
        </w:rPr>
      </w:pPr>
      <w:r>
        <w:rPr>
          <w:rStyle w:val="16"/>
          <w:rFonts w:hint="eastAsia" w:ascii="仿宋_GB2312" w:hAnsi="仿宋_GB2312" w:eastAsia="仿宋_GB2312" w:cs="仿宋_GB2312"/>
          <w:b w:val="0"/>
          <w:bCs w:val="0"/>
          <w:spacing w:val="-4"/>
          <w:sz w:val="28"/>
          <w:szCs w:val="28"/>
          <w:lang w:val="en-US" w:eastAsia="zh-CN"/>
        </w:rPr>
        <w:t>项目过程情况</w:t>
      </w:r>
    </w:p>
    <w:p w14:paraId="69373D76">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200" w:firstLine="273" w:firstLineChars="100"/>
        <w:textAlignment w:val="auto"/>
        <w:rPr>
          <w:rStyle w:val="16"/>
          <w:rFonts w:hint="eastAsia" w:ascii="仿宋_GB2312" w:hAnsi="仿宋_GB2312" w:eastAsia="仿宋_GB2312" w:cs="仿宋_GB2312"/>
          <w:bCs w:val="0"/>
          <w:spacing w:val="-4"/>
          <w:kern w:val="2"/>
          <w:sz w:val="28"/>
          <w:szCs w:val="28"/>
          <w:lang w:val="en-US" w:eastAsia="zh-CN" w:bidi="ar-SA"/>
        </w:rPr>
      </w:pPr>
      <w:r>
        <w:rPr>
          <w:rStyle w:val="16"/>
          <w:rFonts w:hint="eastAsia" w:ascii="仿宋_GB2312" w:hAnsi="仿宋_GB2312" w:eastAsia="仿宋_GB2312" w:cs="仿宋_GB2312"/>
          <w:bCs w:val="0"/>
          <w:spacing w:val="-4"/>
          <w:kern w:val="2"/>
          <w:sz w:val="28"/>
          <w:szCs w:val="28"/>
          <w:lang w:val="en-US" w:eastAsia="zh-CN" w:bidi="ar-SA"/>
        </w:rPr>
        <w:t>1、资金到位率：</w:t>
      </w:r>
    </w:p>
    <w:p w14:paraId="69185530">
      <w:pPr>
        <w:keepNext w:val="0"/>
        <w:keepLines w:val="0"/>
        <w:pageBreakBefore w:val="0"/>
        <w:kinsoku/>
        <w:wordWrap/>
        <w:overflowPunct/>
        <w:topLinePunct w:val="0"/>
        <w:autoSpaceDE/>
        <w:autoSpaceDN/>
        <w:bidi w:val="0"/>
        <w:adjustRightInd/>
        <w:snapToGrid/>
        <w:spacing w:after="0" w:line="540" w:lineRule="exact"/>
        <w:ind w:right="0" w:rightChars="0" w:firstLine="272" w:firstLineChars="100"/>
        <w:textAlignment w:val="auto"/>
        <w:rPr>
          <w:rStyle w:val="16"/>
          <w:rFonts w:hint="eastAsia" w:ascii="仿宋_GB2312" w:hAnsi="仿宋_GB2312" w:eastAsia="仿宋_GB2312" w:cs="仿宋_GB2312"/>
          <w:b w:val="0"/>
          <w:color w:val="auto"/>
          <w:spacing w:val="-4"/>
          <w:sz w:val="28"/>
          <w:szCs w:val="28"/>
          <w:shd w:val="clear" w:color="auto" w:fill="auto"/>
          <w:lang w:eastAsia="zh-CN"/>
        </w:rPr>
      </w:pPr>
      <w:r>
        <w:rPr>
          <w:rStyle w:val="16"/>
          <w:rFonts w:hint="eastAsia" w:ascii="仿宋_GB2312" w:hAnsi="仿宋_GB2312" w:eastAsia="仿宋_GB2312" w:cs="仿宋_GB2312"/>
          <w:b w:val="0"/>
          <w:color w:val="auto"/>
          <w:spacing w:val="-4"/>
          <w:sz w:val="28"/>
          <w:szCs w:val="28"/>
          <w:shd w:val="clear" w:color="auto" w:fill="auto"/>
          <w:lang w:eastAsia="zh-CN"/>
        </w:rPr>
        <w:t>实际到位资金</w:t>
      </w:r>
      <w:r>
        <w:rPr>
          <w:rStyle w:val="16"/>
          <w:rFonts w:hint="eastAsia" w:ascii="仿宋_GB2312" w:hAnsi="仿宋_GB2312" w:eastAsia="仿宋_GB2312" w:cs="仿宋_GB2312"/>
          <w:b w:val="0"/>
          <w:color w:val="auto"/>
          <w:spacing w:val="-4"/>
          <w:sz w:val="28"/>
          <w:szCs w:val="28"/>
          <w:shd w:val="clear" w:color="auto" w:fill="auto"/>
          <w:lang w:val="en-US" w:eastAsia="zh-CN"/>
        </w:rPr>
        <w:t>10.78</w:t>
      </w:r>
      <w:r>
        <w:rPr>
          <w:rStyle w:val="16"/>
          <w:rFonts w:hint="eastAsia" w:ascii="仿宋_GB2312" w:hAnsi="仿宋_GB2312" w:eastAsia="仿宋_GB2312" w:cs="仿宋_GB2312"/>
          <w:b w:val="0"/>
          <w:color w:val="auto"/>
          <w:spacing w:val="-4"/>
          <w:sz w:val="28"/>
          <w:szCs w:val="28"/>
          <w:shd w:val="clear" w:color="auto" w:fill="auto"/>
          <w:lang w:eastAsia="zh-CN"/>
        </w:rPr>
        <w:t>万元，预算资金</w:t>
      </w:r>
      <w:r>
        <w:rPr>
          <w:rStyle w:val="16"/>
          <w:rFonts w:hint="eastAsia" w:ascii="仿宋_GB2312" w:hAnsi="仿宋_GB2312" w:eastAsia="仿宋_GB2312" w:cs="仿宋_GB2312"/>
          <w:b w:val="0"/>
          <w:color w:val="auto"/>
          <w:spacing w:val="-4"/>
          <w:sz w:val="28"/>
          <w:szCs w:val="28"/>
          <w:shd w:val="clear" w:color="auto" w:fill="auto"/>
          <w:lang w:val="en-US" w:eastAsia="zh-CN"/>
        </w:rPr>
        <w:t>10.78</w:t>
      </w:r>
      <w:r>
        <w:rPr>
          <w:rStyle w:val="16"/>
          <w:rFonts w:hint="eastAsia" w:ascii="仿宋_GB2312" w:hAnsi="仿宋_GB2312" w:eastAsia="仿宋_GB2312" w:cs="仿宋_GB2312"/>
          <w:b w:val="0"/>
          <w:color w:val="auto"/>
          <w:spacing w:val="-4"/>
          <w:sz w:val="28"/>
          <w:szCs w:val="28"/>
          <w:shd w:val="clear" w:color="auto" w:fill="auto"/>
          <w:lang w:eastAsia="zh-CN"/>
        </w:rPr>
        <w:t>万元，资金到位率</w:t>
      </w:r>
      <w:r>
        <w:rPr>
          <w:rStyle w:val="16"/>
          <w:rFonts w:hint="eastAsia" w:ascii="仿宋_GB2312" w:hAnsi="仿宋_GB2312" w:eastAsia="仿宋_GB2312" w:cs="仿宋_GB2312"/>
          <w:b w:val="0"/>
          <w:color w:val="auto"/>
          <w:spacing w:val="-4"/>
          <w:sz w:val="28"/>
          <w:szCs w:val="28"/>
          <w:shd w:val="clear" w:color="auto" w:fill="auto"/>
          <w:lang w:val="en-US" w:eastAsia="zh-CN"/>
        </w:rPr>
        <w:t>100</w:t>
      </w:r>
      <w:r>
        <w:rPr>
          <w:rStyle w:val="16"/>
          <w:rFonts w:hint="eastAsia" w:ascii="仿宋_GB2312" w:hAnsi="仿宋_GB2312" w:eastAsia="仿宋_GB2312" w:cs="仿宋_GB2312"/>
          <w:b w:val="0"/>
          <w:color w:val="auto"/>
          <w:spacing w:val="-4"/>
          <w:sz w:val="28"/>
          <w:szCs w:val="28"/>
          <w:shd w:val="clear" w:color="auto" w:fill="auto"/>
          <w:lang w:eastAsia="zh-CN"/>
        </w:rPr>
        <w:t>%。</w:t>
      </w:r>
    </w:p>
    <w:p w14:paraId="7BDDCBF1">
      <w:pPr>
        <w:spacing w:line="360" w:lineRule="auto"/>
        <w:ind w:firstLine="546" w:firstLineChars="200"/>
        <w:rPr>
          <w:rStyle w:val="16"/>
          <w:rFonts w:hint="eastAsia" w:ascii="仿宋_GB2312" w:hAnsi="仿宋_GB2312" w:eastAsia="仿宋_GB2312" w:cs="仿宋_GB2312"/>
          <w:bCs w:val="0"/>
          <w:color w:val="auto"/>
          <w:spacing w:val="-4"/>
          <w:kern w:val="2"/>
          <w:sz w:val="28"/>
          <w:szCs w:val="28"/>
          <w:shd w:val="clear" w:color="auto" w:fill="auto"/>
          <w:lang w:val="en-US" w:eastAsia="zh-CN" w:bidi="ar-SA"/>
        </w:rPr>
      </w:pPr>
      <w:r>
        <w:rPr>
          <w:rStyle w:val="16"/>
          <w:rFonts w:hint="eastAsia" w:ascii="仿宋_GB2312" w:hAnsi="仿宋_GB2312" w:eastAsia="仿宋_GB2312" w:cs="仿宋_GB2312"/>
          <w:bCs w:val="0"/>
          <w:color w:val="auto"/>
          <w:spacing w:val="-4"/>
          <w:kern w:val="2"/>
          <w:sz w:val="28"/>
          <w:szCs w:val="28"/>
          <w:shd w:val="clear" w:color="auto" w:fill="auto"/>
          <w:lang w:val="en-US" w:eastAsia="zh-CN" w:bidi="ar-SA"/>
        </w:rPr>
        <w:t>2、预算执行率</w:t>
      </w:r>
    </w:p>
    <w:p w14:paraId="6CC76099">
      <w:pPr>
        <w:keepNext w:val="0"/>
        <w:keepLines w:val="0"/>
        <w:pageBreakBefore w:val="0"/>
        <w:kinsoku/>
        <w:wordWrap/>
        <w:overflowPunct/>
        <w:topLinePunct w:val="0"/>
        <w:autoSpaceDE/>
        <w:autoSpaceDN/>
        <w:bidi w:val="0"/>
        <w:adjustRightInd/>
        <w:snapToGrid/>
        <w:spacing w:after="0" w:line="540" w:lineRule="exact"/>
        <w:ind w:left="0" w:leftChars="0" w:right="0" w:rightChars="0" w:firstLine="492" w:firstLineChars="181"/>
        <w:textAlignment w:val="auto"/>
        <w:rPr>
          <w:rStyle w:val="16"/>
          <w:rFonts w:hint="eastAsia" w:ascii="仿宋_GB2312" w:hAnsi="仿宋_GB2312" w:eastAsia="仿宋_GB2312" w:cs="仿宋_GB2312"/>
          <w:b w:val="0"/>
          <w:color w:val="auto"/>
          <w:spacing w:val="-4"/>
          <w:sz w:val="28"/>
          <w:szCs w:val="28"/>
          <w:lang w:eastAsia="zh-CN"/>
        </w:rPr>
      </w:pPr>
      <w:r>
        <w:rPr>
          <w:rStyle w:val="16"/>
          <w:rFonts w:hint="eastAsia" w:ascii="仿宋_GB2312" w:hAnsi="仿宋_GB2312" w:eastAsia="仿宋_GB2312" w:cs="仿宋_GB2312"/>
          <w:b w:val="0"/>
          <w:color w:val="auto"/>
          <w:spacing w:val="-4"/>
          <w:sz w:val="28"/>
          <w:szCs w:val="28"/>
          <w:lang w:eastAsia="zh-CN"/>
        </w:rPr>
        <w:t>年初预算数</w:t>
      </w:r>
      <w:r>
        <w:rPr>
          <w:rStyle w:val="16"/>
          <w:rFonts w:hint="eastAsia" w:ascii="仿宋_GB2312" w:hAnsi="仿宋_GB2312" w:eastAsia="仿宋_GB2312" w:cs="仿宋_GB2312"/>
          <w:b w:val="0"/>
          <w:color w:val="auto"/>
          <w:spacing w:val="-4"/>
          <w:sz w:val="28"/>
          <w:szCs w:val="28"/>
          <w:lang w:val="en-US" w:eastAsia="zh-CN"/>
        </w:rPr>
        <w:t>10.78</w:t>
      </w:r>
      <w:r>
        <w:rPr>
          <w:rStyle w:val="16"/>
          <w:rFonts w:hint="eastAsia" w:ascii="仿宋_GB2312" w:hAnsi="仿宋_GB2312" w:eastAsia="仿宋_GB2312" w:cs="仿宋_GB2312"/>
          <w:b w:val="0"/>
          <w:color w:val="auto"/>
          <w:spacing w:val="-4"/>
          <w:sz w:val="28"/>
          <w:szCs w:val="28"/>
          <w:lang w:eastAsia="zh-CN"/>
        </w:rPr>
        <w:t>万元，全年预算数</w:t>
      </w:r>
      <w:r>
        <w:rPr>
          <w:rStyle w:val="16"/>
          <w:rFonts w:hint="eastAsia" w:ascii="仿宋_GB2312" w:hAnsi="仿宋_GB2312" w:eastAsia="仿宋_GB2312" w:cs="仿宋_GB2312"/>
          <w:b w:val="0"/>
          <w:color w:val="auto"/>
          <w:spacing w:val="-4"/>
          <w:sz w:val="28"/>
          <w:szCs w:val="28"/>
          <w:lang w:val="en-US" w:eastAsia="zh-CN"/>
        </w:rPr>
        <w:t>10.78</w:t>
      </w:r>
      <w:r>
        <w:rPr>
          <w:rStyle w:val="16"/>
          <w:rFonts w:hint="eastAsia" w:ascii="仿宋_GB2312" w:hAnsi="仿宋_GB2312" w:eastAsia="仿宋_GB2312" w:cs="仿宋_GB2312"/>
          <w:b w:val="0"/>
          <w:color w:val="auto"/>
          <w:spacing w:val="-4"/>
          <w:sz w:val="28"/>
          <w:szCs w:val="28"/>
          <w:lang w:eastAsia="zh-CN"/>
        </w:rPr>
        <w:t>万元，全年执行数</w:t>
      </w:r>
      <w:r>
        <w:rPr>
          <w:rStyle w:val="16"/>
          <w:rFonts w:hint="eastAsia" w:ascii="仿宋_GB2312" w:hAnsi="仿宋_GB2312" w:eastAsia="仿宋_GB2312" w:cs="仿宋_GB2312"/>
          <w:b w:val="0"/>
          <w:color w:val="auto"/>
          <w:spacing w:val="-4"/>
          <w:sz w:val="28"/>
          <w:szCs w:val="28"/>
          <w:lang w:val="en-US" w:eastAsia="zh-CN"/>
        </w:rPr>
        <w:t>10.78</w:t>
      </w:r>
      <w:r>
        <w:rPr>
          <w:rStyle w:val="16"/>
          <w:rFonts w:hint="eastAsia" w:ascii="仿宋_GB2312" w:hAnsi="仿宋_GB2312" w:eastAsia="仿宋_GB2312" w:cs="仿宋_GB2312"/>
          <w:b w:val="0"/>
          <w:color w:val="auto"/>
          <w:spacing w:val="-4"/>
          <w:sz w:val="28"/>
          <w:szCs w:val="28"/>
          <w:lang w:eastAsia="zh-CN"/>
        </w:rPr>
        <w:t>万元，预算执行率为</w:t>
      </w:r>
      <w:r>
        <w:rPr>
          <w:rStyle w:val="16"/>
          <w:rFonts w:hint="eastAsia" w:ascii="仿宋_GB2312" w:hAnsi="仿宋_GB2312" w:eastAsia="仿宋_GB2312" w:cs="仿宋_GB2312"/>
          <w:b w:val="0"/>
          <w:color w:val="auto"/>
          <w:spacing w:val="-4"/>
          <w:sz w:val="28"/>
          <w:szCs w:val="28"/>
          <w:lang w:val="en-US" w:eastAsia="zh-CN"/>
        </w:rPr>
        <w:t>100%</w:t>
      </w:r>
      <w:r>
        <w:rPr>
          <w:rStyle w:val="16"/>
          <w:rFonts w:hint="eastAsia" w:ascii="仿宋_GB2312" w:hAnsi="仿宋_GB2312" w:eastAsia="仿宋_GB2312" w:cs="仿宋_GB2312"/>
          <w:b w:val="0"/>
          <w:color w:val="auto"/>
          <w:spacing w:val="-4"/>
          <w:sz w:val="28"/>
          <w:szCs w:val="28"/>
          <w:lang w:eastAsia="zh-CN"/>
        </w:rPr>
        <w:t>。</w:t>
      </w:r>
    </w:p>
    <w:p w14:paraId="01435CD0">
      <w:pPr>
        <w:spacing w:line="360" w:lineRule="auto"/>
        <w:ind w:firstLine="546" w:firstLineChars="200"/>
        <w:rPr>
          <w:rStyle w:val="16"/>
          <w:rFonts w:hint="eastAsia" w:ascii="仿宋_GB2312" w:hAnsi="仿宋_GB2312" w:eastAsia="仿宋_GB2312" w:cs="仿宋_GB2312"/>
          <w:bCs w:val="0"/>
          <w:spacing w:val="-4"/>
          <w:kern w:val="2"/>
          <w:sz w:val="28"/>
          <w:szCs w:val="28"/>
          <w:lang w:val="en-US" w:eastAsia="zh-CN" w:bidi="ar-SA"/>
        </w:rPr>
      </w:pPr>
      <w:r>
        <w:rPr>
          <w:rStyle w:val="16"/>
          <w:rFonts w:hint="eastAsia" w:ascii="仿宋_GB2312" w:hAnsi="仿宋_GB2312" w:eastAsia="仿宋_GB2312" w:cs="仿宋_GB2312"/>
          <w:bCs w:val="0"/>
          <w:spacing w:val="-4"/>
          <w:kern w:val="2"/>
          <w:sz w:val="28"/>
          <w:szCs w:val="28"/>
          <w:lang w:val="en-US" w:eastAsia="zh-CN" w:bidi="ar-SA"/>
        </w:rPr>
        <w:t>3、资金使用合规性</w:t>
      </w:r>
    </w:p>
    <w:p w14:paraId="296271DE">
      <w:pPr>
        <w:keepNext w:val="0"/>
        <w:keepLines w:val="0"/>
        <w:pageBreakBefore w:val="0"/>
        <w:kinsoku/>
        <w:wordWrap/>
        <w:overflowPunct/>
        <w:topLinePunct w:val="0"/>
        <w:autoSpaceDE/>
        <w:autoSpaceDN/>
        <w:bidi w:val="0"/>
        <w:adjustRightInd/>
        <w:snapToGrid/>
        <w:spacing w:after="0" w:line="540" w:lineRule="exact"/>
        <w:ind w:left="0" w:leftChars="0" w:right="0" w:rightChars="0" w:firstLine="492" w:firstLineChars="181"/>
        <w:textAlignment w:val="auto"/>
        <w:rPr>
          <w:rStyle w:val="16"/>
          <w:rFonts w:hint="eastAsia" w:ascii="仿宋_GB2312" w:hAnsi="仿宋_GB2312" w:eastAsia="仿宋_GB2312" w:cs="仿宋_GB2312"/>
          <w:b w:val="0"/>
          <w:spacing w:val="-4"/>
          <w:sz w:val="28"/>
          <w:szCs w:val="28"/>
          <w:lang w:eastAsia="zh-CN"/>
        </w:rPr>
      </w:pPr>
      <w:r>
        <w:rPr>
          <w:rStyle w:val="16"/>
          <w:rFonts w:hint="eastAsia" w:ascii="仿宋_GB2312" w:hAnsi="仿宋_GB2312" w:eastAsia="仿宋_GB2312" w:cs="仿宋_GB2312"/>
          <w:b w:val="0"/>
          <w:spacing w:val="-4"/>
          <w:sz w:val="28"/>
          <w:szCs w:val="28"/>
          <w:lang w:eastAsia="zh-CN"/>
        </w:rPr>
        <w:t>项目在实施过程中严格按照政府有关文件规定执行，已落实供养人员及工伤保险人员共计</w:t>
      </w:r>
      <w:r>
        <w:rPr>
          <w:rStyle w:val="16"/>
          <w:rFonts w:hint="eastAsia" w:ascii="仿宋_GB2312" w:hAnsi="仿宋_GB2312" w:eastAsia="仿宋_GB2312" w:cs="仿宋_GB2312"/>
          <w:b w:val="0"/>
          <w:spacing w:val="-4"/>
          <w:sz w:val="28"/>
          <w:szCs w:val="28"/>
          <w:lang w:val="en-US" w:eastAsia="zh-CN"/>
        </w:rPr>
        <w:t>45人</w:t>
      </w:r>
      <w:r>
        <w:rPr>
          <w:rStyle w:val="16"/>
          <w:rFonts w:hint="eastAsia" w:ascii="仿宋_GB2312" w:hAnsi="仿宋_GB2312" w:eastAsia="仿宋_GB2312" w:cs="仿宋_GB2312"/>
          <w:b w:val="0"/>
          <w:spacing w:val="-4"/>
          <w:sz w:val="28"/>
          <w:szCs w:val="28"/>
          <w:lang w:eastAsia="zh-CN"/>
        </w:rPr>
        <w:t>，并履行厅项目内部审核程序，逐级上报领导审批后，由厅财审处通过工商银行代发至本人，并做好付款跟踪服务工作。</w:t>
      </w:r>
    </w:p>
    <w:p w14:paraId="671D3546">
      <w:pPr>
        <w:pStyle w:val="2"/>
        <w:numPr>
          <w:ilvl w:val="0"/>
          <w:numId w:val="0"/>
        </w:numPr>
        <w:ind w:firstLine="546" w:firstLineChars="200"/>
        <w:rPr>
          <w:rStyle w:val="16"/>
          <w:rFonts w:hint="eastAsia" w:ascii="仿宋_GB2312" w:hAnsi="仿宋_GB2312" w:eastAsia="仿宋_GB2312" w:cs="仿宋_GB2312"/>
          <w:bCs w:val="0"/>
          <w:spacing w:val="-4"/>
          <w:kern w:val="2"/>
          <w:sz w:val="28"/>
          <w:szCs w:val="28"/>
          <w:lang w:val="en-US" w:eastAsia="zh-CN" w:bidi="ar-SA"/>
        </w:rPr>
      </w:pPr>
      <w:r>
        <w:rPr>
          <w:rStyle w:val="16"/>
          <w:rFonts w:hint="eastAsia" w:ascii="仿宋_GB2312" w:hAnsi="仿宋_GB2312" w:eastAsia="仿宋_GB2312" w:cs="仿宋_GB2312"/>
          <w:bCs w:val="0"/>
          <w:spacing w:val="-4"/>
          <w:kern w:val="2"/>
          <w:sz w:val="28"/>
          <w:szCs w:val="28"/>
          <w:lang w:val="en-US" w:eastAsia="zh-CN" w:bidi="ar-SA"/>
        </w:rPr>
        <w:t>4、管理制度健全性</w:t>
      </w:r>
    </w:p>
    <w:p w14:paraId="25134689">
      <w:pPr>
        <w:pStyle w:val="2"/>
        <w:numPr>
          <w:ilvl w:val="0"/>
          <w:numId w:val="0"/>
        </w:numPr>
        <w:ind w:firstLine="544" w:firstLineChars="200"/>
        <w:rPr>
          <w:rStyle w:val="16"/>
          <w:rFonts w:hint="eastAsia" w:ascii="仿宋_GB2312" w:hAnsi="仿宋_GB2312" w:eastAsia="仿宋_GB2312" w:cs="仿宋_GB2312"/>
          <w:b w:val="0"/>
          <w:spacing w:val="-4"/>
          <w:kern w:val="2"/>
          <w:sz w:val="28"/>
          <w:szCs w:val="28"/>
          <w:lang w:val="en-US" w:eastAsia="zh-CN" w:bidi="ar-SA"/>
        </w:rPr>
      </w:pPr>
      <w:r>
        <w:rPr>
          <w:rStyle w:val="16"/>
          <w:rFonts w:hint="eastAsia" w:ascii="仿宋_GB2312" w:hAnsi="仿宋_GB2312" w:eastAsia="仿宋_GB2312" w:cs="仿宋_GB2312"/>
          <w:b w:val="0"/>
          <w:spacing w:val="-4"/>
          <w:kern w:val="2"/>
          <w:sz w:val="28"/>
          <w:szCs w:val="28"/>
          <w:lang w:val="en-US" w:eastAsia="zh-CN" w:bidi="ar-SA"/>
        </w:rPr>
        <w:t>已按照厅财审部门财务制度制定了本处室财务和业务管理制度。</w:t>
      </w:r>
    </w:p>
    <w:p w14:paraId="43894A32">
      <w:pPr>
        <w:pStyle w:val="2"/>
        <w:numPr>
          <w:ilvl w:val="0"/>
          <w:numId w:val="0"/>
        </w:numPr>
        <w:ind w:firstLine="546" w:firstLineChars="200"/>
        <w:rPr>
          <w:rStyle w:val="16"/>
          <w:rFonts w:hint="eastAsia" w:ascii="仿宋_GB2312" w:hAnsi="仿宋_GB2312" w:eastAsia="仿宋_GB2312" w:cs="仿宋_GB2312"/>
          <w:bCs w:val="0"/>
          <w:spacing w:val="-4"/>
          <w:kern w:val="2"/>
          <w:sz w:val="28"/>
          <w:szCs w:val="28"/>
          <w:lang w:val="en-US" w:eastAsia="zh-CN" w:bidi="ar-SA"/>
        </w:rPr>
      </w:pPr>
      <w:r>
        <w:rPr>
          <w:rStyle w:val="16"/>
          <w:rFonts w:hint="eastAsia" w:ascii="仿宋_GB2312" w:hAnsi="仿宋_GB2312" w:eastAsia="仿宋_GB2312" w:cs="仿宋_GB2312"/>
          <w:bCs w:val="0"/>
          <w:spacing w:val="-4"/>
          <w:kern w:val="2"/>
          <w:sz w:val="28"/>
          <w:szCs w:val="28"/>
          <w:lang w:val="en-US" w:eastAsia="zh-CN" w:bidi="ar-SA"/>
        </w:rPr>
        <w:t>5、制度执行有效性</w:t>
      </w:r>
    </w:p>
    <w:p w14:paraId="3C4590DD">
      <w:pPr>
        <w:pStyle w:val="2"/>
        <w:widowControl w:val="0"/>
        <w:numPr>
          <w:ilvl w:val="0"/>
          <w:numId w:val="0"/>
        </w:numPr>
        <w:spacing w:after="120"/>
        <w:ind w:firstLine="544" w:firstLineChars="200"/>
        <w:jc w:val="both"/>
        <w:rPr>
          <w:rFonts w:hint="eastAsia" w:ascii="仿宋_GB2312" w:hAnsi="仿宋_GB2312" w:eastAsia="仿宋_GB2312" w:cs="仿宋_GB2312"/>
          <w:sz w:val="28"/>
          <w:szCs w:val="28"/>
          <w:lang w:val="en-US" w:eastAsia="zh-CN"/>
        </w:rPr>
      </w:pPr>
      <w:r>
        <w:rPr>
          <w:rStyle w:val="16"/>
          <w:rFonts w:hint="eastAsia" w:ascii="仿宋_GB2312" w:hAnsi="仿宋_GB2312" w:eastAsia="仿宋_GB2312" w:cs="仿宋_GB2312"/>
          <w:b w:val="0"/>
          <w:spacing w:val="-4"/>
          <w:kern w:val="2"/>
          <w:sz w:val="28"/>
          <w:szCs w:val="28"/>
          <w:lang w:val="en-US" w:eastAsia="zh-CN" w:bidi="ar-SA"/>
        </w:rPr>
        <w:t>严格遵守相关法律法规和相关管理规定。</w:t>
      </w:r>
    </w:p>
    <w:p w14:paraId="20733FE9">
      <w:pPr>
        <w:pStyle w:val="11"/>
        <w:keepNext w:val="0"/>
        <w:keepLines w:val="0"/>
        <w:pageBreakBefore w:val="0"/>
        <w:widowControl/>
        <w:numPr>
          <w:ilvl w:val="0"/>
          <w:numId w:val="7"/>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pacing w:before="0" w:beforeAutospacing="0" w:after="0" w:afterAutospacing="0" w:line="560" w:lineRule="exact"/>
        <w:ind w:left="0" w:right="0" w:firstLine="544" w:firstLineChars="200"/>
        <w:jc w:val="both"/>
        <w:rPr>
          <w:rStyle w:val="16"/>
          <w:rFonts w:hint="eastAsia" w:ascii="仿宋_GB2312" w:hAnsi="仿宋_GB2312" w:eastAsia="仿宋_GB2312" w:cs="仿宋_GB2312"/>
          <w:b w:val="0"/>
          <w:bCs w:val="0"/>
          <w:spacing w:val="-4"/>
          <w:sz w:val="28"/>
          <w:szCs w:val="28"/>
          <w:lang w:val="en-US" w:eastAsia="zh-CN"/>
        </w:rPr>
      </w:pPr>
      <w:r>
        <w:rPr>
          <w:rStyle w:val="16"/>
          <w:rFonts w:hint="eastAsia" w:ascii="仿宋_GB2312" w:hAnsi="仿宋_GB2312" w:eastAsia="仿宋_GB2312" w:cs="仿宋_GB2312"/>
          <w:b w:val="0"/>
          <w:bCs w:val="0"/>
          <w:spacing w:val="-4"/>
          <w:sz w:val="28"/>
          <w:szCs w:val="28"/>
          <w:lang w:val="en-US" w:eastAsia="zh-CN"/>
        </w:rPr>
        <w:t>项目产出情况</w:t>
      </w:r>
    </w:p>
    <w:p w14:paraId="09D26A03">
      <w:pPr>
        <w:keepNext w:val="0"/>
        <w:keepLines w:val="0"/>
        <w:pageBreakBefore w:val="0"/>
        <w:widowControl w:val="0"/>
        <w:numPr>
          <w:ilvl w:val="0"/>
          <w:numId w:val="0"/>
        </w:numPr>
        <w:kinsoku/>
        <w:wordWrap/>
        <w:overflowPunct/>
        <w:topLinePunct w:val="0"/>
        <w:autoSpaceDE/>
        <w:autoSpaceDN/>
        <w:bidi w:val="0"/>
        <w:adjustRightInd/>
        <w:snapToGrid w:val="0"/>
        <w:spacing w:line="560" w:lineRule="exact"/>
        <w:ind w:leftChars="0" w:right="0" w:rightChars="0" w:firstLine="562" w:firstLineChars="200"/>
        <w:jc w:val="both"/>
        <w:textAlignment w:val="auto"/>
        <w:outlineLvl w:val="9"/>
        <w:rPr>
          <w:rStyle w:val="16"/>
          <w:rFonts w:hint="eastAsia" w:ascii="仿宋_GB2312" w:hAnsi="仿宋_GB2312" w:eastAsia="仿宋_GB2312" w:cs="仿宋_GB2312"/>
          <w:b w:val="0"/>
          <w:bCs w:val="0"/>
          <w:color w:val="auto"/>
          <w:spacing w:val="-4"/>
          <w:sz w:val="28"/>
          <w:szCs w:val="28"/>
          <w:lang w:val="en-US" w:eastAsia="zh-CN"/>
        </w:rPr>
      </w:pPr>
      <w:r>
        <w:rPr>
          <w:rFonts w:hint="eastAsia" w:ascii="仿宋_GB2312" w:hAnsi="仿宋_GB2312" w:eastAsia="仿宋_GB2312" w:cs="仿宋_GB2312"/>
          <w:b/>
          <w:bCs/>
          <w:sz w:val="28"/>
          <w:szCs w:val="28"/>
          <w:lang w:val="en-US" w:eastAsia="zh-CN"/>
        </w:rPr>
        <w:t>1、数量指标分析：</w:t>
      </w:r>
      <w:r>
        <w:rPr>
          <w:rFonts w:hint="eastAsia" w:ascii="仿宋_GB2312" w:hAnsi="仿宋_GB2312" w:eastAsia="仿宋_GB2312" w:cs="仿宋_GB2312"/>
          <w:i w:val="0"/>
          <w:caps w:val="0"/>
          <w:color w:val="030303"/>
          <w:spacing w:val="0"/>
          <w:kern w:val="0"/>
          <w:sz w:val="28"/>
          <w:szCs w:val="28"/>
          <w:shd w:val="clear" w:color="auto" w:fill="FFFFFF"/>
          <w:lang w:val="en-US" w:eastAsia="zh-CN" w:bidi="ar"/>
        </w:rPr>
        <w:t>指标1：保障盐湖供养及工伤保险人员45人，指标值：45人，实际完成值：45人，指标完成率100%。</w:t>
      </w:r>
    </w:p>
    <w:p w14:paraId="6B6695BE">
      <w:pPr>
        <w:pStyle w:val="11"/>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pacing w:before="0" w:beforeAutospacing="0" w:after="0" w:afterAutospacing="0" w:line="560" w:lineRule="exact"/>
        <w:ind w:right="0" w:rightChars="0" w:firstLine="562" w:firstLineChars="200"/>
        <w:jc w:val="left"/>
        <w:rPr>
          <w:rFonts w:hint="eastAsia"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2、质量指标分析：</w:t>
      </w:r>
      <w:r>
        <w:rPr>
          <w:rFonts w:hint="eastAsia" w:ascii="仿宋_GB2312" w:hAnsi="仿宋_GB2312" w:eastAsia="仿宋_GB2312" w:cs="仿宋_GB2312"/>
          <w:i w:val="0"/>
          <w:caps w:val="0"/>
          <w:color w:val="030303"/>
          <w:spacing w:val="0"/>
          <w:kern w:val="0"/>
          <w:sz w:val="28"/>
          <w:szCs w:val="28"/>
          <w:shd w:val="clear" w:color="auto" w:fill="FFFFFF"/>
          <w:lang w:val="en-US" w:eastAsia="zh-CN" w:bidi="ar"/>
        </w:rPr>
        <w:t>指标1：保障盐湖供养及工伤保险人员生活待遇补助资金准确率，指标值：100%，实际完成值：100%，指标完成率100%。</w:t>
      </w:r>
    </w:p>
    <w:p w14:paraId="25D84772">
      <w:pPr>
        <w:pStyle w:val="11"/>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pacing w:before="0" w:beforeAutospacing="0" w:after="0" w:afterAutospacing="0" w:line="560" w:lineRule="exact"/>
        <w:ind w:right="0" w:rightChars="0" w:firstLine="562" w:firstLineChars="200"/>
        <w:jc w:val="left"/>
        <w:rPr>
          <w:rFonts w:hint="eastAsia"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3、时效指标分析：</w:t>
      </w:r>
      <w:r>
        <w:rPr>
          <w:rFonts w:hint="eastAsia" w:ascii="仿宋_GB2312" w:hAnsi="仿宋_GB2312" w:eastAsia="仿宋_GB2312" w:cs="仿宋_GB2312"/>
          <w:i w:val="0"/>
          <w:caps w:val="0"/>
          <w:color w:val="030303"/>
          <w:spacing w:val="0"/>
          <w:kern w:val="0"/>
          <w:sz w:val="28"/>
          <w:szCs w:val="28"/>
          <w:shd w:val="clear" w:color="auto" w:fill="FFFFFF"/>
          <w:lang w:val="en-US" w:eastAsia="zh-CN" w:bidi="ar"/>
        </w:rPr>
        <w:t>指标1：及时率，指标值：100%，实际完成值：100%，指标完成率100%；指标2：项目完成时间，指标值：2023年12月30日之前，实际完成值：2023年12月1日之前，指标完成率100%。</w:t>
      </w:r>
    </w:p>
    <w:p w14:paraId="068851C7">
      <w:pPr>
        <w:pStyle w:val="11"/>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pacing w:before="0" w:beforeAutospacing="0" w:after="0" w:afterAutospacing="0" w:line="560" w:lineRule="exact"/>
        <w:ind w:right="0" w:rightChars="0" w:firstLine="562" w:firstLineChars="200"/>
        <w:jc w:val="left"/>
        <w:rPr>
          <w:rStyle w:val="16"/>
          <w:rFonts w:hint="eastAsia" w:ascii="仿宋_GB2312" w:hAnsi="仿宋_GB2312" w:eastAsia="仿宋_GB2312" w:cs="仿宋_GB2312"/>
          <w:b w:val="0"/>
          <w:bCs w:val="0"/>
          <w:color w:val="auto"/>
          <w:spacing w:val="-4"/>
          <w:sz w:val="28"/>
          <w:szCs w:val="28"/>
          <w:lang w:val="en-US" w:eastAsia="zh-CN"/>
        </w:rPr>
      </w:pPr>
      <w:r>
        <w:rPr>
          <w:rFonts w:hint="eastAsia" w:ascii="仿宋_GB2312" w:hAnsi="仿宋_GB2312" w:eastAsia="仿宋_GB2312" w:cs="仿宋_GB2312"/>
          <w:b/>
          <w:bCs/>
          <w:sz w:val="28"/>
          <w:szCs w:val="28"/>
          <w:lang w:val="en-US" w:eastAsia="zh-CN"/>
        </w:rPr>
        <w:t>4、成本指标分析：</w:t>
      </w:r>
      <w:r>
        <w:rPr>
          <w:rFonts w:hint="eastAsia" w:ascii="仿宋_GB2312" w:hAnsi="仿宋_GB2312" w:eastAsia="仿宋_GB2312" w:cs="仿宋_GB2312"/>
          <w:b w:val="0"/>
          <w:bCs w:val="0"/>
          <w:sz w:val="28"/>
          <w:szCs w:val="28"/>
          <w:lang w:val="en-US" w:eastAsia="zh-CN"/>
        </w:rPr>
        <w:t>指标1：项目总额，指标值：10.78万元，实际完成值：10.78万元，指标完成率100%。</w:t>
      </w:r>
    </w:p>
    <w:p w14:paraId="33B44C56">
      <w:pPr>
        <w:pStyle w:val="11"/>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pacing w:before="0" w:beforeAutospacing="0" w:after="0" w:afterAutospacing="0" w:line="560" w:lineRule="exact"/>
        <w:ind w:right="0" w:rightChars="0" w:firstLine="544" w:firstLineChars="200"/>
        <w:jc w:val="left"/>
        <w:rPr>
          <w:rStyle w:val="16"/>
          <w:rFonts w:hint="eastAsia" w:ascii="仿宋_GB2312" w:hAnsi="仿宋_GB2312" w:eastAsia="仿宋_GB2312" w:cs="仿宋_GB2312"/>
          <w:b w:val="0"/>
          <w:bCs w:val="0"/>
          <w:i w:val="0"/>
          <w:caps w:val="0"/>
          <w:color w:val="030303"/>
          <w:spacing w:val="0"/>
          <w:sz w:val="28"/>
          <w:szCs w:val="28"/>
          <w:shd w:val="clear" w:color="auto" w:fill="FFFFFF"/>
        </w:rPr>
      </w:pPr>
      <w:r>
        <w:rPr>
          <w:rStyle w:val="16"/>
          <w:rFonts w:hint="eastAsia" w:ascii="仿宋_GB2312" w:hAnsi="仿宋_GB2312" w:eastAsia="仿宋_GB2312" w:cs="仿宋_GB2312"/>
          <w:b w:val="0"/>
          <w:bCs w:val="0"/>
          <w:spacing w:val="-4"/>
          <w:sz w:val="28"/>
          <w:szCs w:val="28"/>
          <w:lang w:val="en-US" w:eastAsia="zh-CN"/>
        </w:rPr>
        <w:t>（四）项目效益情况。</w:t>
      </w:r>
    </w:p>
    <w:p w14:paraId="6C944EF5">
      <w:pPr>
        <w:keepNext w:val="0"/>
        <w:keepLines w:val="0"/>
        <w:pageBreakBefore w:val="0"/>
        <w:widowControl w:val="0"/>
        <w:numPr>
          <w:ilvl w:val="0"/>
          <w:numId w:val="0"/>
        </w:numPr>
        <w:kinsoku/>
        <w:wordWrap/>
        <w:overflowPunct/>
        <w:topLinePunct w:val="0"/>
        <w:autoSpaceDE/>
        <w:autoSpaceDN/>
        <w:bidi w:val="0"/>
        <w:adjustRightInd/>
        <w:snapToGrid w:val="0"/>
        <w:spacing w:line="560" w:lineRule="exact"/>
        <w:ind w:leftChars="0" w:right="0" w:rightChars="0" w:firstLine="560" w:firstLineChars="200"/>
        <w:jc w:val="both"/>
        <w:textAlignment w:val="auto"/>
        <w:outlineLvl w:val="9"/>
        <w:rPr>
          <w:rFonts w:hint="eastAsia" w:ascii="仿宋_GB2312" w:hAnsi="仿宋_GB2312" w:eastAsia="仿宋_GB2312" w:cs="仿宋_GB2312"/>
          <w:b w:val="0"/>
          <w:bCs w:val="0"/>
          <w:sz w:val="28"/>
          <w:szCs w:val="28"/>
          <w:lang w:val="en-US" w:eastAsia="zh-CN"/>
        </w:rPr>
      </w:pPr>
      <w:r>
        <w:rPr>
          <w:rFonts w:hint="eastAsia" w:ascii="仿宋_GB2312" w:hAnsi="仿宋_GB2312" w:eastAsia="仿宋_GB2312" w:cs="仿宋_GB2312"/>
          <w:b w:val="0"/>
          <w:bCs w:val="0"/>
          <w:sz w:val="28"/>
          <w:szCs w:val="28"/>
          <w:lang w:val="en-US" w:eastAsia="zh-CN"/>
        </w:rPr>
        <w:t>1、</w:t>
      </w:r>
      <w:r>
        <w:rPr>
          <w:rFonts w:hint="eastAsia" w:ascii="仿宋_GB2312" w:hAnsi="仿宋_GB2312" w:eastAsia="仿宋_GB2312" w:cs="仿宋_GB2312"/>
          <w:b/>
          <w:bCs/>
          <w:sz w:val="28"/>
          <w:szCs w:val="28"/>
          <w:lang w:val="en-US" w:eastAsia="zh-CN"/>
        </w:rPr>
        <w:t>社会效益指标分析：</w:t>
      </w:r>
      <w:r>
        <w:rPr>
          <w:rFonts w:hint="eastAsia" w:ascii="仿宋_GB2312" w:hAnsi="仿宋_GB2312" w:eastAsia="仿宋_GB2312" w:cs="仿宋_GB2312"/>
          <w:b w:val="0"/>
          <w:bCs w:val="0"/>
          <w:sz w:val="28"/>
          <w:szCs w:val="28"/>
          <w:lang w:val="en-US" w:eastAsia="zh-CN"/>
        </w:rPr>
        <w:t>指标1：原破产企业盐湖化工厂供养人员41人，工伤保险4人。指标值：效果显著，实际完成值：100%，指标完成率100%；指标2：群体上访事件发生率，指标值：0，实际完成值：0，指标完成率100%。</w:t>
      </w:r>
    </w:p>
    <w:p w14:paraId="23F26EDE">
      <w:pPr>
        <w:keepNext w:val="0"/>
        <w:keepLines w:val="0"/>
        <w:pageBreakBefore w:val="0"/>
        <w:widowControl w:val="0"/>
        <w:numPr>
          <w:ilvl w:val="0"/>
          <w:numId w:val="0"/>
        </w:numPr>
        <w:kinsoku/>
        <w:wordWrap/>
        <w:overflowPunct/>
        <w:topLinePunct w:val="0"/>
        <w:autoSpaceDE/>
        <w:autoSpaceDN/>
        <w:bidi w:val="0"/>
        <w:adjustRightInd/>
        <w:snapToGrid w:val="0"/>
        <w:spacing w:line="560" w:lineRule="exact"/>
        <w:ind w:leftChars="0" w:right="0" w:rightChars="0" w:firstLine="562" w:firstLineChars="200"/>
        <w:jc w:val="both"/>
        <w:textAlignment w:val="auto"/>
        <w:outlineLvl w:val="9"/>
        <w:rPr>
          <w:rFonts w:hint="eastAsia" w:ascii="仿宋_GB2312" w:hAnsi="仿宋_GB2312" w:eastAsia="仿宋_GB2312" w:cs="仿宋_GB2312"/>
          <w:b w:val="0"/>
          <w:bCs w:val="0"/>
          <w:sz w:val="28"/>
          <w:szCs w:val="28"/>
          <w:lang w:val="en-US" w:eastAsia="zh-CN"/>
        </w:rPr>
      </w:pPr>
      <w:r>
        <w:rPr>
          <w:rFonts w:hint="eastAsia" w:ascii="仿宋_GB2312" w:hAnsi="仿宋_GB2312" w:eastAsia="仿宋_GB2312" w:cs="仿宋_GB2312"/>
          <w:b/>
          <w:bCs/>
          <w:sz w:val="28"/>
          <w:szCs w:val="28"/>
          <w:lang w:val="en-US" w:eastAsia="zh-CN"/>
        </w:rPr>
        <w:t>2、可持续影响指标分析：</w:t>
      </w:r>
      <w:r>
        <w:rPr>
          <w:rFonts w:hint="eastAsia" w:ascii="仿宋_GB2312" w:hAnsi="仿宋_GB2312" w:eastAsia="仿宋_GB2312" w:cs="仿宋_GB2312"/>
          <w:b w:val="0"/>
          <w:bCs w:val="0"/>
          <w:sz w:val="28"/>
          <w:szCs w:val="28"/>
          <w:lang w:val="en-US" w:eastAsia="zh-CN"/>
        </w:rPr>
        <w:t>指标1：</w:t>
      </w:r>
      <w:r>
        <w:rPr>
          <w:rFonts w:hint="eastAsia" w:ascii="仿宋_GB2312" w:hAnsi="仿宋_GB2312" w:eastAsia="仿宋_GB2312" w:cs="仿宋_GB2312"/>
          <w:i w:val="0"/>
          <w:caps w:val="0"/>
          <w:color w:val="030303"/>
          <w:spacing w:val="0"/>
          <w:kern w:val="0"/>
          <w:sz w:val="28"/>
          <w:szCs w:val="28"/>
          <w:shd w:val="clear" w:color="auto" w:fill="FFFFFF"/>
          <w:lang w:val="en-US" w:eastAsia="zh-CN" w:bidi="ar"/>
        </w:rPr>
        <w:t>保障盐湖供养及工伤保险人员45人的</w:t>
      </w:r>
      <w:r>
        <w:rPr>
          <w:rFonts w:hint="eastAsia" w:ascii="仿宋_GB2312" w:hAnsi="仿宋_GB2312" w:eastAsia="仿宋_GB2312" w:cs="仿宋_GB2312"/>
          <w:b w:val="0"/>
          <w:bCs w:val="0"/>
          <w:sz w:val="28"/>
          <w:szCs w:val="28"/>
          <w:lang w:val="en-US" w:eastAsia="zh-CN"/>
        </w:rPr>
        <w:t>保持年限，指标值：长期有效，实际完成值：长期有效，指标完成率100%</w:t>
      </w:r>
    </w:p>
    <w:p w14:paraId="5A415EA3">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pacing w:before="0" w:beforeAutospacing="0" w:after="0" w:afterAutospacing="0" w:line="560" w:lineRule="exact"/>
        <w:ind w:left="0" w:right="0" w:firstLine="562" w:firstLineChars="200"/>
        <w:jc w:val="both"/>
        <w:rPr>
          <w:rFonts w:hint="eastAsia" w:ascii="仿宋_GB2312" w:hAnsi="仿宋_GB2312" w:eastAsia="仿宋_GB2312" w:cs="仿宋_GB2312"/>
          <w:b w:val="0"/>
          <w:bCs w:val="0"/>
          <w:kern w:val="2"/>
          <w:sz w:val="28"/>
          <w:szCs w:val="28"/>
          <w:lang w:val="en-US" w:eastAsia="zh-CN" w:bidi="ar-SA"/>
        </w:rPr>
      </w:pPr>
      <w:r>
        <w:rPr>
          <w:rFonts w:hint="eastAsia" w:ascii="仿宋_GB2312" w:hAnsi="仿宋_GB2312" w:eastAsia="仿宋_GB2312" w:cs="仿宋_GB2312"/>
          <w:b/>
          <w:bCs/>
          <w:sz w:val="28"/>
          <w:szCs w:val="28"/>
          <w:lang w:val="en-US" w:eastAsia="zh-CN"/>
        </w:rPr>
        <w:t>3、满意度指标分析：</w:t>
      </w:r>
      <w:r>
        <w:rPr>
          <w:rFonts w:hint="eastAsia" w:ascii="仿宋_GB2312" w:hAnsi="仿宋_GB2312" w:eastAsia="仿宋_GB2312" w:cs="仿宋_GB2312"/>
          <w:b w:val="0"/>
          <w:bCs w:val="0"/>
          <w:kern w:val="2"/>
          <w:sz w:val="28"/>
          <w:szCs w:val="28"/>
          <w:lang w:val="en-US" w:eastAsia="zh-CN" w:bidi="ar-SA"/>
        </w:rPr>
        <w:t>指标1：</w:t>
      </w:r>
      <w:r>
        <w:rPr>
          <w:rFonts w:hint="eastAsia" w:ascii="仿宋_GB2312" w:hAnsi="仿宋_GB2312" w:eastAsia="仿宋_GB2312" w:cs="仿宋_GB2312"/>
          <w:i w:val="0"/>
          <w:caps w:val="0"/>
          <w:color w:val="030303"/>
          <w:spacing w:val="0"/>
          <w:kern w:val="0"/>
          <w:sz w:val="28"/>
          <w:szCs w:val="28"/>
          <w:shd w:val="clear" w:color="auto" w:fill="FFFFFF"/>
          <w:lang w:val="en-US" w:eastAsia="zh-CN" w:bidi="ar"/>
        </w:rPr>
        <w:t>保障盐湖供养及工伤保险人员45人</w:t>
      </w:r>
      <w:r>
        <w:rPr>
          <w:rFonts w:hint="eastAsia" w:ascii="仿宋_GB2312" w:hAnsi="仿宋_GB2312" w:eastAsia="仿宋_GB2312" w:cs="仿宋_GB2312"/>
          <w:b w:val="0"/>
          <w:bCs w:val="0"/>
          <w:kern w:val="2"/>
          <w:sz w:val="28"/>
          <w:szCs w:val="28"/>
          <w:lang w:val="en-US" w:eastAsia="zh-CN" w:bidi="ar-SA"/>
        </w:rPr>
        <w:t>满意度，</w:t>
      </w:r>
      <w:r>
        <w:rPr>
          <w:rFonts w:hint="eastAsia" w:ascii="仿宋_GB2312" w:hAnsi="仿宋_GB2312" w:eastAsia="仿宋_GB2312" w:cs="仿宋_GB2312"/>
          <w:i w:val="0"/>
          <w:caps w:val="0"/>
          <w:color w:val="030303"/>
          <w:spacing w:val="0"/>
          <w:kern w:val="0"/>
          <w:sz w:val="28"/>
          <w:szCs w:val="28"/>
          <w:shd w:val="clear" w:color="auto" w:fill="FFFFFF"/>
          <w:lang w:val="en-US" w:eastAsia="zh-CN" w:bidi="ar"/>
        </w:rPr>
        <w:t>指标值：100%，实际完成值：100%，指标完成率100%。</w:t>
      </w:r>
    </w:p>
    <w:p w14:paraId="2E66EFAA">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pacing w:before="0" w:beforeAutospacing="0" w:after="0" w:afterAutospacing="0" w:line="560" w:lineRule="exact"/>
        <w:ind w:right="0"/>
        <w:jc w:val="both"/>
        <w:rPr>
          <w:rFonts w:hint="eastAsia" w:ascii="仿宋_GB2312" w:hAnsi="仿宋_GB2312" w:eastAsia="仿宋_GB2312" w:cs="仿宋_GB2312"/>
          <w:b/>
          <w:bCs/>
          <w:i w:val="0"/>
          <w:caps w:val="0"/>
          <w:color w:val="030303"/>
          <w:spacing w:val="0"/>
          <w:sz w:val="28"/>
          <w:szCs w:val="28"/>
          <w:shd w:val="clear" w:color="auto" w:fill="FFFFFF"/>
          <w:lang w:val="en-US" w:eastAsia="zh-CN"/>
        </w:rPr>
      </w:pPr>
      <w:r>
        <w:rPr>
          <w:rFonts w:hint="eastAsia" w:ascii="仿宋_GB2312" w:hAnsi="仿宋_GB2312" w:eastAsia="仿宋_GB2312" w:cs="仿宋_GB2312"/>
          <w:b/>
          <w:bCs/>
          <w:i w:val="0"/>
          <w:caps w:val="0"/>
          <w:color w:val="030303"/>
          <w:spacing w:val="0"/>
          <w:sz w:val="28"/>
          <w:szCs w:val="28"/>
          <w:shd w:val="clear" w:color="auto" w:fill="FFFFFF"/>
          <w:lang w:val="en-US" w:eastAsia="zh-CN"/>
        </w:rPr>
        <w:t xml:space="preserve"> </w:t>
      </w:r>
      <w:bookmarkStart w:id="10" w:name="_Toc15131"/>
      <w:r>
        <w:rPr>
          <w:rFonts w:hint="eastAsia" w:ascii="仿宋_GB2312" w:hAnsi="仿宋_GB2312" w:eastAsia="仿宋_GB2312" w:cs="仿宋_GB2312"/>
          <w:b/>
          <w:bCs/>
          <w:i w:val="0"/>
          <w:caps w:val="0"/>
          <w:color w:val="030303"/>
          <w:spacing w:val="0"/>
          <w:sz w:val="28"/>
          <w:szCs w:val="28"/>
          <w:shd w:val="clear" w:color="auto" w:fill="FFFFFF"/>
          <w:lang w:val="en-US" w:eastAsia="zh-CN"/>
        </w:rPr>
        <w:t>五、</w:t>
      </w:r>
      <w:r>
        <w:rPr>
          <w:rStyle w:val="16"/>
          <w:rFonts w:hint="eastAsia" w:ascii="仿宋_GB2312" w:hAnsi="仿宋_GB2312" w:eastAsia="仿宋_GB2312" w:cs="仿宋_GB2312"/>
          <w:b/>
          <w:bCs/>
          <w:i w:val="0"/>
          <w:caps w:val="0"/>
          <w:color w:val="030303"/>
          <w:spacing w:val="0"/>
          <w:sz w:val="28"/>
          <w:szCs w:val="28"/>
          <w:shd w:val="clear" w:color="auto" w:fill="FFFFFF"/>
        </w:rPr>
        <w:t>主要经验及做法</w:t>
      </w:r>
      <w:r>
        <w:rPr>
          <w:rStyle w:val="16"/>
          <w:rFonts w:hint="eastAsia" w:ascii="仿宋_GB2312" w:hAnsi="仿宋_GB2312" w:eastAsia="仿宋_GB2312" w:cs="仿宋_GB2312"/>
          <w:b/>
          <w:bCs/>
          <w:i w:val="0"/>
          <w:caps w:val="0"/>
          <w:color w:val="030303"/>
          <w:spacing w:val="0"/>
          <w:sz w:val="28"/>
          <w:szCs w:val="28"/>
          <w:shd w:val="clear" w:color="auto" w:fill="FFFFFF"/>
          <w:lang w:eastAsia="zh-CN"/>
        </w:rPr>
        <w:t>、</w:t>
      </w:r>
      <w:r>
        <w:rPr>
          <w:rStyle w:val="16"/>
          <w:rFonts w:hint="eastAsia" w:ascii="仿宋_GB2312" w:hAnsi="仿宋_GB2312" w:eastAsia="仿宋_GB2312" w:cs="仿宋_GB2312"/>
          <w:b/>
          <w:bCs/>
          <w:i w:val="0"/>
          <w:caps w:val="0"/>
          <w:color w:val="030303"/>
          <w:spacing w:val="0"/>
          <w:sz w:val="28"/>
          <w:szCs w:val="28"/>
          <w:shd w:val="clear" w:color="auto" w:fill="FFFFFF"/>
        </w:rPr>
        <w:t>存在的问题</w:t>
      </w:r>
      <w:r>
        <w:rPr>
          <w:rStyle w:val="16"/>
          <w:rFonts w:hint="eastAsia" w:ascii="仿宋_GB2312" w:hAnsi="仿宋_GB2312" w:eastAsia="仿宋_GB2312" w:cs="仿宋_GB2312"/>
          <w:b/>
          <w:bCs/>
          <w:i w:val="0"/>
          <w:caps w:val="0"/>
          <w:color w:val="030303"/>
          <w:spacing w:val="0"/>
          <w:sz w:val="28"/>
          <w:szCs w:val="28"/>
          <w:shd w:val="clear" w:color="auto" w:fill="FFFFFF"/>
          <w:lang w:val="en-US" w:eastAsia="zh-CN"/>
        </w:rPr>
        <w:t>及原因分析</w:t>
      </w:r>
      <w:bookmarkEnd w:id="10"/>
    </w:p>
    <w:p w14:paraId="651097C0">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pacing w:before="0" w:beforeAutospacing="0" w:after="0" w:afterAutospacing="0" w:line="560" w:lineRule="exact"/>
        <w:ind w:left="0" w:right="0" w:firstLine="560" w:firstLineChars="200"/>
        <w:jc w:val="both"/>
        <w:rPr>
          <w:rFonts w:hint="eastAsia" w:ascii="仿宋_GB2312" w:hAnsi="仿宋_GB2312" w:eastAsia="仿宋_GB2312" w:cs="仿宋_GB2312"/>
          <w:b w:val="0"/>
          <w:bCs/>
          <w:sz w:val="28"/>
          <w:szCs w:val="28"/>
        </w:rPr>
      </w:pPr>
      <w:r>
        <w:rPr>
          <w:rStyle w:val="16"/>
          <w:rFonts w:hint="eastAsia" w:ascii="仿宋_GB2312" w:hAnsi="仿宋_GB2312" w:eastAsia="仿宋_GB2312" w:cs="仿宋_GB2312"/>
          <w:b w:val="0"/>
          <w:bCs/>
          <w:i w:val="0"/>
          <w:caps w:val="0"/>
          <w:color w:val="030303"/>
          <w:spacing w:val="0"/>
          <w:sz w:val="28"/>
          <w:szCs w:val="28"/>
          <w:shd w:val="clear" w:color="auto" w:fill="FFFFFF"/>
        </w:rPr>
        <w:t>（一）主要经验及做法</w:t>
      </w:r>
    </w:p>
    <w:p w14:paraId="58ACA1B2">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pacing w:before="0" w:beforeAutospacing="0" w:after="0" w:afterAutospacing="0" w:line="560" w:lineRule="exact"/>
        <w:ind w:left="0" w:right="0" w:firstLine="560" w:firstLineChars="200"/>
        <w:jc w:val="both"/>
        <w:rPr>
          <w:rStyle w:val="16"/>
          <w:rFonts w:hint="eastAsia" w:ascii="仿宋_GB2312" w:hAnsi="仿宋_GB2312" w:eastAsia="仿宋_GB2312" w:cs="仿宋_GB2312"/>
          <w:b w:val="0"/>
          <w:spacing w:val="-4"/>
          <w:sz w:val="28"/>
          <w:szCs w:val="28"/>
          <w:lang w:eastAsia="zh-CN"/>
        </w:rPr>
      </w:pPr>
      <w:r>
        <w:rPr>
          <w:rFonts w:hint="eastAsia" w:ascii="仿宋_GB2312" w:hAnsi="仿宋_GB2312" w:eastAsia="仿宋_GB2312" w:cs="仿宋_GB2312"/>
          <w:i w:val="0"/>
          <w:caps w:val="0"/>
          <w:color w:val="030303"/>
          <w:spacing w:val="0"/>
          <w:sz w:val="28"/>
          <w:szCs w:val="28"/>
          <w:shd w:val="clear" w:color="auto" w:fill="FFFFFF"/>
        </w:rPr>
        <w:t>1、</w:t>
      </w:r>
      <w:r>
        <w:rPr>
          <w:rStyle w:val="16"/>
          <w:rFonts w:hint="eastAsia" w:ascii="仿宋_GB2312" w:hAnsi="仿宋_GB2312" w:eastAsia="仿宋_GB2312" w:cs="仿宋_GB2312"/>
          <w:b w:val="0"/>
          <w:spacing w:val="-4"/>
          <w:sz w:val="28"/>
          <w:szCs w:val="28"/>
        </w:rPr>
        <w:t>领导高度重视，成立绩效自评工作领导小组</w:t>
      </w:r>
      <w:r>
        <w:rPr>
          <w:rStyle w:val="16"/>
          <w:rFonts w:hint="eastAsia" w:ascii="仿宋_GB2312" w:hAnsi="仿宋_GB2312" w:eastAsia="仿宋_GB2312" w:cs="仿宋_GB2312"/>
          <w:b w:val="0"/>
          <w:spacing w:val="-4"/>
          <w:sz w:val="28"/>
          <w:szCs w:val="28"/>
          <w:lang w:eastAsia="zh-CN"/>
        </w:rPr>
        <w:t>。</w:t>
      </w:r>
      <w:r>
        <w:rPr>
          <w:rFonts w:hint="eastAsia" w:ascii="仿宋_GB2312" w:hAnsi="仿宋_GB2312" w:eastAsia="仿宋_GB2312" w:cs="仿宋_GB2312"/>
          <w:i w:val="0"/>
          <w:caps w:val="0"/>
          <w:color w:val="auto"/>
          <w:spacing w:val="0"/>
          <w:sz w:val="28"/>
          <w:szCs w:val="28"/>
          <w:shd w:val="clear" w:color="auto" w:fill="FFFFFF"/>
        </w:rPr>
        <w:t>按照厅党组工作部署，深入调查研究，建立健全</w:t>
      </w:r>
      <w:r>
        <w:rPr>
          <w:rFonts w:hint="eastAsia" w:ascii="仿宋_GB2312" w:hAnsi="仿宋_GB2312" w:eastAsia="仿宋_GB2312" w:cs="仿宋_GB2312"/>
          <w:i w:val="0"/>
          <w:caps w:val="0"/>
          <w:color w:val="auto"/>
          <w:spacing w:val="0"/>
          <w:sz w:val="28"/>
          <w:szCs w:val="28"/>
          <w:shd w:val="clear" w:color="auto" w:fill="FFFFFF"/>
          <w:lang w:val="en-US" w:eastAsia="zh-CN"/>
        </w:rPr>
        <w:t>绩效考评</w:t>
      </w:r>
      <w:r>
        <w:rPr>
          <w:rFonts w:hint="eastAsia" w:ascii="仿宋_GB2312" w:hAnsi="仿宋_GB2312" w:eastAsia="仿宋_GB2312" w:cs="仿宋_GB2312"/>
          <w:i w:val="0"/>
          <w:caps w:val="0"/>
          <w:color w:val="auto"/>
          <w:spacing w:val="0"/>
          <w:sz w:val="28"/>
          <w:szCs w:val="28"/>
          <w:shd w:val="clear" w:color="auto" w:fill="FFFFFF"/>
        </w:rPr>
        <w:t>制度</w:t>
      </w:r>
      <w:r>
        <w:rPr>
          <w:rFonts w:hint="eastAsia" w:ascii="仿宋_GB2312" w:hAnsi="仿宋_GB2312" w:eastAsia="仿宋_GB2312" w:cs="仿宋_GB2312"/>
          <w:i w:val="0"/>
          <w:caps w:val="0"/>
          <w:color w:val="auto"/>
          <w:spacing w:val="0"/>
          <w:sz w:val="28"/>
          <w:szCs w:val="28"/>
          <w:shd w:val="clear" w:color="auto" w:fill="FFFFFF"/>
          <w:lang w:eastAsia="zh-CN"/>
        </w:rPr>
        <w:t>，</w:t>
      </w:r>
      <w:r>
        <w:rPr>
          <w:rStyle w:val="16"/>
          <w:rFonts w:hint="eastAsia" w:ascii="仿宋_GB2312" w:hAnsi="仿宋_GB2312" w:eastAsia="仿宋_GB2312" w:cs="仿宋_GB2312"/>
          <w:b w:val="0"/>
          <w:color w:val="auto"/>
          <w:spacing w:val="-4"/>
          <w:sz w:val="28"/>
          <w:szCs w:val="28"/>
        </w:rPr>
        <w:t>主要领导负总责，安排</w:t>
      </w:r>
      <w:r>
        <w:rPr>
          <w:rStyle w:val="16"/>
          <w:rFonts w:hint="eastAsia" w:ascii="仿宋_GB2312" w:hAnsi="仿宋_GB2312" w:eastAsia="仿宋_GB2312" w:cs="仿宋_GB2312"/>
          <w:b w:val="0"/>
          <w:spacing w:val="-4"/>
          <w:sz w:val="28"/>
          <w:szCs w:val="28"/>
        </w:rPr>
        <w:t>专人具体办理，</w:t>
      </w:r>
      <w:r>
        <w:rPr>
          <w:rFonts w:hint="eastAsia" w:ascii="仿宋_GB2312" w:hAnsi="仿宋_GB2312" w:eastAsia="仿宋_GB2312" w:cs="仿宋_GB2312"/>
          <w:i w:val="0"/>
          <w:caps w:val="0"/>
          <w:color w:val="030303"/>
          <w:spacing w:val="0"/>
          <w:sz w:val="28"/>
          <w:szCs w:val="28"/>
          <w:shd w:val="clear" w:color="auto" w:fill="FFFFFF"/>
        </w:rPr>
        <w:t>合理分工，全员参与，</w:t>
      </w:r>
      <w:r>
        <w:rPr>
          <w:rStyle w:val="16"/>
          <w:rFonts w:hint="eastAsia" w:ascii="仿宋_GB2312" w:hAnsi="仿宋_GB2312" w:eastAsia="仿宋_GB2312" w:cs="仿宋_GB2312"/>
          <w:b w:val="0"/>
          <w:spacing w:val="-4"/>
          <w:sz w:val="28"/>
          <w:szCs w:val="28"/>
        </w:rPr>
        <w:t>形成一级抓一级，层层抓落实</w:t>
      </w:r>
      <w:r>
        <w:rPr>
          <w:rStyle w:val="16"/>
          <w:rFonts w:hint="eastAsia" w:ascii="仿宋_GB2312" w:hAnsi="仿宋_GB2312" w:eastAsia="仿宋_GB2312" w:cs="仿宋_GB2312"/>
          <w:b w:val="0"/>
          <w:spacing w:val="-4"/>
          <w:sz w:val="28"/>
          <w:szCs w:val="28"/>
          <w:lang w:eastAsia="zh-CN"/>
        </w:rPr>
        <w:t>。</w:t>
      </w:r>
    </w:p>
    <w:p w14:paraId="7944E0C9">
      <w:pPr>
        <w:keepNext w:val="0"/>
        <w:keepLines w:val="0"/>
        <w:pageBreakBefore w:val="0"/>
        <w:kinsoku/>
        <w:wordWrap/>
        <w:overflowPunct/>
        <w:topLinePunct w:val="0"/>
        <w:autoSpaceDE/>
        <w:autoSpaceDN/>
        <w:bidi w:val="0"/>
        <w:adjustRightInd/>
        <w:snapToGrid/>
        <w:spacing w:after="0" w:line="560" w:lineRule="exact"/>
        <w:ind w:left="0" w:leftChars="0" w:right="0" w:rightChars="0" w:firstLine="492" w:firstLineChars="181"/>
        <w:jc w:val="both"/>
        <w:textAlignment w:val="auto"/>
        <w:rPr>
          <w:rStyle w:val="16"/>
          <w:rFonts w:hint="eastAsia" w:ascii="仿宋_GB2312" w:hAnsi="仿宋_GB2312" w:eastAsia="仿宋_GB2312" w:cs="仿宋_GB2312"/>
          <w:b w:val="0"/>
          <w:spacing w:val="-4"/>
          <w:sz w:val="28"/>
          <w:szCs w:val="28"/>
        </w:rPr>
      </w:pPr>
      <w:r>
        <w:rPr>
          <w:rStyle w:val="16"/>
          <w:rFonts w:hint="eastAsia" w:ascii="仿宋_GB2312" w:hAnsi="仿宋_GB2312" w:eastAsia="仿宋_GB2312" w:cs="仿宋_GB2312"/>
          <w:b w:val="0"/>
          <w:spacing w:val="-4"/>
          <w:sz w:val="28"/>
          <w:szCs w:val="28"/>
          <w:lang w:val="en-US" w:eastAsia="zh-CN"/>
        </w:rPr>
        <w:t>2、</w:t>
      </w:r>
      <w:r>
        <w:rPr>
          <w:rStyle w:val="16"/>
          <w:rFonts w:hint="eastAsia" w:ascii="仿宋_GB2312" w:hAnsi="仿宋_GB2312" w:eastAsia="仿宋_GB2312" w:cs="仿宋_GB2312"/>
          <w:b w:val="0"/>
          <w:spacing w:val="-4"/>
          <w:sz w:val="28"/>
          <w:szCs w:val="28"/>
        </w:rPr>
        <w:t>严格执行相关财经法律法规，项目经费专款专用，抓好项目实施和绩效评价</w:t>
      </w:r>
      <w:r>
        <w:rPr>
          <w:rStyle w:val="16"/>
          <w:rFonts w:hint="eastAsia" w:ascii="仿宋_GB2312" w:hAnsi="仿宋_GB2312" w:eastAsia="仿宋_GB2312" w:cs="仿宋_GB2312"/>
          <w:b w:val="0"/>
          <w:spacing w:val="-4"/>
          <w:sz w:val="28"/>
          <w:szCs w:val="28"/>
          <w:lang w:eastAsia="zh-CN"/>
        </w:rPr>
        <w:t>。</w:t>
      </w:r>
    </w:p>
    <w:p w14:paraId="55F4A5E4">
      <w:pPr>
        <w:keepNext w:val="0"/>
        <w:keepLines w:val="0"/>
        <w:pageBreakBefore w:val="0"/>
        <w:kinsoku/>
        <w:wordWrap/>
        <w:overflowPunct/>
        <w:topLinePunct w:val="0"/>
        <w:autoSpaceDE/>
        <w:autoSpaceDN/>
        <w:bidi w:val="0"/>
        <w:adjustRightInd/>
        <w:snapToGrid/>
        <w:spacing w:after="0" w:line="560" w:lineRule="exact"/>
        <w:ind w:left="0" w:leftChars="0" w:right="0" w:rightChars="0" w:firstLine="492" w:firstLineChars="181"/>
        <w:jc w:val="both"/>
        <w:textAlignment w:val="auto"/>
        <w:rPr>
          <w:rStyle w:val="16"/>
          <w:rFonts w:hint="eastAsia" w:ascii="仿宋_GB2312" w:hAnsi="仿宋_GB2312" w:eastAsia="仿宋_GB2312" w:cs="仿宋_GB2312"/>
          <w:b w:val="0"/>
          <w:spacing w:val="-4"/>
          <w:sz w:val="28"/>
          <w:szCs w:val="28"/>
          <w:lang w:eastAsia="zh-CN"/>
        </w:rPr>
      </w:pPr>
      <w:r>
        <w:rPr>
          <w:rStyle w:val="16"/>
          <w:rFonts w:hint="eastAsia" w:ascii="仿宋_GB2312" w:hAnsi="仿宋_GB2312" w:eastAsia="仿宋_GB2312" w:cs="仿宋_GB2312"/>
          <w:b w:val="0"/>
          <w:spacing w:val="-4"/>
          <w:sz w:val="28"/>
          <w:szCs w:val="28"/>
          <w:lang w:val="en-US" w:eastAsia="zh-CN"/>
        </w:rPr>
        <w:t>3、</w:t>
      </w:r>
      <w:r>
        <w:rPr>
          <w:rStyle w:val="16"/>
          <w:rFonts w:hint="eastAsia" w:ascii="仿宋_GB2312" w:hAnsi="仿宋_GB2312" w:eastAsia="仿宋_GB2312" w:cs="仿宋_GB2312"/>
          <w:b w:val="0"/>
          <w:spacing w:val="-4"/>
          <w:sz w:val="28"/>
          <w:szCs w:val="28"/>
        </w:rPr>
        <w:t>科学制定方案。为使绩效评价工作平稳有序进行，在正式评价开展前拟定了详细的工作方案，方案内容包括评价内容、评价方法、评价依据、时间安排、工作步骤、工作要求等方面</w:t>
      </w:r>
      <w:r>
        <w:rPr>
          <w:rStyle w:val="16"/>
          <w:rFonts w:hint="eastAsia" w:ascii="仿宋_GB2312" w:hAnsi="仿宋_GB2312" w:eastAsia="仿宋_GB2312" w:cs="仿宋_GB2312"/>
          <w:b w:val="0"/>
          <w:spacing w:val="-4"/>
          <w:sz w:val="28"/>
          <w:szCs w:val="28"/>
          <w:lang w:eastAsia="zh-CN"/>
        </w:rPr>
        <w:t>。</w:t>
      </w:r>
    </w:p>
    <w:p w14:paraId="3AADB9B0">
      <w:pPr>
        <w:keepNext w:val="0"/>
        <w:keepLines w:val="0"/>
        <w:pageBreakBefore w:val="0"/>
        <w:kinsoku/>
        <w:wordWrap/>
        <w:overflowPunct/>
        <w:topLinePunct w:val="0"/>
        <w:autoSpaceDE/>
        <w:autoSpaceDN/>
        <w:bidi w:val="0"/>
        <w:adjustRightInd/>
        <w:snapToGrid/>
        <w:spacing w:after="0" w:line="560" w:lineRule="exact"/>
        <w:ind w:left="0" w:leftChars="0" w:right="0" w:rightChars="0" w:firstLine="492" w:firstLineChars="181"/>
        <w:jc w:val="both"/>
        <w:textAlignment w:val="auto"/>
        <w:rPr>
          <w:rStyle w:val="16"/>
          <w:rFonts w:hint="eastAsia" w:ascii="仿宋_GB2312" w:hAnsi="仿宋_GB2312" w:eastAsia="仿宋_GB2312" w:cs="仿宋_GB2312"/>
          <w:b w:val="0"/>
          <w:spacing w:val="-4"/>
          <w:sz w:val="28"/>
          <w:szCs w:val="28"/>
        </w:rPr>
      </w:pPr>
      <w:r>
        <w:rPr>
          <w:rStyle w:val="16"/>
          <w:rFonts w:hint="eastAsia" w:ascii="仿宋_GB2312" w:hAnsi="仿宋_GB2312" w:eastAsia="仿宋_GB2312" w:cs="仿宋_GB2312"/>
          <w:b w:val="0"/>
          <w:spacing w:val="-4"/>
          <w:sz w:val="28"/>
          <w:szCs w:val="28"/>
          <w:lang w:val="en-US" w:eastAsia="zh-CN"/>
        </w:rPr>
        <w:t>4、</w:t>
      </w:r>
      <w:r>
        <w:rPr>
          <w:rStyle w:val="16"/>
          <w:rFonts w:hint="eastAsia" w:ascii="仿宋_GB2312" w:hAnsi="仿宋_GB2312" w:eastAsia="仿宋_GB2312" w:cs="仿宋_GB2312"/>
          <w:b w:val="0"/>
          <w:spacing w:val="-4"/>
          <w:sz w:val="28"/>
          <w:szCs w:val="28"/>
        </w:rPr>
        <w:t>业务人员工作积极、认真负责，抓好项目实施的绩效评价。</w:t>
      </w:r>
    </w:p>
    <w:p w14:paraId="22343DEA">
      <w:pPr>
        <w:keepNext w:val="0"/>
        <w:keepLines w:val="0"/>
        <w:pageBreakBefore w:val="0"/>
        <w:kinsoku/>
        <w:wordWrap/>
        <w:overflowPunct/>
        <w:topLinePunct w:val="0"/>
        <w:autoSpaceDE/>
        <w:autoSpaceDN/>
        <w:bidi w:val="0"/>
        <w:adjustRightInd/>
        <w:snapToGrid/>
        <w:spacing w:after="0" w:line="560" w:lineRule="exact"/>
        <w:ind w:left="0" w:leftChars="0" w:right="0" w:rightChars="0" w:firstLine="492" w:firstLineChars="181"/>
        <w:jc w:val="both"/>
        <w:textAlignment w:val="auto"/>
        <w:rPr>
          <w:rStyle w:val="16"/>
          <w:rFonts w:hint="eastAsia" w:ascii="仿宋_GB2312" w:hAnsi="仿宋_GB2312" w:eastAsia="仿宋_GB2312" w:cs="仿宋_GB2312"/>
          <w:b w:val="0"/>
          <w:bCs w:val="0"/>
          <w:spacing w:val="-4"/>
          <w:sz w:val="28"/>
          <w:szCs w:val="28"/>
          <w:lang w:eastAsia="zh-CN"/>
        </w:rPr>
      </w:pPr>
      <w:r>
        <w:rPr>
          <w:rStyle w:val="16"/>
          <w:rFonts w:hint="eastAsia" w:ascii="仿宋_GB2312" w:hAnsi="仿宋_GB2312" w:eastAsia="仿宋_GB2312" w:cs="仿宋_GB2312"/>
          <w:b w:val="0"/>
          <w:bCs w:val="0"/>
          <w:spacing w:val="-4"/>
          <w:sz w:val="28"/>
          <w:szCs w:val="28"/>
          <w:lang w:eastAsia="zh-CN"/>
        </w:rPr>
        <w:t>（二）存在的问题及原因分析存在的问题：</w:t>
      </w:r>
    </w:p>
    <w:p w14:paraId="75680765">
      <w:pPr>
        <w:keepNext w:val="0"/>
        <w:keepLines w:val="0"/>
        <w:pageBreakBefore w:val="0"/>
        <w:kinsoku/>
        <w:wordWrap/>
        <w:overflowPunct/>
        <w:topLinePunct w:val="0"/>
        <w:autoSpaceDE/>
        <w:autoSpaceDN/>
        <w:bidi w:val="0"/>
        <w:adjustRightInd/>
        <w:snapToGrid/>
        <w:spacing w:after="0" w:line="560" w:lineRule="exact"/>
        <w:ind w:left="0" w:leftChars="0" w:right="0" w:rightChars="0" w:firstLine="506" w:firstLineChars="181"/>
        <w:jc w:val="both"/>
        <w:textAlignment w:val="auto"/>
        <w:rPr>
          <w:rStyle w:val="16"/>
          <w:rFonts w:hint="eastAsia" w:ascii="仿宋_GB2312" w:hAnsi="仿宋_GB2312" w:eastAsia="仿宋_GB2312" w:cs="仿宋_GB2312"/>
          <w:b/>
          <w:bCs/>
          <w:spacing w:val="-4"/>
          <w:sz w:val="28"/>
          <w:szCs w:val="28"/>
          <w:lang w:eastAsia="zh-CN"/>
        </w:rPr>
      </w:pPr>
      <w:r>
        <w:rPr>
          <w:rFonts w:hint="eastAsia" w:ascii="仿宋_GB2312" w:hAnsi="仿宋_GB2312" w:eastAsia="仿宋_GB2312" w:cs="仿宋_GB2312"/>
          <w:b w:val="0"/>
          <w:bCs w:val="0"/>
          <w:kern w:val="2"/>
          <w:sz w:val="28"/>
          <w:szCs w:val="28"/>
          <w:lang w:val="en-US" w:eastAsia="zh-CN" w:bidi="ar-SA"/>
        </w:rPr>
        <w:t>存在的问题：</w:t>
      </w:r>
    </w:p>
    <w:p w14:paraId="31A8D859">
      <w:pPr>
        <w:keepNext w:val="0"/>
        <w:keepLines w:val="0"/>
        <w:pageBreakBefore w:val="0"/>
        <w:numPr>
          <w:ilvl w:val="0"/>
          <w:numId w:val="8"/>
        </w:numPr>
        <w:kinsoku/>
        <w:wordWrap/>
        <w:overflowPunct/>
        <w:topLinePunct w:val="0"/>
        <w:autoSpaceDE/>
        <w:autoSpaceDN/>
        <w:bidi w:val="0"/>
        <w:adjustRightInd/>
        <w:snapToGrid/>
        <w:spacing w:after="0" w:line="560" w:lineRule="exact"/>
        <w:ind w:left="0" w:leftChars="0" w:right="0" w:rightChars="0" w:firstLine="506" w:firstLineChars="181"/>
        <w:jc w:val="both"/>
        <w:textAlignment w:val="auto"/>
        <w:rPr>
          <w:rFonts w:hint="eastAsia" w:ascii="仿宋_GB2312" w:hAnsi="仿宋_GB2312" w:eastAsia="仿宋_GB2312" w:cs="仿宋_GB2312"/>
          <w:i w:val="0"/>
          <w:caps w:val="0"/>
          <w:color w:val="030303"/>
          <w:spacing w:val="0"/>
          <w:sz w:val="28"/>
          <w:szCs w:val="28"/>
          <w:shd w:val="clear" w:color="auto" w:fill="FFFFFF"/>
        </w:rPr>
      </w:pPr>
      <w:r>
        <w:rPr>
          <w:rFonts w:hint="eastAsia" w:ascii="仿宋_GB2312" w:hAnsi="仿宋_GB2312" w:eastAsia="仿宋_GB2312" w:cs="仿宋_GB2312"/>
          <w:i w:val="0"/>
          <w:caps w:val="0"/>
          <w:color w:val="030303"/>
          <w:spacing w:val="0"/>
          <w:sz w:val="28"/>
          <w:szCs w:val="28"/>
          <w:shd w:val="clear" w:color="auto" w:fill="FFFFFF"/>
        </w:rPr>
        <w:t>作为项目实施部门，对绩效考核还缺乏充分的认识，快速反应的意识有待加强，服务方式有待改进，服务质量有待提高，管理制度还需要进一步完善和健全。</w:t>
      </w:r>
    </w:p>
    <w:p w14:paraId="132C657B">
      <w:pPr>
        <w:keepNext w:val="0"/>
        <w:keepLines w:val="0"/>
        <w:pageBreakBefore w:val="0"/>
        <w:numPr>
          <w:ilvl w:val="0"/>
          <w:numId w:val="8"/>
        </w:numPr>
        <w:kinsoku/>
        <w:wordWrap/>
        <w:overflowPunct/>
        <w:topLinePunct w:val="0"/>
        <w:autoSpaceDE/>
        <w:autoSpaceDN/>
        <w:bidi w:val="0"/>
        <w:adjustRightInd/>
        <w:snapToGrid/>
        <w:spacing w:after="0" w:line="560" w:lineRule="exact"/>
        <w:ind w:left="0" w:leftChars="0" w:right="0" w:rightChars="0" w:firstLine="506" w:firstLineChars="181"/>
        <w:jc w:val="both"/>
        <w:textAlignment w:val="auto"/>
        <w:rPr>
          <w:rFonts w:hint="eastAsia" w:ascii="仿宋_GB2312" w:hAnsi="仿宋_GB2312" w:eastAsia="仿宋_GB2312" w:cs="仿宋_GB2312"/>
          <w:i w:val="0"/>
          <w:caps w:val="0"/>
          <w:color w:val="030303"/>
          <w:spacing w:val="0"/>
          <w:sz w:val="28"/>
          <w:szCs w:val="28"/>
          <w:shd w:val="clear" w:color="auto" w:fill="FFFFFF"/>
        </w:rPr>
      </w:pPr>
      <w:r>
        <w:rPr>
          <w:rFonts w:hint="eastAsia" w:ascii="仿宋_GB2312" w:hAnsi="仿宋_GB2312" w:eastAsia="仿宋_GB2312" w:cs="仿宋_GB2312"/>
          <w:i w:val="0"/>
          <w:caps w:val="0"/>
          <w:color w:val="030303"/>
          <w:spacing w:val="0"/>
          <w:sz w:val="28"/>
          <w:szCs w:val="28"/>
          <w:shd w:val="clear" w:color="auto" w:fill="FFFFFF"/>
          <w:lang w:val="en-US" w:eastAsia="zh-CN"/>
        </w:rPr>
        <w:t>还需</w:t>
      </w:r>
      <w:r>
        <w:rPr>
          <w:rFonts w:hint="eastAsia" w:ascii="仿宋_GB2312" w:hAnsi="仿宋_GB2312" w:eastAsia="仿宋_GB2312" w:cs="仿宋_GB2312"/>
          <w:i w:val="0"/>
          <w:caps w:val="0"/>
          <w:color w:val="030303"/>
          <w:spacing w:val="0"/>
          <w:sz w:val="28"/>
          <w:szCs w:val="28"/>
          <w:shd w:val="clear" w:color="auto" w:fill="FFFFFF"/>
        </w:rPr>
        <w:t>强化财务工作规范化管理，进一步严格财务管理制度，充分强化内部控制系统信息化服务。</w:t>
      </w:r>
    </w:p>
    <w:p w14:paraId="182A7435">
      <w:pPr>
        <w:keepNext w:val="0"/>
        <w:keepLines w:val="0"/>
        <w:pageBreakBefore w:val="0"/>
        <w:kinsoku/>
        <w:wordWrap/>
        <w:overflowPunct/>
        <w:topLinePunct w:val="0"/>
        <w:autoSpaceDE/>
        <w:autoSpaceDN/>
        <w:bidi w:val="0"/>
        <w:adjustRightInd/>
        <w:snapToGrid/>
        <w:spacing w:after="0" w:line="560" w:lineRule="exact"/>
        <w:ind w:left="0" w:leftChars="0" w:right="0" w:rightChars="0" w:firstLine="506" w:firstLineChars="181"/>
        <w:jc w:val="both"/>
        <w:textAlignment w:val="auto"/>
        <w:rPr>
          <w:rFonts w:hint="eastAsia" w:ascii="仿宋_GB2312" w:hAnsi="仿宋_GB2312" w:eastAsia="仿宋_GB2312" w:cs="仿宋_GB2312"/>
          <w:b w:val="0"/>
          <w:bCs w:val="0"/>
          <w:kern w:val="2"/>
          <w:sz w:val="28"/>
          <w:szCs w:val="28"/>
          <w:lang w:val="en-US" w:eastAsia="zh-CN" w:bidi="ar-SA"/>
        </w:rPr>
      </w:pPr>
      <w:r>
        <w:rPr>
          <w:rFonts w:hint="eastAsia" w:ascii="仿宋_GB2312" w:hAnsi="仿宋_GB2312" w:eastAsia="仿宋_GB2312" w:cs="仿宋_GB2312"/>
          <w:b w:val="0"/>
          <w:bCs w:val="0"/>
          <w:kern w:val="2"/>
          <w:sz w:val="28"/>
          <w:szCs w:val="28"/>
          <w:lang w:val="en-US" w:eastAsia="zh-CN" w:bidi="ar-SA"/>
        </w:rPr>
        <w:t>原因分析：</w:t>
      </w:r>
    </w:p>
    <w:p w14:paraId="6563E5AB">
      <w:pPr>
        <w:keepNext w:val="0"/>
        <w:keepLines w:val="0"/>
        <w:pageBreakBefore w:val="0"/>
        <w:kinsoku/>
        <w:wordWrap/>
        <w:overflowPunct/>
        <w:topLinePunct w:val="0"/>
        <w:autoSpaceDE/>
        <w:autoSpaceDN/>
        <w:bidi w:val="0"/>
        <w:adjustRightInd/>
        <w:snapToGrid/>
        <w:spacing w:after="0" w:line="560" w:lineRule="exact"/>
        <w:ind w:left="0" w:leftChars="0" w:right="0" w:rightChars="0" w:firstLine="640"/>
        <w:textAlignment w:val="auto"/>
        <w:rPr>
          <w:rStyle w:val="16"/>
          <w:rFonts w:hint="eastAsia" w:ascii="仿宋_GB2312" w:hAnsi="仿宋_GB2312" w:eastAsia="仿宋_GB2312" w:cs="仿宋_GB2312"/>
          <w:b w:val="0"/>
          <w:spacing w:val="-4"/>
          <w:sz w:val="28"/>
          <w:szCs w:val="28"/>
        </w:rPr>
      </w:pPr>
      <w:r>
        <w:rPr>
          <w:rStyle w:val="16"/>
          <w:rFonts w:hint="eastAsia" w:ascii="仿宋_GB2312" w:hAnsi="仿宋_GB2312" w:eastAsia="仿宋_GB2312" w:cs="仿宋_GB2312"/>
          <w:b w:val="0"/>
          <w:spacing w:val="-4"/>
          <w:sz w:val="28"/>
          <w:szCs w:val="28"/>
          <w:highlight w:val="none"/>
          <w:lang w:eastAsia="zh-CN"/>
        </w:rPr>
        <w:t>原因为</w:t>
      </w:r>
      <w:r>
        <w:rPr>
          <w:rStyle w:val="16"/>
          <w:rFonts w:hint="eastAsia" w:ascii="仿宋_GB2312" w:hAnsi="仿宋_GB2312" w:eastAsia="仿宋_GB2312" w:cs="仿宋_GB2312"/>
          <w:b w:val="0"/>
          <w:spacing w:val="-4"/>
          <w:sz w:val="28"/>
          <w:szCs w:val="28"/>
          <w:highlight w:val="none"/>
        </w:rPr>
        <w:t>编制的项目自评指标体系不够精细，绩效目标不具体，绩效目标未完全细化，分解工作任务</w:t>
      </w:r>
      <w:r>
        <w:rPr>
          <w:rStyle w:val="16"/>
          <w:rFonts w:hint="eastAsia" w:ascii="仿宋_GB2312" w:hAnsi="仿宋_GB2312" w:eastAsia="仿宋_GB2312" w:cs="仿宋_GB2312"/>
          <w:b w:val="0"/>
          <w:spacing w:val="-4"/>
          <w:sz w:val="28"/>
          <w:szCs w:val="28"/>
          <w:highlight w:val="none"/>
          <w:lang w:eastAsia="zh-CN"/>
        </w:rPr>
        <w:t>还</w:t>
      </w:r>
      <w:r>
        <w:rPr>
          <w:rStyle w:val="16"/>
          <w:rFonts w:hint="eastAsia" w:ascii="仿宋_GB2312" w:hAnsi="仿宋_GB2312" w:eastAsia="仿宋_GB2312" w:cs="仿宋_GB2312"/>
          <w:b w:val="0"/>
          <w:spacing w:val="-4"/>
          <w:sz w:val="28"/>
          <w:szCs w:val="28"/>
          <w:highlight w:val="none"/>
        </w:rPr>
        <w:t>不够具体</w:t>
      </w:r>
      <w:r>
        <w:rPr>
          <w:rStyle w:val="16"/>
          <w:rFonts w:hint="eastAsia" w:ascii="仿宋_GB2312" w:hAnsi="仿宋_GB2312" w:eastAsia="仿宋_GB2312" w:cs="仿宋_GB2312"/>
          <w:b w:val="0"/>
          <w:spacing w:val="-4"/>
          <w:sz w:val="28"/>
          <w:szCs w:val="28"/>
          <w:highlight w:val="none"/>
          <w:lang w:eastAsia="zh-CN"/>
        </w:rPr>
        <w:t>。</w:t>
      </w:r>
    </w:p>
    <w:p w14:paraId="6E530245">
      <w:pPr>
        <w:keepNext w:val="0"/>
        <w:keepLines w:val="0"/>
        <w:pageBreakBefore w:val="0"/>
        <w:numPr>
          <w:ilvl w:val="0"/>
          <w:numId w:val="9"/>
        </w:numPr>
        <w:kinsoku/>
        <w:wordWrap/>
        <w:overflowPunct/>
        <w:topLinePunct w:val="0"/>
        <w:autoSpaceDE/>
        <w:autoSpaceDN/>
        <w:bidi w:val="0"/>
        <w:adjustRightInd/>
        <w:snapToGrid/>
        <w:spacing w:after="0" w:line="560" w:lineRule="exact"/>
        <w:ind w:left="0" w:leftChars="0" w:right="0" w:rightChars="0" w:firstLine="640"/>
        <w:textAlignment w:val="auto"/>
        <w:outlineLvl w:val="0"/>
        <w:rPr>
          <w:rStyle w:val="16"/>
          <w:rFonts w:hint="eastAsia" w:ascii="仿宋_GB2312" w:hAnsi="仿宋_GB2312" w:eastAsia="仿宋_GB2312" w:cs="仿宋_GB2312"/>
          <w:b w:val="0"/>
          <w:bCs w:val="0"/>
          <w:spacing w:val="-4"/>
          <w:sz w:val="28"/>
          <w:szCs w:val="28"/>
          <w:lang w:val="en-US" w:eastAsia="zh-CN"/>
        </w:rPr>
      </w:pPr>
      <w:bookmarkStart w:id="11" w:name="_Toc4534"/>
      <w:r>
        <w:rPr>
          <w:rStyle w:val="16"/>
          <w:rFonts w:hint="eastAsia" w:ascii="仿宋_GB2312" w:hAnsi="仿宋_GB2312" w:eastAsia="仿宋_GB2312" w:cs="仿宋_GB2312"/>
          <w:b w:val="0"/>
          <w:bCs w:val="0"/>
          <w:spacing w:val="-4"/>
          <w:sz w:val="28"/>
          <w:szCs w:val="28"/>
          <w:lang w:val="en-US" w:eastAsia="zh-CN"/>
        </w:rPr>
        <w:t>有关建议：</w:t>
      </w:r>
      <w:bookmarkEnd w:id="11"/>
    </w:p>
    <w:p w14:paraId="27D6F42A">
      <w:pPr>
        <w:pStyle w:val="2"/>
        <w:ind w:left="0" w:leftChars="0" w:firstLine="544" w:firstLineChars="200"/>
        <w:rPr>
          <w:rStyle w:val="16"/>
          <w:rFonts w:hint="eastAsia" w:ascii="仿宋_GB2312" w:hAnsi="仿宋_GB2312" w:eastAsia="仿宋_GB2312" w:cs="仿宋_GB2312"/>
          <w:b w:val="0"/>
          <w:spacing w:val="-4"/>
          <w:kern w:val="2"/>
          <w:sz w:val="28"/>
          <w:szCs w:val="28"/>
          <w:highlight w:val="none"/>
          <w:lang w:val="en-US" w:eastAsia="zh-CN" w:bidi="ar-SA"/>
        </w:rPr>
      </w:pPr>
      <w:r>
        <w:rPr>
          <w:rStyle w:val="16"/>
          <w:rFonts w:hint="eastAsia" w:ascii="仿宋_GB2312" w:hAnsi="仿宋_GB2312" w:eastAsia="仿宋_GB2312" w:cs="仿宋_GB2312"/>
          <w:b w:val="0"/>
          <w:spacing w:val="-4"/>
          <w:kern w:val="2"/>
          <w:sz w:val="28"/>
          <w:szCs w:val="28"/>
          <w:highlight w:val="none"/>
          <w:lang w:val="en-US" w:eastAsia="zh-CN" w:bidi="ar-SA"/>
        </w:rPr>
        <w:t>无</w:t>
      </w:r>
    </w:p>
    <w:p w14:paraId="1FD83A4B">
      <w:pPr>
        <w:keepNext w:val="0"/>
        <w:keepLines w:val="0"/>
        <w:pageBreakBefore w:val="0"/>
        <w:numPr>
          <w:ilvl w:val="0"/>
          <w:numId w:val="9"/>
        </w:numPr>
        <w:kinsoku/>
        <w:wordWrap/>
        <w:overflowPunct/>
        <w:topLinePunct w:val="0"/>
        <w:autoSpaceDE/>
        <w:autoSpaceDN/>
        <w:bidi w:val="0"/>
        <w:adjustRightInd/>
        <w:snapToGrid/>
        <w:spacing w:after="0" w:line="560" w:lineRule="exact"/>
        <w:ind w:left="0" w:leftChars="0" w:right="0" w:rightChars="0" w:firstLine="640" w:firstLineChars="0"/>
        <w:textAlignment w:val="auto"/>
        <w:outlineLvl w:val="0"/>
        <w:rPr>
          <w:rStyle w:val="16"/>
          <w:rFonts w:hint="eastAsia" w:ascii="仿宋_GB2312" w:hAnsi="仿宋_GB2312" w:eastAsia="仿宋_GB2312" w:cs="仿宋_GB2312"/>
          <w:b w:val="0"/>
          <w:bCs w:val="0"/>
          <w:spacing w:val="-4"/>
          <w:sz w:val="28"/>
          <w:szCs w:val="28"/>
          <w:lang w:eastAsia="zh-CN"/>
        </w:rPr>
      </w:pPr>
      <w:bookmarkStart w:id="12" w:name="_Toc11134"/>
      <w:r>
        <w:rPr>
          <w:rStyle w:val="16"/>
          <w:rFonts w:hint="eastAsia" w:ascii="仿宋_GB2312" w:hAnsi="仿宋_GB2312" w:eastAsia="仿宋_GB2312" w:cs="仿宋_GB2312"/>
          <w:b w:val="0"/>
          <w:bCs w:val="0"/>
          <w:spacing w:val="-4"/>
          <w:sz w:val="28"/>
          <w:szCs w:val="28"/>
          <w:lang w:eastAsia="zh-CN"/>
        </w:rPr>
        <w:t>其他需要说明的问题：</w:t>
      </w:r>
      <w:bookmarkEnd w:id="12"/>
    </w:p>
    <w:p w14:paraId="54E2BBBA">
      <w:pPr>
        <w:keepNext w:val="0"/>
        <w:keepLines w:val="0"/>
        <w:pageBreakBefore w:val="0"/>
        <w:numPr>
          <w:ilvl w:val="0"/>
          <w:numId w:val="0"/>
        </w:numPr>
        <w:kinsoku/>
        <w:wordWrap/>
        <w:overflowPunct/>
        <w:topLinePunct w:val="0"/>
        <w:autoSpaceDE/>
        <w:autoSpaceDN/>
        <w:bidi w:val="0"/>
        <w:adjustRightInd/>
        <w:snapToGrid/>
        <w:spacing w:after="0" w:line="560" w:lineRule="exact"/>
        <w:ind w:left="640" w:leftChars="0" w:right="0" w:rightChars="0"/>
        <w:textAlignment w:val="auto"/>
        <w:rPr>
          <w:rStyle w:val="16"/>
          <w:rFonts w:hint="eastAsia" w:ascii="仿宋_GB2312" w:hAnsi="仿宋_GB2312" w:eastAsia="仿宋_GB2312" w:cs="仿宋_GB2312"/>
          <w:b w:val="0"/>
          <w:spacing w:val="-4"/>
          <w:sz w:val="28"/>
          <w:szCs w:val="28"/>
        </w:rPr>
      </w:pPr>
      <w:r>
        <w:rPr>
          <w:rStyle w:val="16"/>
          <w:rFonts w:hint="eastAsia" w:ascii="仿宋_GB2312" w:hAnsi="仿宋_GB2312" w:eastAsia="仿宋_GB2312" w:cs="仿宋_GB2312"/>
          <w:b w:val="0"/>
          <w:spacing w:val="-4"/>
          <w:sz w:val="28"/>
          <w:szCs w:val="28"/>
          <w:lang w:val="en-US" w:eastAsia="zh-CN"/>
        </w:rPr>
        <w:t>无</w:t>
      </w:r>
    </w:p>
    <w:p w14:paraId="36CB5BC6">
      <w:pPr>
        <w:pStyle w:val="12"/>
        <w:jc w:val="both"/>
        <w:outlineLvl w:val="9"/>
        <w:rPr>
          <w:rFonts w:hint="eastAsia" w:ascii="仿宋_GB2312" w:hAnsi="仿宋_GB2312" w:eastAsia="仿宋_GB2312" w:cs="仿宋_GB2312"/>
          <w:sz w:val="28"/>
          <w:szCs w:val="28"/>
        </w:rPr>
      </w:pPr>
    </w:p>
    <w:p w14:paraId="26FF991C">
      <w:pPr>
        <w:pStyle w:val="12"/>
        <w:jc w:val="both"/>
        <w:outlineLvl w:val="9"/>
        <w:rPr>
          <w:rFonts w:hint="eastAsia" w:ascii="仿宋_GB2312" w:hAnsi="仿宋_GB2312" w:eastAsia="仿宋_GB2312" w:cs="仿宋_GB2312"/>
          <w:sz w:val="28"/>
          <w:szCs w:val="28"/>
        </w:rPr>
      </w:pPr>
    </w:p>
    <w:p w14:paraId="1DF31225">
      <w:pPr>
        <w:pStyle w:val="12"/>
        <w:jc w:val="both"/>
        <w:outlineLvl w:val="9"/>
        <w:rPr>
          <w:rFonts w:hint="eastAsia" w:ascii="新宋体" w:hAnsi="新宋体" w:eastAsia="新宋体" w:cs="新宋体"/>
          <w:sz w:val="28"/>
          <w:szCs w:val="28"/>
        </w:rPr>
      </w:pPr>
      <w:bookmarkStart w:id="13" w:name="_GoBack"/>
      <w:bookmarkEnd w:id="13"/>
    </w:p>
    <w:p w14:paraId="1FF6E09D">
      <w:pPr>
        <w:rPr>
          <w:rFonts w:hint="eastAsia" w:ascii="新宋体" w:hAnsi="新宋体" w:eastAsia="新宋体" w:cs="新宋体"/>
        </w:rPr>
      </w:pPr>
    </w:p>
    <w:p w14:paraId="46FB30D1">
      <w:pPr>
        <w:pStyle w:val="12"/>
        <w:numPr>
          <w:ilvl w:val="0"/>
          <w:numId w:val="0"/>
        </w:numPr>
        <w:ind w:leftChars="100"/>
        <w:jc w:val="both"/>
        <w:outlineLvl w:val="9"/>
        <w:rPr>
          <w:rFonts w:hint="eastAsia" w:ascii="新宋体" w:hAnsi="新宋体" w:eastAsia="新宋体" w:cs="新宋体"/>
        </w:rPr>
      </w:pPr>
    </w:p>
    <w:p w14:paraId="4FEF743F">
      <w:pPr>
        <w:pStyle w:val="2"/>
        <w:rPr>
          <w:rFonts w:hint="eastAsia" w:ascii="新宋体" w:hAnsi="新宋体" w:eastAsia="新宋体" w:cs="新宋体"/>
          <w:sz w:val="28"/>
          <w:szCs w:val="28"/>
          <w:lang w:val="en-US" w:eastAsia="zh-CN"/>
        </w:rPr>
      </w:pPr>
    </w:p>
    <w:p w14:paraId="07223EB8">
      <w:pPr>
        <w:ind w:firstLine="1120" w:firstLineChars="400"/>
        <w:rPr>
          <w:rFonts w:hint="eastAsia" w:ascii="新宋体" w:hAnsi="新宋体" w:eastAsia="新宋体" w:cs="新宋体"/>
          <w:sz w:val="28"/>
          <w:szCs w:val="28"/>
        </w:rPr>
      </w:pPr>
    </w:p>
    <w:sectPr>
      <w:pgSz w:w="11906" w:h="16838"/>
      <w:pgMar w:top="1440" w:right="1800" w:bottom="1440" w:left="1800" w:header="851" w:footer="992" w:gutter="0"/>
      <w:pgNumType w:fmt="decimal"/>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仿宋_GB2312">
    <w:panose1 w:val="02010609030101010101"/>
    <w:charset w:val="86"/>
    <w:family w:val="auto"/>
    <w:pitch w:val="default"/>
    <w:sig w:usb0="00000001" w:usb1="080E0000" w:usb2="00000000" w:usb3="00000000" w:csb0="00040000" w:csb1="00000000"/>
  </w:font>
  <w:font w:name="新宋体">
    <w:panose1 w:val="02010609030101010101"/>
    <w:charset w:val="86"/>
    <w:family w:val="auto"/>
    <w:pitch w:val="default"/>
    <w:sig w:usb0="00000203" w:usb1="288F0000" w:usb2="00000006" w:usb3="00000000" w:csb0="00040001" w:csb1="00000000"/>
  </w:font>
  <w:font w:name="方正小标宋简体">
    <w:panose1 w:val="03000509000000000000"/>
    <w:charset w:val="86"/>
    <w:family w:val="auto"/>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1AD39B">
    <w:pPr>
      <w:pStyle w:val="7"/>
      <w:rPr>
        <w:rFonts w:hint="eastAsia" w:eastAsia="宋体"/>
        <w:lang w:val="en-US" w:eastAsia="zh-CN"/>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0D7E63B">
                          <w:pPr>
                            <w:pStyle w:val="7"/>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0D7E63B">
                    <w:pPr>
                      <w:pStyle w:val="7"/>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7A5353D"/>
    <w:multiLevelType w:val="singleLevel"/>
    <w:tmpl w:val="B7A5353D"/>
    <w:lvl w:ilvl="0" w:tentative="0">
      <w:start w:val="2"/>
      <w:numFmt w:val="chineseCounting"/>
      <w:suff w:val="nothing"/>
      <w:lvlText w:val="（%1）"/>
      <w:lvlJc w:val="left"/>
      <w:rPr>
        <w:rFonts w:hint="eastAsia"/>
      </w:rPr>
    </w:lvl>
  </w:abstractNum>
  <w:abstractNum w:abstractNumId="1">
    <w:nsid w:val="E8FA4C4D"/>
    <w:multiLevelType w:val="singleLevel"/>
    <w:tmpl w:val="E8FA4C4D"/>
    <w:lvl w:ilvl="0" w:tentative="0">
      <w:start w:val="2"/>
      <w:numFmt w:val="chineseCounting"/>
      <w:suff w:val="nothing"/>
      <w:lvlText w:val="（%1）"/>
      <w:lvlJc w:val="left"/>
      <w:rPr>
        <w:rFonts w:hint="eastAsia"/>
      </w:rPr>
    </w:lvl>
  </w:abstractNum>
  <w:abstractNum w:abstractNumId="2">
    <w:nsid w:val="FFBCAE95"/>
    <w:multiLevelType w:val="singleLevel"/>
    <w:tmpl w:val="FFBCAE95"/>
    <w:lvl w:ilvl="0" w:tentative="0">
      <w:start w:val="3"/>
      <w:numFmt w:val="decimal"/>
      <w:suff w:val="nothing"/>
      <w:lvlText w:val="%1、"/>
      <w:lvlJc w:val="left"/>
      <w:pPr>
        <w:ind w:left="-430"/>
      </w:pPr>
    </w:lvl>
  </w:abstractNum>
  <w:abstractNum w:abstractNumId="3">
    <w:nsid w:val="FFD797BE"/>
    <w:multiLevelType w:val="singleLevel"/>
    <w:tmpl w:val="FFD797BE"/>
    <w:lvl w:ilvl="0" w:tentative="0">
      <w:start w:val="2"/>
      <w:numFmt w:val="decimal"/>
      <w:suff w:val="nothing"/>
      <w:lvlText w:val="%1、"/>
      <w:lvlJc w:val="left"/>
    </w:lvl>
  </w:abstractNum>
  <w:abstractNum w:abstractNumId="4">
    <w:nsid w:val="27813159"/>
    <w:multiLevelType w:val="singleLevel"/>
    <w:tmpl w:val="27813159"/>
    <w:lvl w:ilvl="0" w:tentative="0">
      <w:start w:val="3"/>
      <w:numFmt w:val="chineseCounting"/>
      <w:suff w:val="nothing"/>
      <w:lvlText w:val="（%1）"/>
      <w:lvlJc w:val="left"/>
      <w:pPr>
        <w:ind w:left="-711"/>
      </w:pPr>
      <w:rPr>
        <w:rFonts w:hint="eastAsia"/>
      </w:rPr>
    </w:lvl>
  </w:abstractNum>
  <w:abstractNum w:abstractNumId="5">
    <w:nsid w:val="38F0C646"/>
    <w:multiLevelType w:val="singleLevel"/>
    <w:tmpl w:val="38F0C646"/>
    <w:lvl w:ilvl="0" w:tentative="0">
      <w:start w:val="1"/>
      <w:numFmt w:val="decimal"/>
      <w:suff w:val="nothing"/>
      <w:lvlText w:val="%1、"/>
      <w:lvlJc w:val="left"/>
    </w:lvl>
  </w:abstractNum>
  <w:abstractNum w:abstractNumId="6">
    <w:nsid w:val="5E96D33C"/>
    <w:multiLevelType w:val="singleLevel"/>
    <w:tmpl w:val="5E96D33C"/>
    <w:lvl w:ilvl="0" w:tentative="0">
      <w:start w:val="3"/>
      <w:numFmt w:val="chineseCounting"/>
      <w:suff w:val="nothing"/>
      <w:lvlText w:val="（%1）"/>
      <w:lvlJc w:val="left"/>
    </w:lvl>
  </w:abstractNum>
  <w:abstractNum w:abstractNumId="7">
    <w:nsid w:val="5E99939F"/>
    <w:multiLevelType w:val="singleLevel"/>
    <w:tmpl w:val="5E99939F"/>
    <w:lvl w:ilvl="0" w:tentative="0">
      <w:start w:val="1"/>
      <w:numFmt w:val="decimal"/>
      <w:suff w:val="nothing"/>
      <w:lvlText w:val="%1、"/>
      <w:lvlJc w:val="left"/>
    </w:lvl>
  </w:abstractNum>
  <w:abstractNum w:abstractNumId="8">
    <w:nsid w:val="60388638"/>
    <w:multiLevelType w:val="singleLevel"/>
    <w:tmpl w:val="60388638"/>
    <w:lvl w:ilvl="0" w:tentative="0">
      <w:start w:val="6"/>
      <w:numFmt w:val="chineseCounting"/>
      <w:suff w:val="nothing"/>
      <w:lvlText w:val="%1、"/>
      <w:lvlJc w:val="left"/>
    </w:lvl>
  </w:abstractNum>
  <w:num w:numId="1">
    <w:abstractNumId w:val="1"/>
  </w:num>
  <w:num w:numId="2">
    <w:abstractNumId w:val="2"/>
  </w:num>
  <w:num w:numId="3">
    <w:abstractNumId w:val="4"/>
  </w:num>
  <w:num w:numId="4">
    <w:abstractNumId w:val="5"/>
  </w:num>
  <w:num w:numId="5">
    <w:abstractNumId w:val="3"/>
  </w:num>
  <w:num w:numId="6">
    <w:abstractNumId w:val="0"/>
  </w:num>
  <w:num w:numId="7">
    <w:abstractNumId w:val="6"/>
  </w:num>
  <w:num w:numId="8">
    <w:abstractNumId w:val="7"/>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g4ZTk4ZThiOTlhYTkyOGVkOWQ5NDlhNjIwNjNhNzEifQ=="/>
  </w:docVars>
  <w:rsids>
    <w:rsidRoot w:val="0B1E6B4F"/>
    <w:rsid w:val="00DF3F59"/>
    <w:rsid w:val="00FB4547"/>
    <w:rsid w:val="01300309"/>
    <w:rsid w:val="01657919"/>
    <w:rsid w:val="017442FA"/>
    <w:rsid w:val="01791910"/>
    <w:rsid w:val="018D0F17"/>
    <w:rsid w:val="01EF4EF7"/>
    <w:rsid w:val="03766107"/>
    <w:rsid w:val="038E028D"/>
    <w:rsid w:val="046441B2"/>
    <w:rsid w:val="04BC5D9C"/>
    <w:rsid w:val="04F75026"/>
    <w:rsid w:val="050C5090"/>
    <w:rsid w:val="05D67331"/>
    <w:rsid w:val="05EF57E4"/>
    <w:rsid w:val="062C3026"/>
    <w:rsid w:val="0780000F"/>
    <w:rsid w:val="07CF2281"/>
    <w:rsid w:val="09685350"/>
    <w:rsid w:val="09DA5642"/>
    <w:rsid w:val="0A510B74"/>
    <w:rsid w:val="0A59313F"/>
    <w:rsid w:val="0AB65779"/>
    <w:rsid w:val="0B1E6B4F"/>
    <w:rsid w:val="0B3F5205"/>
    <w:rsid w:val="0C1F5710"/>
    <w:rsid w:val="0C6234E6"/>
    <w:rsid w:val="0C822209"/>
    <w:rsid w:val="0DA82E6A"/>
    <w:rsid w:val="0E460E4F"/>
    <w:rsid w:val="0EB75826"/>
    <w:rsid w:val="0ED70E7F"/>
    <w:rsid w:val="10066A65"/>
    <w:rsid w:val="105453B4"/>
    <w:rsid w:val="11CE710E"/>
    <w:rsid w:val="11FF376C"/>
    <w:rsid w:val="12154734"/>
    <w:rsid w:val="121D0997"/>
    <w:rsid w:val="12752BEF"/>
    <w:rsid w:val="133E13C7"/>
    <w:rsid w:val="151823B4"/>
    <w:rsid w:val="15A210AB"/>
    <w:rsid w:val="15DC6F25"/>
    <w:rsid w:val="1612587A"/>
    <w:rsid w:val="164F280E"/>
    <w:rsid w:val="16936F52"/>
    <w:rsid w:val="173731C6"/>
    <w:rsid w:val="180E295A"/>
    <w:rsid w:val="181109B7"/>
    <w:rsid w:val="1A140049"/>
    <w:rsid w:val="1A564F51"/>
    <w:rsid w:val="1ABF7656"/>
    <w:rsid w:val="1B487F31"/>
    <w:rsid w:val="1B840893"/>
    <w:rsid w:val="1C5F3784"/>
    <w:rsid w:val="1D507571"/>
    <w:rsid w:val="1D9D2E6B"/>
    <w:rsid w:val="1E894AE9"/>
    <w:rsid w:val="1F566050"/>
    <w:rsid w:val="1F62731D"/>
    <w:rsid w:val="1FA37E2C"/>
    <w:rsid w:val="20BE2EA1"/>
    <w:rsid w:val="21BE719F"/>
    <w:rsid w:val="21F4496F"/>
    <w:rsid w:val="21FE0B92"/>
    <w:rsid w:val="22717C64"/>
    <w:rsid w:val="234A05BF"/>
    <w:rsid w:val="236E24FF"/>
    <w:rsid w:val="23825060"/>
    <w:rsid w:val="23BC326A"/>
    <w:rsid w:val="25287ADA"/>
    <w:rsid w:val="25744A0D"/>
    <w:rsid w:val="25787665"/>
    <w:rsid w:val="25E85857"/>
    <w:rsid w:val="26630315"/>
    <w:rsid w:val="27A85F06"/>
    <w:rsid w:val="27AF6A91"/>
    <w:rsid w:val="27CB6172"/>
    <w:rsid w:val="29B11398"/>
    <w:rsid w:val="2A68414C"/>
    <w:rsid w:val="2B0A7C37"/>
    <w:rsid w:val="2B2F07C6"/>
    <w:rsid w:val="2B9E7034"/>
    <w:rsid w:val="2BFB2D9E"/>
    <w:rsid w:val="2C1A1476"/>
    <w:rsid w:val="2C701096"/>
    <w:rsid w:val="2EEA15D4"/>
    <w:rsid w:val="2F88799F"/>
    <w:rsid w:val="300954A7"/>
    <w:rsid w:val="30BD4AC6"/>
    <w:rsid w:val="31F52A85"/>
    <w:rsid w:val="322070BA"/>
    <w:rsid w:val="32235A31"/>
    <w:rsid w:val="32865FFD"/>
    <w:rsid w:val="32FA5B5D"/>
    <w:rsid w:val="33162906"/>
    <w:rsid w:val="335E27A0"/>
    <w:rsid w:val="339A3D17"/>
    <w:rsid w:val="33C365BE"/>
    <w:rsid w:val="33F14691"/>
    <w:rsid w:val="33FC1696"/>
    <w:rsid w:val="34713BFD"/>
    <w:rsid w:val="34AC2E87"/>
    <w:rsid w:val="354D3BD6"/>
    <w:rsid w:val="3575771D"/>
    <w:rsid w:val="36624145"/>
    <w:rsid w:val="36E44B5A"/>
    <w:rsid w:val="36E92171"/>
    <w:rsid w:val="372C02AF"/>
    <w:rsid w:val="38623649"/>
    <w:rsid w:val="3894610C"/>
    <w:rsid w:val="39262B30"/>
    <w:rsid w:val="396B3311"/>
    <w:rsid w:val="39A30DB5"/>
    <w:rsid w:val="3ADE0ED3"/>
    <w:rsid w:val="3B7C461F"/>
    <w:rsid w:val="3BAC19BF"/>
    <w:rsid w:val="3BAC33C2"/>
    <w:rsid w:val="3BC66F24"/>
    <w:rsid w:val="3C6D1AC5"/>
    <w:rsid w:val="3CE358B4"/>
    <w:rsid w:val="3D204322"/>
    <w:rsid w:val="3DAE593B"/>
    <w:rsid w:val="3DBF1E7D"/>
    <w:rsid w:val="3F2D72BA"/>
    <w:rsid w:val="3F7B0026"/>
    <w:rsid w:val="3FCD1618"/>
    <w:rsid w:val="40D051F2"/>
    <w:rsid w:val="415B010F"/>
    <w:rsid w:val="416F3A16"/>
    <w:rsid w:val="42E93B5B"/>
    <w:rsid w:val="43611516"/>
    <w:rsid w:val="43AE5F4B"/>
    <w:rsid w:val="43CA50D8"/>
    <w:rsid w:val="452A2AD5"/>
    <w:rsid w:val="4536178A"/>
    <w:rsid w:val="455925D8"/>
    <w:rsid w:val="45A300DD"/>
    <w:rsid w:val="45BC0C85"/>
    <w:rsid w:val="462D22EA"/>
    <w:rsid w:val="466435C2"/>
    <w:rsid w:val="46967F48"/>
    <w:rsid w:val="46B2764F"/>
    <w:rsid w:val="46CD22A9"/>
    <w:rsid w:val="478A3170"/>
    <w:rsid w:val="478A4CF6"/>
    <w:rsid w:val="47AD6EE6"/>
    <w:rsid w:val="4847319B"/>
    <w:rsid w:val="48783354"/>
    <w:rsid w:val="49EF3AEA"/>
    <w:rsid w:val="49F92273"/>
    <w:rsid w:val="4A016901"/>
    <w:rsid w:val="4B9A78C8"/>
    <w:rsid w:val="4BA42578"/>
    <w:rsid w:val="4BC10550"/>
    <w:rsid w:val="4C2E1C6C"/>
    <w:rsid w:val="4D6A5796"/>
    <w:rsid w:val="4E285CDD"/>
    <w:rsid w:val="4E422524"/>
    <w:rsid w:val="4E7A0A87"/>
    <w:rsid w:val="4EE803ED"/>
    <w:rsid w:val="4F29184C"/>
    <w:rsid w:val="4F563CC4"/>
    <w:rsid w:val="4FA113E3"/>
    <w:rsid w:val="50402154"/>
    <w:rsid w:val="50404643"/>
    <w:rsid w:val="524A4729"/>
    <w:rsid w:val="52A1541C"/>
    <w:rsid w:val="52AF39FE"/>
    <w:rsid w:val="52DB1B50"/>
    <w:rsid w:val="5368429E"/>
    <w:rsid w:val="536F6083"/>
    <w:rsid w:val="53810704"/>
    <w:rsid w:val="54183C3E"/>
    <w:rsid w:val="542C1497"/>
    <w:rsid w:val="5445741F"/>
    <w:rsid w:val="5449120A"/>
    <w:rsid w:val="55366A71"/>
    <w:rsid w:val="553B4087"/>
    <w:rsid w:val="554C26BD"/>
    <w:rsid w:val="56DA167E"/>
    <w:rsid w:val="574A2360"/>
    <w:rsid w:val="57511449"/>
    <w:rsid w:val="57E00F16"/>
    <w:rsid w:val="580C1DB3"/>
    <w:rsid w:val="583A7A46"/>
    <w:rsid w:val="58785B62"/>
    <w:rsid w:val="587873A1"/>
    <w:rsid w:val="58D148E2"/>
    <w:rsid w:val="5B2E1820"/>
    <w:rsid w:val="5B737BE0"/>
    <w:rsid w:val="5B8C0CA2"/>
    <w:rsid w:val="5C005890"/>
    <w:rsid w:val="5CA01745"/>
    <w:rsid w:val="5CD051F5"/>
    <w:rsid w:val="5D5B47F4"/>
    <w:rsid w:val="5DF46579"/>
    <w:rsid w:val="5DFE5C52"/>
    <w:rsid w:val="5E986F61"/>
    <w:rsid w:val="5EB56C59"/>
    <w:rsid w:val="5F155949"/>
    <w:rsid w:val="5F5917A7"/>
    <w:rsid w:val="5F66462A"/>
    <w:rsid w:val="5FAD16DE"/>
    <w:rsid w:val="5FD27396"/>
    <w:rsid w:val="601C6864"/>
    <w:rsid w:val="60624BBE"/>
    <w:rsid w:val="60963565"/>
    <w:rsid w:val="60C767CF"/>
    <w:rsid w:val="619A3EE4"/>
    <w:rsid w:val="62FD4869"/>
    <w:rsid w:val="63351CAA"/>
    <w:rsid w:val="633D0FCB"/>
    <w:rsid w:val="635B67D6"/>
    <w:rsid w:val="639C0E1B"/>
    <w:rsid w:val="63D873CA"/>
    <w:rsid w:val="63DC4C88"/>
    <w:rsid w:val="64512DB0"/>
    <w:rsid w:val="64903815"/>
    <w:rsid w:val="64DD2A65"/>
    <w:rsid w:val="650368EF"/>
    <w:rsid w:val="65E676F8"/>
    <w:rsid w:val="663B00BC"/>
    <w:rsid w:val="66A90583"/>
    <w:rsid w:val="66BE798B"/>
    <w:rsid w:val="673F666C"/>
    <w:rsid w:val="68CF0917"/>
    <w:rsid w:val="68F05ACE"/>
    <w:rsid w:val="69513A22"/>
    <w:rsid w:val="6999443A"/>
    <w:rsid w:val="699F5C23"/>
    <w:rsid w:val="6A280C56"/>
    <w:rsid w:val="6A635D10"/>
    <w:rsid w:val="6A952A22"/>
    <w:rsid w:val="6AF503DD"/>
    <w:rsid w:val="6B5119FB"/>
    <w:rsid w:val="6CA420BB"/>
    <w:rsid w:val="6CC369E5"/>
    <w:rsid w:val="6CF17004"/>
    <w:rsid w:val="6D4D45DB"/>
    <w:rsid w:val="6E0E3C8F"/>
    <w:rsid w:val="6EC96431"/>
    <w:rsid w:val="6FDC3B4E"/>
    <w:rsid w:val="6FE84420"/>
    <w:rsid w:val="703B5DC1"/>
    <w:rsid w:val="70541937"/>
    <w:rsid w:val="706D792C"/>
    <w:rsid w:val="70BA1A32"/>
    <w:rsid w:val="70BD17DF"/>
    <w:rsid w:val="70E92792"/>
    <w:rsid w:val="71D13952"/>
    <w:rsid w:val="720B63B5"/>
    <w:rsid w:val="7251791D"/>
    <w:rsid w:val="73005DA6"/>
    <w:rsid w:val="746D3939"/>
    <w:rsid w:val="7491561A"/>
    <w:rsid w:val="74F31E31"/>
    <w:rsid w:val="750B31FF"/>
    <w:rsid w:val="753C7334"/>
    <w:rsid w:val="763E26CA"/>
    <w:rsid w:val="765D3A06"/>
    <w:rsid w:val="775032EA"/>
    <w:rsid w:val="77A3469E"/>
    <w:rsid w:val="780B73A4"/>
    <w:rsid w:val="79830FD2"/>
    <w:rsid w:val="7A5B6A61"/>
    <w:rsid w:val="7A6537B6"/>
    <w:rsid w:val="7B66335D"/>
    <w:rsid w:val="7B6F4DBE"/>
    <w:rsid w:val="7C3945CD"/>
    <w:rsid w:val="7CEA218F"/>
    <w:rsid w:val="7DBA7CAB"/>
    <w:rsid w:val="7DBD6980"/>
    <w:rsid w:val="7E8E6727"/>
    <w:rsid w:val="7EB95812"/>
    <w:rsid w:val="7FAB5F3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qFormat="1"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spacing w:after="0" w:line="240" w:lineRule="auto"/>
      <w:jc w:val="both"/>
    </w:pPr>
    <w:rPr>
      <w:rFonts w:ascii="Times New Roman" w:hAnsi="Times New Roman" w:eastAsia="宋体" w:cs="Times New Roman"/>
      <w:kern w:val="2"/>
      <w:sz w:val="21"/>
      <w:szCs w:val="24"/>
      <w:lang w:val="en-US" w:eastAsia="zh-CN" w:bidi="ar-SA"/>
    </w:rPr>
  </w:style>
  <w:style w:type="paragraph" w:styleId="4">
    <w:name w:val="heading 1"/>
    <w:basedOn w:val="1"/>
    <w:next w:val="1"/>
    <w:autoRedefine/>
    <w:qFormat/>
    <w:uiPriority w:val="9"/>
    <w:pPr>
      <w:keepNext/>
      <w:keepLines/>
      <w:outlineLvl w:val="0"/>
    </w:pPr>
    <w:rPr>
      <w:rFonts w:ascii="黑体" w:eastAsia="黑体"/>
      <w:bCs/>
      <w:kern w:val="44"/>
      <w:szCs w:val="44"/>
    </w:rPr>
  </w:style>
  <w:style w:type="paragraph" w:styleId="5">
    <w:name w:val="heading 2"/>
    <w:basedOn w:val="1"/>
    <w:next w:val="1"/>
    <w:unhideWhenUsed/>
    <w:qFormat/>
    <w:uiPriority w:val="9"/>
    <w:pPr>
      <w:keepNext/>
      <w:keepLines/>
      <w:spacing w:before="260" w:after="260" w:line="416" w:lineRule="auto"/>
      <w:outlineLvl w:val="1"/>
    </w:pPr>
    <w:rPr>
      <w:rFonts w:ascii="Cambria" w:hAnsi="Cambria" w:eastAsia="宋体" w:cs="Times New Roman"/>
      <w:b/>
      <w:bCs/>
      <w:sz w:val="32"/>
      <w:szCs w:val="32"/>
    </w:rPr>
  </w:style>
  <w:style w:type="character" w:default="1" w:styleId="15">
    <w:name w:val="Default Paragraph Font"/>
    <w:semiHidden/>
    <w:qFormat/>
    <w:uiPriority w:val="0"/>
  </w:style>
  <w:style w:type="table" w:default="1" w:styleId="13">
    <w:name w:val="Normal Table"/>
    <w:autoRedefin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ind w:firstLine="420" w:firstLineChars="200"/>
      <w:jc w:val="both"/>
    </w:pPr>
    <w:rPr>
      <w:color w:val="000000"/>
    </w:rPr>
  </w:style>
  <w:style w:type="paragraph" w:styleId="3">
    <w:name w:val="Body Text Indent"/>
    <w:basedOn w:val="1"/>
    <w:autoRedefine/>
    <w:qFormat/>
    <w:uiPriority w:val="0"/>
    <w:pPr>
      <w:spacing w:line="360" w:lineRule="auto"/>
      <w:ind w:firstLine="540"/>
      <w:jc w:val="left"/>
    </w:pPr>
    <w:rPr>
      <w:rFonts w:ascii="仿宋_GB2312" w:eastAsia="仿宋_GB2312"/>
      <w:sz w:val="32"/>
      <w:szCs w:val="32"/>
    </w:rPr>
  </w:style>
  <w:style w:type="paragraph" w:styleId="6">
    <w:name w:val="annotation text"/>
    <w:basedOn w:val="1"/>
    <w:autoRedefine/>
    <w:qFormat/>
    <w:uiPriority w:val="0"/>
    <w:pPr>
      <w:jc w:val="left"/>
    </w:p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toc 1"/>
    <w:basedOn w:val="1"/>
    <w:next w:val="1"/>
    <w:autoRedefine/>
    <w:unhideWhenUsed/>
    <w:qFormat/>
    <w:uiPriority w:val="39"/>
    <w:pPr>
      <w:widowControl/>
      <w:spacing w:after="100" w:line="259" w:lineRule="auto"/>
      <w:jc w:val="left"/>
    </w:pPr>
    <w:rPr>
      <w:rFonts w:ascii="Calibri" w:hAnsi="Calibri" w:eastAsia="宋体"/>
      <w:kern w:val="0"/>
      <w:sz w:val="22"/>
      <w:szCs w:val="22"/>
    </w:rPr>
  </w:style>
  <w:style w:type="paragraph" w:styleId="10">
    <w:name w:val="toc 2"/>
    <w:basedOn w:val="1"/>
    <w:next w:val="1"/>
    <w:autoRedefine/>
    <w:unhideWhenUsed/>
    <w:qFormat/>
    <w:uiPriority w:val="39"/>
    <w:pPr>
      <w:widowControl/>
      <w:spacing w:after="100" w:line="259" w:lineRule="auto"/>
      <w:ind w:left="220"/>
      <w:jc w:val="left"/>
    </w:pPr>
    <w:rPr>
      <w:rFonts w:ascii="Calibri" w:hAnsi="Calibri" w:eastAsia="宋体"/>
      <w:kern w:val="0"/>
      <w:sz w:val="22"/>
      <w:szCs w:val="22"/>
    </w:rPr>
  </w:style>
  <w:style w:type="paragraph" w:styleId="11">
    <w:name w:val="Normal (Web)"/>
    <w:basedOn w:val="1"/>
    <w:autoRedefine/>
    <w:qFormat/>
    <w:uiPriority w:val="0"/>
    <w:pPr>
      <w:spacing w:before="100" w:beforeAutospacing="1" w:after="100" w:afterAutospacing="1"/>
      <w:ind w:left="0" w:right="0"/>
      <w:jc w:val="left"/>
    </w:pPr>
    <w:rPr>
      <w:kern w:val="0"/>
      <w:sz w:val="24"/>
      <w:lang w:val="en-US" w:eastAsia="zh-CN" w:bidi="ar"/>
    </w:rPr>
  </w:style>
  <w:style w:type="paragraph" w:styleId="12">
    <w:name w:val="Title"/>
    <w:basedOn w:val="1"/>
    <w:next w:val="1"/>
    <w:autoRedefine/>
    <w:qFormat/>
    <w:uiPriority w:val="10"/>
    <w:pPr>
      <w:widowControl/>
      <w:spacing w:before="240" w:after="60"/>
      <w:jc w:val="center"/>
      <w:outlineLvl w:val="0"/>
    </w:pPr>
    <w:rPr>
      <w:rFonts w:ascii="Cambria" w:hAnsi="Cambria" w:eastAsia="宋体"/>
      <w:b/>
      <w:bCs/>
      <w:kern w:val="28"/>
      <w:sz w:val="32"/>
      <w:szCs w:val="32"/>
    </w:rPr>
  </w:style>
  <w:style w:type="table" w:styleId="14">
    <w:name w:val="Table Grid"/>
    <w:basedOn w:val="13"/>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Strong"/>
    <w:basedOn w:val="15"/>
    <w:autoRedefine/>
    <w:qFormat/>
    <w:uiPriority w:val="0"/>
    <w:rPr>
      <w:rFonts w:ascii="Times New Roman" w:hAnsi="Times New Roman" w:eastAsia="宋体" w:cs="Times New Roman"/>
      <w:b/>
      <w:bCs/>
    </w:rPr>
  </w:style>
  <w:style w:type="character" w:styleId="17">
    <w:name w:val="Hyperlink"/>
    <w:basedOn w:val="15"/>
    <w:autoRedefine/>
    <w:unhideWhenUsed/>
    <w:qFormat/>
    <w:uiPriority w:val="99"/>
    <w:rPr>
      <w:color w:val="0000FF"/>
      <w:u w:val="single"/>
    </w:rPr>
  </w:style>
  <w:style w:type="paragraph" w:customStyle="1" w:styleId="18">
    <w:name w:val="TOC Heading"/>
    <w:basedOn w:val="4"/>
    <w:next w:val="1"/>
    <w:autoRedefine/>
    <w:unhideWhenUsed/>
    <w:qFormat/>
    <w:uiPriority w:val="39"/>
    <w:pPr>
      <w:widowControl/>
      <w:spacing w:before="240" w:after="0" w:line="259" w:lineRule="auto"/>
      <w:jc w:val="left"/>
      <w:outlineLvl w:val="9"/>
    </w:pPr>
    <w:rPr>
      <w:rFonts w:ascii="Cambria" w:hAnsi="Cambria" w:eastAsia="宋体" w:cs="Times New Roman"/>
      <w:bCs w:val="0"/>
      <w:color w:val="366091"/>
      <w:kern w:val="0"/>
      <w:sz w:val="32"/>
      <w:szCs w:val="32"/>
    </w:rPr>
  </w:style>
  <w:style w:type="paragraph" w:customStyle="1" w:styleId="19">
    <w:name w:val="WPSOffice手动目录 1"/>
    <w:autoRedefine/>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7043</Words>
  <Characters>7390</Characters>
  <Lines>0</Lines>
  <Paragraphs>0</Paragraphs>
  <TotalTime>2</TotalTime>
  <ScaleCrop>false</ScaleCrop>
  <LinksUpToDate>false</LinksUpToDate>
  <CharactersWithSpaces>7548</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2021-02-26T04:22:00Z</dcterms:created>
  <dc:creator>1</dc:creator>
  <cp:lastModifiedBy>岁月无痕</cp:lastModifiedBy>
  <dcterms:modified xsi:type="dcterms:W3CDTF">2024-08-09T08:39:19Z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7259256A5BED45DEBE95E9E54ACB601B_13</vt:lpwstr>
  </property>
</Properties>
</file>