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E22E08">
      <w:pPr>
        <w:spacing w:line="540" w:lineRule="exact"/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/>
        </w:rPr>
        <w:t xml:space="preserve"> </w:t>
      </w:r>
    </w:p>
    <w:p w14:paraId="07985A23">
      <w:pPr>
        <w:pStyle w:val="2"/>
      </w:pPr>
    </w:p>
    <w:p w14:paraId="73757A96">
      <w:pPr>
        <w:spacing w:line="540" w:lineRule="exact"/>
        <w:jc w:val="center"/>
        <w:rPr>
          <w:rFonts w:eastAsia="华文中宋"/>
          <w:b/>
          <w:kern w:val="0"/>
          <w:sz w:val="52"/>
          <w:szCs w:val="52"/>
        </w:rPr>
      </w:pPr>
    </w:p>
    <w:p w14:paraId="5B8FF72A">
      <w:pPr>
        <w:spacing w:line="540" w:lineRule="exact"/>
        <w:jc w:val="center"/>
        <w:rPr>
          <w:rFonts w:eastAsia="华文中宋"/>
          <w:b/>
          <w:kern w:val="0"/>
          <w:sz w:val="52"/>
          <w:szCs w:val="52"/>
        </w:rPr>
      </w:pPr>
    </w:p>
    <w:p w14:paraId="2D22638A">
      <w:pPr>
        <w:spacing w:line="540" w:lineRule="exact"/>
        <w:jc w:val="center"/>
        <w:rPr>
          <w:rFonts w:eastAsia="方正小标宋_GBK"/>
          <w:kern w:val="0"/>
          <w:sz w:val="48"/>
          <w:szCs w:val="48"/>
        </w:rPr>
      </w:pPr>
      <w:r>
        <w:rPr>
          <w:rFonts w:hint="eastAsia" w:eastAsia="方正小标宋_GBK"/>
          <w:kern w:val="0"/>
          <w:sz w:val="48"/>
          <w:szCs w:val="48"/>
        </w:rPr>
        <w:t>天山英才计划-工程师、工程技术研发团队项目</w:t>
      </w:r>
      <w:r>
        <w:rPr>
          <w:rFonts w:eastAsia="方正小标宋_GBK"/>
          <w:kern w:val="0"/>
          <w:sz w:val="48"/>
          <w:szCs w:val="48"/>
        </w:rPr>
        <w:t>资金项目支出绩效评价报告</w:t>
      </w:r>
    </w:p>
    <w:p w14:paraId="2E9F2D65">
      <w:pPr>
        <w:spacing w:line="540" w:lineRule="exact"/>
        <w:jc w:val="center"/>
        <w:rPr>
          <w:rFonts w:eastAsia="华文中宋"/>
          <w:b/>
          <w:kern w:val="0"/>
          <w:sz w:val="52"/>
          <w:szCs w:val="52"/>
        </w:rPr>
      </w:pPr>
    </w:p>
    <w:p w14:paraId="44BE7F21">
      <w:pPr>
        <w:spacing w:line="540" w:lineRule="exact"/>
        <w:jc w:val="center"/>
        <w:rPr>
          <w:rFonts w:eastAsia="仿宋_GB2312"/>
          <w:kern w:val="0"/>
          <w:sz w:val="36"/>
          <w:szCs w:val="36"/>
        </w:rPr>
      </w:pPr>
      <w:r>
        <w:rPr>
          <w:rFonts w:eastAsia="仿宋_GB2312"/>
          <w:kern w:val="0"/>
          <w:sz w:val="36"/>
          <w:szCs w:val="36"/>
        </w:rPr>
        <w:t>（ 202</w:t>
      </w:r>
      <w:r>
        <w:rPr>
          <w:rFonts w:hint="eastAsia" w:eastAsia="仿宋_GB2312"/>
          <w:kern w:val="0"/>
          <w:sz w:val="36"/>
          <w:szCs w:val="36"/>
          <w:lang w:val="en-US" w:eastAsia="zh-CN"/>
        </w:rPr>
        <w:t>3</w:t>
      </w:r>
      <w:r>
        <w:rPr>
          <w:rFonts w:eastAsia="仿宋_GB2312"/>
          <w:kern w:val="0"/>
          <w:sz w:val="36"/>
          <w:szCs w:val="36"/>
        </w:rPr>
        <w:t>年度）</w:t>
      </w:r>
    </w:p>
    <w:p w14:paraId="5EF0A32D">
      <w:pPr>
        <w:spacing w:line="540" w:lineRule="exact"/>
        <w:jc w:val="center"/>
        <w:rPr>
          <w:rFonts w:eastAsia="仿宋_GB2312"/>
          <w:kern w:val="0"/>
          <w:sz w:val="30"/>
          <w:szCs w:val="30"/>
        </w:rPr>
      </w:pPr>
    </w:p>
    <w:p w14:paraId="5B5E7536">
      <w:pPr>
        <w:spacing w:line="540" w:lineRule="exact"/>
        <w:jc w:val="center"/>
        <w:rPr>
          <w:rFonts w:eastAsia="仿宋_GB2312"/>
          <w:kern w:val="0"/>
          <w:sz w:val="30"/>
          <w:szCs w:val="30"/>
        </w:rPr>
      </w:pPr>
    </w:p>
    <w:p w14:paraId="6F5E9FBE">
      <w:pPr>
        <w:spacing w:line="540" w:lineRule="exact"/>
        <w:jc w:val="center"/>
        <w:rPr>
          <w:rFonts w:eastAsia="仿宋_GB2312"/>
          <w:kern w:val="0"/>
          <w:sz w:val="30"/>
          <w:szCs w:val="30"/>
        </w:rPr>
      </w:pPr>
    </w:p>
    <w:p w14:paraId="28383705">
      <w:pPr>
        <w:spacing w:line="540" w:lineRule="exact"/>
        <w:jc w:val="center"/>
        <w:rPr>
          <w:rFonts w:eastAsia="仿宋_GB2312"/>
          <w:kern w:val="0"/>
          <w:sz w:val="30"/>
          <w:szCs w:val="30"/>
        </w:rPr>
      </w:pPr>
    </w:p>
    <w:p w14:paraId="5BB9F26E">
      <w:pPr>
        <w:spacing w:line="540" w:lineRule="exact"/>
        <w:rPr>
          <w:rFonts w:eastAsia="仿宋_GB2312"/>
          <w:kern w:val="0"/>
          <w:sz w:val="30"/>
          <w:szCs w:val="30"/>
        </w:rPr>
      </w:pPr>
    </w:p>
    <w:p w14:paraId="049182C3">
      <w:pPr>
        <w:spacing w:line="700" w:lineRule="exact"/>
        <w:ind w:left="3236" w:leftChars="684" w:hanging="1800" w:hangingChars="500"/>
        <w:jc w:val="left"/>
        <w:rPr>
          <w:rFonts w:eastAsia="仿宋_GB2312"/>
          <w:kern w:val="0"/>
          <w:sz w:val="36"/>
          <w:szCs w:val="36"/>
        </w:rPr>
      </w:pPr>
      <w:r>
        <w:rPr>
          <w:rFonts w:eastAsia="仿宋_GB2312"/>
          <w:kern w:val="0"/>
          <w:sz w:val="36"/>
          <w:szCs w:val="36"/>
        </w:rPr>
        <w:t>项目名称：</w:t>
      </w:r>
      <w:r>
        <w:rPr>
          <w:rFonts w:hint="eastAsia" w:eastAsia="仿宋_GB2312"/>
          <w:kern w:val="0"/>
          <w:sz w:val="36"/>
          <w:szCs w:val="36"/>
        </w:rPr>
        <w:t>天山英才计划-工程师、工程技术研发团队项目</w:t>
      </w:r>
    </w:p>
    <w:p w14:paraId="26CB879B">
      <w:pPr>
        <w:spacing w:line="700" w:lineRule="exact"/>
        <w:ind w:firstLine="1440" w:firstLineChars="400"/>
        <w:jc w:val="left"/>
        <w:rPr>
          <w:rFonts w:hint="eastAsia" w:eastAsia="仿宋_GB2312"/>
          <w:kern w:val="0"/>
          <w:sz w:val="36"/>
          <w:szCs w:val="36"/>
          <w:lang w:eastAsia="zh-CN"/>
        </w:rPr>
      </w:pPr>
      <w:r>
        <w:rPr>
          <w:rFonts w:eastAsia="仿宋_GB2312"/>
          <w:kern w:val="0"/>
          <w:sz w:val="36"/>
          <w:szCs w:val="36"/>
        </w:rPr>
        <w:t>实施单位（公章）：</w:t>
      </w:r>
      <w:r>
        <w:rPr>
          <w:rFonts w:hint="eastAsia" w:eastAsia="仿宋_GB2312"/>
          <w:kern w:val="0"/>
          <w:sz w:val="36"/>
          <w:szCs w:val="36"/>
          <w:lang w:eastAsia="zh-CN"/>
        </w:rPr>
        <w:t>人事处</w:t>
      </w:r>
    </w:p>
    <w:p w14:paraId="5D9541BE">
      <w:pPr>
        <w:spacing w:line="700" w:lineRule="exact"/>
        <w:ind w:firstLine="1440" w:firstLineChars="400"/>
        <w:jc w:val="left"/>
        <w:rPr>
          <w:rFonts w:hint="eastAsia" w:eastAsia="仿宋_GB2312"/>
          <w:kern w:val="0"/>
          <w:sz w:val="36"/>
          <w:szCs w:val="36"/>
          <w:lang w:eastAsia="zh-CN"/>
        </w:rPr>
      </w:pPr>
      <w:r>
        <w:rPr>
          <w:rFonts w:eastAsia="仿宋_GB2312"/>
          <w:kern w:val="0"/>
          <w:sz w:val="36"/>
          <w:szCs w:val="36"/>
        </w:rPr>
        <w:t>主管部门（公章）：</w:t>
      </w:r>
      <w:r>
        <w:rPr>
          <w:rFonts w:hint="eastAsia" w:eastAsia="仿宋_GB2312"/>
          <w:kern w:val="0"/>
          <w:sz w:val="36"/>
          <w:szCs w:val="36"/>
          <w:lang w:eastAsia="zh-CN"/>
        </w:rPr>
        <w:t>自治区工业和信息化厅</w:t>
      </w:r>
      <w:bookmarkStart w:id="2" w:name="_GoBack"/>
      <w:bookmarkEnd w:id="2"/>
    </w:p>
    <w:p w14:paraId="267EE225">
      <w:pPr>
        <w:spacing w:line="700" w:lineRule="exact"/>
        <w:ind w:firstLine="1440" w:firstLineChars="400"/>
        <w:jc w:val="left"/>
        <w:rPr>
          <w:rFonts w:hint="eastAsia" w:eastAsia="仿宋_GB2312"/>
          <w:kern w:val="0"/>
          <w:sz w:val="36"/>
          <w:szCs w:val="36"/>
          <w:lang w:eastAsia="zh-CN"/>
        </w:rPr>
      </w:pPr>
      <w:r>
        <w:rPr>
          <w:rFonts w:eastAsia="仿宋_GB2312"/>
          <w:kern w:val="0"/>
          <w:sz w:val="36"/>
          <w:szCs w:val="36"/>
        </w:rPr>
        <w:t>项目负责人（签章）：</w:t>
      </w:r>
      <w:r>
        <w:rPr>
          <w:rFonts w:hint="eastAsia" w:eastAsia="仿宋_GB2312"/>
          <w:kern w:val="0"/>
          <w:sz w:val="36"/>
          <w:szCs w:val="36"/>
          <w:lang w:eastAsia="zh-CN"/>
        </w:rPr>
        <w:t>刘炳玉</w:t>
      </w:r>
    </w:p>
    <w:p w14:paraId="0B1F6DCA">
      <w:pPr>
        <w:spacing w:line="700" w:lineRule="exact"/>
        <w:ind w:firstLine="1440" w:firstLineChars="400"/>
        <w:jc w:val="left"/>
        <w:rPr>
          <w:rFonts w:eastAsia="仿宋_GB2312"/>
          <w:kern w:val="0"/>
          <w:sz w:val="36"/>
          <w:szCs w:val="36"/>
        </w:rPr>
      </w:pPr>
      <w:r>
        <w:rPr>
          <w:rFonts w:eastAsia="仿宋_GB2312"/>
          <w:kern w:val="0"/>
          <w:sz w:val="36"/>
          <w:szCs w:val="36"/>
        </w:rPr>
        <w:t>填报时间：</w:t>
      </w:r>
      <w:r>
        <w:rPr>
          <w:rFonts w:hint="eastAsia" w:eastAsia="仿宋_GB2312"/>
          <w:kern w:val="0"/>
          <w:sz w:val="36"/>
          <w:szCs w:val="36"/>
          <w:lang w:val="en-US" w:eastAsia="zh-CN"/>
        </w:rPr>
        <w:t>2024</w:t>
      </w:r>
      <w:r>
        <w:rPr>
          <w:rFonts w:eastAsia="仿宋_GB2312"/>
          <w:kern w:val="0"/>
          <w:sz w:val="36"/>
          <w:szCs w:val="36"/>
        </w:rPr>
        <w:t>年</w:t>
      </w:r>
      <w:r>
        <w:rPr>
          <w:rFonts w:hint="eastAsia" w:eastAsia="仿宋_GB2312"/>
          <w:kern w:val="0"/>
          <w:sz w:val="36"/>
          <w:szCs w:val="36"/>
          <w:lang w:val="en-US" w:eastAsia="zh-CN"/>
        </w:rPr>
        <w:t>3</w:t>
      </w:r>
      <w:r>
        <w:rPr>
          <w:rFonts w:eastAsia="仿宋_GB2312"/>
          <w:kern w:val="0"/>
          <w:sz w:val="36"/>
          <w:szCs w:val="36"/>
        </w:rPr>
        <w:t>月</w:t>
      </w:r>
      <w:r>
        <w:rPr>
          <w:rFonts w:hint="eastAsia" w:eastAsia="仿宋_GB2312"/>
          <w:kern w:val="0"/>
          <w:sz w:val="36"/>
          <w:szCs w:val="36"/>
          <w:lang w:val="en-US" w:eastAsia="zh-CN"/>
        </w:rPr>
        <w:t>15</w:t>
      </w:r>
      <w:r>
        <w:rPr>
          <w:rFonts w:eastAsia="仿宋_GB2312"/>
          <w:kern w:val="0"/>
          <w:sz w:val="36"/>
          <w:szCs w:val="36"/>
        </w:rPr>
        <w:t>日</w:t>
      </w:r>
    </w:p>
    <w:p w14:paraId="5C336D6B">
      <w:pPr>
        <w:spacing w:line="540" w:lineRule="exact"/>
        <w:jc w:val="center"/>
        <w:rPr>
          <w:rFonts w:eastAsia="仿宋_GB2312"/>
          <w:kern w:val="0"/>
          <w:sz w:val="30"/>
          <w:szCs w:val="30"/>
        </w:rPr>
      </w:pPr>
    </w:p>
    <w:p w14:paraId="468C143A">
      <w:pPr>
        <w:spacing w:line="540" w:lineRule="exact"/>
        <w:rPr>
          <w:rStyle w:val="22"/>
          <w:rFonts w:eastAsia="黑体"/>
          <w:b w:val="0"/>
          <w:spacing w:val="-4"/>
          <w:sz w:val="32"/>
          <w:szCs w:val="32"/>
        </w:rPr>
      </w:pPr>
    </w:p>
    <w:p w14:paraId="7862545B">
      <w:pPr>
        <w:spacing w:line="540" w:lineRule="exact"/>
        <w:ind w:firstLine="640"/>
        <w:rPr>
          <w:rStyle w:val="22"/>
          <w:rFonts w:eastAsia="黑体"/>
          <w:b w:val="0"/>
          <w:spacing w:val="-4"/>
          <w:sz w:val="32"/>
          <w:szCs w:val="32"/>
        </w:rPr>
      </w:pPr>
    </w:p>
    <w:p w14:paraId="3B445C4F">
      <w:pPr>
        <w:spacing w:line="540" w:lineRule="exact"/>
        <w:rPr>
          <w:rStyle w:val="22"/>
          <w:rFonts w:eastAsia="黑体"/>
          <w:b w:val="0"/>
          <w:spacing w:val="-4"/>
          <w:sz w:val="32"/>
          <w:szCs w:val="32"/>
        </w:rPr>
      </w:pPr>
    </w:p>
    <w:p w14:paraId="58CF7751">
      <w:pPr>
        <w:spacing w:line="600" w:lineRule="exact"/>
        <w:jc w:val="center"/>
        <w:rPr>
          <w:rFonts w:eastAsia="黑体"/>
          <w:bCs/>
          <w:sz w:val="32"/>
          <w:szCs w:val="32"/>
        </w:rPr>
      </w:pPr>
      <w:r>
        <w:rPr>
          <w:rFonts w:eastAsia="方正小标宋_GBK"/>
          <w:kern w:val="0"/>
          <w:sz w:val="48"/>
          <w:szCs w:val="48"/>
        </w:rPr>
        <w:t>项目支出绩效评价报告</w:t>
      </w:r>
    </w:p>
    <w:p w14:paraId="017D2FF6">
      <w:pPr>
        <w:spacing w:line="600" w:lineRule="exact"/>
        <w:rPr>
          <w:rFonts w:eastAsia="黑体"/>
          <w:bCs/>
          <w:sz w:val="32"/>
          <w:szCs w:val="32"/>
        </w:rPr>
      </w:pPr>
    </w:p>
    <w:p w14:paraId="3ECD3BB7">
      <w:pPr>
        <w:spacing w:line="600" w:lineRule="exact"/>
        <w:rPr>
          <w:rFonts w:eastAsia="黑体"/>
          <w:bCs/>
          <w:sz w:val="32"/>
          <w:szCs w:val="32"/>
        </w:rPr>
      </w:pPr>
      <w:r>
        <w:rPr>
          <w:rFonts w:eastAsia="黑体"/>
          <w:bCs/>
          <w:sz w:val="32"/>
          <w:szCs w:val="32"/>
        </w:rPr>
        <w:t>一、基本情况</w:t>
      </w:r>
    </w:p>
    <w:p w14:paraId="52F83965">
      <w:pPr>
        <w:spacing w:line="600" w:lineRule="exact"/>
        <w:ind w:firstLine="641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（一）项目概况</w:t>
      </w:r>
    </w:p>
    <w:p w14:paraId="7D69A72E">
      <w:pPr>
        <w:spacing w:line="600" w:lineRule="exact"/>
        <w:ind w:firstLine="641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1、项目背景</w:t>
      </w:r>
    </w:p>
    <w:p w14:paraId="4B063A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贯彻落实中央人才工作会议精神，按照《关于加强和改进新时代人才工作的实施意见》工作部署，以落实自治区“2+5”重点人才计划为契机，围绕“八大产业集群”建设以及特色优势产业发展，大力推动人才工作。</w:t>
      </w:r>
    </w:p>
    <w:p w14:paraId="2A0FCABC">
      <w:pPr>
        <w:pStyle w:val="17"/>
        <w:numPr>
          <w:ilvl w:val="0"/>
          <w:numId w:val="1"/>
        </w:numPr>
        <w:spacing w:before="0" w:after="0" w:line="600" w:lineRule="exact"/>
        <w:ind w:firstLine="643" w:firstLineChars="200"/>
        <w:jc w:val="both"/>
        <w:rPr>
          <w:rFonts w:ascii="Times New Roman" w:hAnsi="Times New Roman" w:eastAsia="仿宋_GB2312"/>
          <w:kern w:val="2"/>
        </w:rPr>
      </w:pPr>
      <w:r>
        <w:rPr>
          <w:rFonts w:ascii="Times New Roman" w:hAnsi="Times New Roman" w:eastAsia="仿宋_GB2312"/>
          <w:kern w:val="2"/>
        </w:rPr>
        <w:t>项目主要内容：</w:t>
      </w:r>
    </w:p>
    <w:p w14:paraId="7DE907FA">
      <w:pPr>
        <w:spacing w:line="600" w:lineRule="exact"/>
        <w:ind w:firstLine="640" w:firstLineChars="200"/>
        <w:rPr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紧扣产业人才队伍建设需求，在全疆范围内遴选了一批能够发挥示范引领作用的创新型、应用型、复合型高层次人才和创新团队，一批行业领域技术骨干和带头人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经自治区党委人才工作领导小组审议通过，</w:t>
      </w:r>
      <w:r>
        <w:rPr>
          <w:rFonts w:hint="eastAsia" w:ascii="仿宋_GB2312" w:hAnsi="仿宋_GB2312" w:eastAsia="仿宋_GB2312" w:cs="仿宋_GB2312"/>
          <w:sz w:val="32"/>
          <w:szCs w:val="32"/>
        </w:rPr>
        <w:t>评定第一批“天山英才”优秀工程师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105</w:t>
      </w:r>
      <w:r>
        <w:rPr>
          <w:rFonts w:hint="eastAsia" w:ascii="仿宋_GB2312" w:hAnsi="仿宋_GB2312" w:eastAsia="仿宋_GB2312" w:cs="仿宋_GB2312"/>
          <w:sz w:val="32"/>
          <w:szCs w:val="32"/>
        </w:rPr>
        <w:t>名，工程技术研发团队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</w:rPr>
        <w:t>个。</w:t>
      </w:r>
      <w:r>
        <w:rPr>
          <w:rFonts w:eastAsia="仿宋_GB2312"/>
          <w:sz w:val="32"/>
          <w:szCs w:val="32"/>
        </w:rPr>
        <w:t>项目实施情况：项目目前已经完成实际设立的目标，项目在实施过程中严格按照目标设立的各阶段任务进行开展工作，在前期立项过程中严格把质量关，</w:t>
      </w:r>
      <w:r>
        <w:rPr>
          <w:rFonts w:eastAsia="仿宋_GB2312"/>
          <w:sz w:val="32"/>
          <w:szCs w:val="32"/>
          <w:highlight w:val="none"/>
        </w:rPr>
        <w:t>建立安全防护机制，保证项目实施各阶段安全顺利进行。</w:t>
      </w:r>
    </w:p>
    <w:p w14:paraId="04A9DB55">
      <w:pPr>
        <w:spacing w:line="60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sz w:val="32"/>
          <w:szCs w:val="32"/>
          <w:highlight w:val="none"/>
        </w:rPr>
        <w:t>本项目总投资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3710</w:t>
      </w:r>
      <w:r>
        <w:rPr>
          <w:rFonts w:eastAsia="仿宋_GB2312"/>
          <w:sz w:val="32"/>
          <w:szCs w:val="32"/>
          <w:highlight w:val="none"/>
        </w:rPr>
        <w:t>万元，其中：财政本级资金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eastAsia="仿宋_GB2312"/>
          <w:sz w:val="32"/>
          <w:szCs w:val="32"/>
          <w:highlight w:val="none"/>
        </w:rPr>
        <w:t>万元。项目实际支出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3620</w:t>
      </w:r>
      <w:r>
        <w:rPr>
          <w:rFonts w:eastAsia="仿宋_GB2312"/>
          <w:sz w:val="32"/>
          <w:szCs w:val="32"/>
          <w:highlight w:val="none"/>
        </w:rPr>
        <w:t>万元，支出率为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97.57</w:t>
      </w:r>
      <w:r>
        <w:rPr>
          <w:rFonts w:eastAsia="仿宋_GB2312"/>
          <w:sz w:val="32"/>
          <w:szCs w:val="32"/>
          <w:highlight w:val="none"/>
        </w:rPr>
        <w:t>%。</w:t>
      </w:r>
    </w:p>
    <w:p w14:paraId="1741CBAD">
      <w:pPr>
        <w:spacing w:line="600" w:lineRule="exact"/>
        <w:ind w:firstLine="643" w:firstLineChars="200"/>
        <w:rPr>
          <w:rFonts w:eastAsia="仿宋_GB2312"/>
          <w:b/>
          <w:bCs/>
          <w:sz w:val="32"/>
          <w:szCs w:val="32"/>
          <w:highlight w:val="none"/>
        </w:rPr>
      </w:pPr>
      <w:r>
        <w:rPr>
          <w:rFonts w:eastAsia="仿宋_GB2312"/>
          <w:b/>
          <w:bCs/>
          <w:sz w:val="32"/>
          <w:szCs w:val="32"/>
          <w:highlight w:val="none"/>
        </w:rPr>
        <w:t>3、资金投入和使用情况</w:t>
      </w:r>
    </w:p>
    <w:p w14:paraId="62FEB7E9">
      <w:pPr>
        <w:spacing w:line="600" w:lineRule="exact"/>
        <w:ind w:firstLine="640" w:firstLineChars="200"/>
        <w:rPr>
          <w:rFonts w:eastAsia="仿宋_GB2312"/>
          <w:sz w:val="20"/>
          <w:szCs w:val="20"/>
        </w:rPr>
      </w:pPr>
      <w:r>
        <w:rPr>
          <w:rFonts w:eastAsia="仿宋_GB2312"/>
          <w:sz w:val="32"/>
          <w:szCs w:val="32"/>
        </w:rPr>
        <w:t>（1）资金安排</w:t>
      </w:r>
    </w:p>
    <w:p w14:paraId="59746D4C"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</w:t>
      </w:r>
      <w:r>
        <w:rPr>
          <w:rFonts w:eastAsia="仿宋_GB2312"/>
          <w:sz w:val="32"/>
          <w:szCs w:val="32"/>
          <w:highlight w:val="none"/>
        </w:rPr>
        <w:t>总投资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3710</w:t>
      </w:r>
      <w:r>
        <w:rPr>
          <w:rFonts w:eastAsia="仿宋_GB2312"/>
          <w:sz w:val="32"/>
          <w:szCs w:val="32"/>
        </w:rPr>
        <w:t>万元，按照单位财务制度等相关规定，资金支出符合</w:t>
      </w:r>
      <w:r>
        <w:rPr>
          <w:rFonts w:hint="eastAsia" w:eastAsia="仿宋_GB2312"/>
          <w:sz w:val="32"/>
          <w:szCs w:val="32"/>
          <w:lang w:eastAsia="zh-CN"/>
        </w:rPr>
        <w:t>人才</w:t>
      </w:r>
      <w:r>
        <w:rPr>
          <w:rFonts w:eastAsia="仿宋_GB2312"/>
          <w:sz w:val="32"/>
          <w:szCs w:val="32"/>
        </w:rPr>
        <w:t>专项资金费用范围，做到了专款专用。在项目资金拨付和使用过程中，为确保项目资金的安全性，提高项目资金使用效率，严格遵循资金的拨付程序，认真审核项目实施各阶段的相关材料和手续，根据项目实施进展情况拨付资金。</w:t>
      </w:r>
    </w:p>
    <w:p w14:paraId="5DF195BC">
      <w:pPr>
        <w:spacing w:line="60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sz w:val="32"/>
          <w:szCs w:val="32"/>
        </w:rPr>
        <w:t>（2）预算资金来源及使用情况</w:t>
      </w:r>
      <w:bookmarkStart w:id="0" w:name="page10"/>
      <w:bookmarkEnd w:id="0"/>
    </w:p>
    <w:p w14:paraId="1BA40851">
      <w:pPr>
        <w:pStyle w:val="17"/>
        <w:spacing w:before="0" w:after="0" w:line="600" w:lineRule="exact"/>
        <w:ind w:firstLine="640" w:firstLineChars="200"/>
        <w:jc w:val="both"/>
        <w:rPr>
          <w:rFonts w:ascii="Times New Roman" w:hAnsi="Times New Roman" w:eastAsia="仿宋_GB2312"/>
          <w:b w:val="0"/>
          <w:bCs w:val="0"/>
          <w:kern w:val="2"/>
          <w:highlight w:val="none"/>
        </w:rPr>
      </w:pPr>
      <w:r>
        <w:rPr>
          <w:rFonts w:ascii="Times New Roman" w:hAnsi="Times New Roman" w:eastAsia="仿宋_GB2312"/>
          <w:b w:val="0"/>
          <w:bCs w:val="0"/>
          <w:kern w:val="2"/>
          <w:highlight w:val="none"/>
        </w:rPr>
        <w:t>项目预算资金来源于</w:t>
      </w:r>
      <w:r>
        <w:rPr>
          <w:rFonts w:hint="eastAsia" w:ascii="Times New Roman" w:hAnsi="Times New Roman" w:eastAsia="仿宋_GB2312"/>
          <w:b w:val="0"/>
          <w:bCs w:val="0"/>
          <w:kern w:val="2"/>
          <w:highlight w:val="none"/>
          <w:lang w:eastAsia="zh-CN"/>
        </w:rPr>
        <w:t>当年财政拨款</w:t>
      </w:r>
      <w:r>
        <w:rPr>
          <w:rFonts w:ascii="Times New Roman" w:hAnsi="Times New Roman" w:eastAsia="仿宋_GB2312"/>
          <w:b w:val="0"/>
          <w:bCs w:val="0"/>
          <w:kern w:val="2"/>
          <w:highlight w:val="none"/>
        </w:rPr>
        <w:t>，项目资金到位</w:t>
      </w:r>
      <w:r>
        <w:rPr>
          <w:rFonts w:hint="eastAsia" w:ascii="Times New Roman" w:hAnsi="Times New Roman" w:eastAsia="仿宋_GB2312"/>
          <w:b w:val="0"/>
          <w:bCs w:val="0"/>
          <w:kern w:val="2"/>
          <w:highlight w:val="none"/>
          <w:lang w:val="en-US" w:eastAsia="zh-CN"/>
        </w:rPr>
        <w:t>3710</w:t>
      </w:r>
      <w:r>
        <w:rPr>
          <w:rFonts w:ascii="Times New Roman" w:hAnsi="Times New Roman" w:eastAsia="仿宋_GB2312"/>
          <w:b w:val="0"/>
          <w:bCs w:val="0"/>
          <w:kern w:val="2"/>
          <w:highlight w:val="none"/>
        </w:rPr>
        <w:t>万元，</w:t>
      </w:r>
      <w:r>
        <w:rPr>
          <w:rFonts w:hint="eastAsia" w:ascii="Times New Roman" w:hAnsi="Times New Roman" w:eastAsia="仿宋_GB2312"/>
          <w:b w:val="0"/>
          <w:bCs w:val="0"/>
          <w:kern w:val="2"/>
          <w:highlight w:val="none"/>
        </w:rPr>
        <w:t>全年执行</w:t>
      </w:r>
      <w:r>
        <w:rPr>
          <w:rFonts w:hint="eastAsia" w:ascii="Times New Roman" w:hAnsi="Times New Roman" w:eastAsia="仿宋_GB2312"/>
          <w:b w:val="0"/>
          <w:bCs w:val="0"/>
          <w:kern w:val="2"/>
          <w:highlight w:val="none"/>
          <w:lang w:val="en-US" w:eastAsia="zh-CN"/>
        </w:rPr>
        <w:t>3620</w:t>
      </w:r>
      <w:r>
        <w:rPr>
          <w:rFonts w:hint="eastAsia" w:ascii="Times New Roman" w:hAnsi="Times New Roman" w:eastAsia="仿宋_GB2312"/>
          <w:b w:val="0"/>
          <w:bCs w:val="0"/>
          <w:kern w:val="2"/>
          <w:highlight w:val="none"/>
        </w:rPr>
        <w:t>万元，预算执行率为</w:t>
      </w:r>
      <w:r>
        <w:rPr>
          <w:rFonts w:hint="eastAsia" w:ascii="Times New Roman" w:hAnsi="Times New Roman" w:eastAsia="仿宋_GB2312"/>
          <w:b w:val="0"/>
          <w:bCs w:val="0"/>
          <w:kern w:val="2"/>
          <w:highlight w:val="none"/>
          <w:lang w:val="en-US" w:eastAsia="zh-CN"/>
        </w:rPr>
        <w:t>97.57</w:t>
      </w:r>
      <w:r>
        <w:rPr>
          <w:rFonts w:ascii="Times New Roman" w:hAnsi="Times New Roman" w:eastAsia="仿宋_GB2312"/>
          <w:b w:val="0"/>
          <w:bCs w:val="0"/>
          <w:kern w:val="2"/>
          <w:highlight w:val="none"/>
        </w:rPr>
        <w:t>%,</w:t>
      </w:r>
      <w:r>
        <w:rPr>
          <w:rFonts w:hint="eastAsia" w:ascii="Times New Roman" w:hAnsi="Times New Roman" w:eastAsia="仿宋_GB2312"/>
          <w:b w:val="0"/>
          <w:bCs w:val="0"/>
          <w:kern w:val="2"/>
          <w:highlight w:val="none"/>
        </w:rPr>
        <w:t>主要</w:t>
      </w:r>
      <w:r>
        <w:rPr>
          <w:rFonts w:ascii="Times New Roman" w:hAnsi="Times New Roman" w:eastAsia="仿宋_GB2312"/>
          <w:b w:val="0"/>
          <w:bCs w:val="0"/>
          <w:kern w:val="2"/>
          <w:highlight w:val="none"/>
        </w:rPr>
        <w:t>用于支付项目实施进程中的各项费用。</w:t>
      </w:r>
    </w:p>
    <w:p w14:paraId="663777F6">
      <w:pPr>
        <w:spacing w:line="600" w:lineRule="exact"/>
        <w:ind w:firstLine="643" w:firstLineChars="200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（二）项目绩效目标</w:t>
      </w:r>
    </w:p>
    <w:p w14:paraId="20994B3B"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1、总体目标</w:t>
      </w:r>
    </w:p>
    <w:p w14:paraId="00E14B91">
      <w:pPr>
        <w:pStyle w:val="2"/>
        <w:ind w:firstLine="640" w:firstLineChars="200"/>
        <w:rPr>
          <w:rFonts w:ascii="Times New Roman" w:hAnsi="Times New Roman" w:eastAsia="仿宋_GB2312" w:cs="Times New Roman"/>
          <w:b w:val="0"/>
          <w:bCs w:val="0"/>
          <w:i w:val="0"/>
          <w:i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kern w:val="2"/>
          <w:sz w:val="32"/>
          <w:szCs w:val="32"/>
          <w:lang w:val="en-US" w:eastAsia="zh-CN" w:bidi="ar-SA"/>
        </w:rPr>
        <w:t>进一步完善项目实施规范，进一步优化项目评选条件、遴选范围、评选程序等，充分调研企业实际情况，尽快制定项目绩效考核、资金使用等相应管理办法，做好2022年度入选人员及团队的跟踪问效，督促用人单位用好、用足培养资金，加大对入选人员的培养力度。围绕“八大产业集群”在更广泛领域遴选工程师及工程技术团队，加大培养力度。</w:t>
      </w:r>
    </w:p>
    <w:p w14:paraId="57BDEBFF">
      <w:pPr>
        <w:spacing w:line="600" w:lineRule="exact"/>
        <w:ind w:firstLine="640" w:firstLineChars="200"/>
      </w:pPr>
      <w:r>
        <w:rPr>
          <w:rFonts w:eastAsia="仿宋_GB2312"/>
          <w:sz w:val="32"/>
          <w:szCs w:val="32"/>
        </w:rPr>
        <w:t>2、阶段性目标</w:t>
      </w:r>
    </w:p>
    <w:p w14:paraId="2021C78F"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（1）前期准备：通过制定项目实施方案，经项目负责人审核通过后，有序开展后续工作。</w:t>
      </w:r>
    </w:p>
    <w:p w14:paraId="22D27030"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（2）组织实施：资金</w:t>
      </w:r>
      <w:r>
        <w:rPr>
          <w:rFonts w:hint="eastAsia" w:eastAsia="仿宋_GB2312"/>
          <w:sz w:val="32"/>
          <w:szCs w:val="32"/>
          <w:lang w:eastAsia="zh-CN"/>
        </w:rPr>
        <w:t>到位后</w:t>
      </w:r>
      <w:r>
        <w:rPr>
          <w:rFonts w:eastAsia="仿宋_GB2312"/>
          <w:sz w:val="32"/>
          <w:szCs w:val="32"/>
        </w:rPr>
        <w:t>，立即根据项目要求实施项目。项目责任人按照项目实施方案要求逐一进行项目部署安排，提高项目质量及效率性。</w:t>
      </w:r>
    </w:p>
    <w:p w14:paraId="4D4480DF"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二、绩效评价工作开展情况</w:t>
      </w:r>
    </w:p>
    <w:p w14:paraId="459B4488">
      <w:pPr>
        <w:spacing w:line="600" w:lineRule="exact"/>
        <w:ind w:firstLine="643" w:firstLineChars="200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（一）绩效评价目的、对象和范围</w:t>
      </w:r>
    </w:p>
    <w:p w14:paraId="55AD2808">
      <w:pPr>
        <w:pStyle w:val="17"/>
        <w:widowControl w:val="0"/>
        <w:spacing w:before="0" w:after="0" w:line="600" w:lineRule="exact"/>
        <w:ind w:firstLine="640" w:firstLineChars="200"/>
        <w:jc w:val="both"/>
        <w:outlineLvl w:val="9"/>
        <w:rPr>
          <w:rFonts w:ascii="Times New Roman" w:hAnsi="Times New Roman" w:eastAsia="仿宋_GB2312"/>
          <w:b w:val="0"/>
          <w:bCs w:val="0"/>
        </w:rPr>
      </w:pPr>
      <w:r>
        <w:rPr>
          <w:rFonts w:ascii="Times New Roman" w:hAnsi="Times New Roman" w:eastAsia="仿宋_GB2312"/>
          <w:b w:val="0"/>
          <w:bCs w:val="0"/>
        </w:rPr>
        <w:t>1、绩效评价的目的</w:t>
      </w:r>
    </w:p>
    <w:p w14:paraId="198E0904"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财政支出绩效评价运用科学、规范的绩效评价方法，制定统一的评价标准，使财政资金得到事前、事中和事后多方面的控制。财政支出绩效评价贯穿于财政支出安排和实施的全过程，是对财政支出效益、管理水平、投入风险等方面的综合评价；是发挥财政调控功能、提高财政资金安排科学性、促进财政支持社会经济目标实现的重要保证。</w:t>
      </w:r>
    </w:p>
    <w:p w14:paraId="174EBFB3">
      <w:pPr>
        <w:numPr>
          <w:ilvl w:val="0"/>
          <w:numId w:val="2"/>
        </w:num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项目在实施前向项目负责人提供财政支出绩效方面的资金管理信息，促进项目支出严格按照资金管理规定进行。</w:t>
      </w:r>
    </w:p>
    <w:p w14:paraId="055AFD44"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（2）项目绩效管理财政支出运行提供及时、有效的信息。</w:t>
      </w:r>
    </w:p>
    <w:p w14:paraId="1F6925BA"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综合来看，通过开展有效的财政支出绩效评价管理，达到改进预算管理、控制节约成本，提高预算资金使用效益的目的。</w:t>
      </w:r>
    </w:p>
    <w:p w14:paraId="70265DE4">
      <w:pPr>
        <w:pStyle w:val="17"/>
        <w:widowControl w:val="0"/>
        <w:spacing w:before="0" w:after="0" w:line="600" w:lineRule="exact"/>
        <w:ind w:firstLine="640" w:firstLineChars="200"/>
        <w:jc w:val="both"/>
        <w:outlineLvl w:val="9"/>
        <w:rPr>
          <w:rFonts w:ascii="Times New Roman" w:hAnsi="Times New Roman" w:eastAsia="仿宋_GB2312"/>
          <w:b w:val="0"/>
          <w:bCs w:val="0"/>
        </w:rPr>
      </w:pPr>
      <w:r>
        <w:rPr>
          <w:rFonts w:ascii="Times New Roman" w:hAnsi="Times New Roman" w:eastAsia="仿宋_GB2312"/>
          <w:b w:val="0"/>
          <w:bCs w:val="0"/>
        </w:rPr>
        <w:t>2、绩效评价的对象</w:t>
      </w:r>
    </w:p>
    <w:p w14:paraId="7ABCAB35">
      <w:pPr>
        <w:spacing w:line="576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天山英才计划-工程师、工程技术研发团队项目所包含的全部项目内容。</w:t>
      </w:r>
    </w:p>
    <w:p w14:paraId="6B6DE97D">
      <w:pPr>
        <w:pStyle w:val="17"/>
        <w:widowControl w:val="0"/>
        <w:spacing w:before="0" w:after="0" w:line="600" w:lineRule="exact"/>
        <w:ind w:firstLine="640" w:firstLineChars="200"/>
        <w:jc w:val="both"/>
        <w:outlineLvl w:val="9"/>
        <w:rPr>
          <w:rFonts w:ascii="Times New Roman" w:hAnsi="Times New Roman" w:eastAsia="仿宋_GB2312"/>
          <w:b w:val="0"/>
          <w:bCs w:val="0"/>
        </w:rPr>
      </w:pPr>
      <w:r>
        <w:rPr>
          <w:rFonts w:ascii="Times New Roman" w:hAnsi="Times New Roman" w:eastAsia="仿宋_GB2312"/>
          <w:b w:val="0"/>
          <w:bCs w:val="0"/>
        </w:rPr>
        <w:t>3、绩效评价的范围</w:t>
      </w:r>
    </w:p>
    <w:p w14:paraId="01C31AA7">
      <w:pPr>
        <w:spacing w:line="576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天山英才计划-工程师、工程技术研发团队项目的决策、过程、产出等。</w:t>
      </w:r>
    </w:p>
    <w:p w14:paraId="1D2FC5A4">
      <w:pPr>
        <w:spacing w:line="600" w:lineRule="exact"/>
        <w:ind w:firstLine="643" w:firstLineChars="200"/>
      </w:pPr>
      <w:r>
        <w:rPr>
          <w:rFonts w:eastAsia="楷体_GB2312"/>
          <w:b/>
          <w:bCs/>
          <w:sz w:val="32"/>
          <w:szCs w:val="32"/>
        </w:rPr>
        <w:t>（二）绩效评价原则、评价指标体系（详情见表1）、评价方法、评价标准。</w:t>
      </w:r>
    </w:p>
    <w:p w14:paraId="479CE4E2">
      <w:pPr>
        <w:pStyle w:val="17"/>
        <w:widowControl w:val="0"/>
        <w:spacing w:before="0" w:after="0" w:line="600" w:lineRule="exact"/>
        <w:ind w:firstLine="640" w:firstLineChars="200"/>
        <w:jc w:val="both"/>
        <w:outlineLvl w:val="9"/>
        <w:rPr>
          <w:rFonts w:ascii="Times New Roman" w:hAnsi="Times New Roman" w:eastAsia="仿宋_GB2312"/>
          <w:b w:val="0"/>
          <w:bCs w:val="0"/>
        </w:rPr>
      </w:pPr>
      <w:r>
        <w:rPr>
          <w:rFonts w:ascii="Times New Roman" w:hAnsi="Times New Roman" w:eastAsia="仿宋_GB2312"/>
          <w:b w:val="0"/>
          <w:bCs w:val="0"/>
        </w:rPr>
        <w:t>1、绩效评价原则</w:t>
      </w:r>
    </w:p>
    <w:p w14:paraId="28F72F53">
      <w:pPr>
        <w:spacing w:line="600" w:lineRule="exac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本次项目绩效评价遵循以下基本原则：</w:t>
      </w:r>
    </w:p>
    <w:p w14:paraId="4A9F326D">
      <w:pPr>
        <w:pStyle w:val="17"/>
        <w:spacing w:before="0" w:after="0" w:line="600" w:lineRule="exact"/>
        <w:ind w:firstLine="640" w:firstLineChars="200"/>
        <w:jc w:val="both"/>
        <w:outlineLvl w:val="9"/>
        <w:rPr>
          <w:rFonts w:ascii="Times New Roman" w:hAnsi="Times New Roman" w:eastAsia="仿宋_GB2312"/>
          <w:b w:val="0"/>
          <w:bCs w:val="0"/>
        </w:rPr>
      </w:pPr>
      <w:r>
        <w:rPr>
          <w:rFonts w:ascii="Times New Roman" w:hAnsi="Times New Roman" w:eastAsia="仿宋_GB2312"/>
          <w:b w:val="0"/>
          <w:bCs w:val="0"/>
        </w:rPr>
        <w:t>（1）科学公正。绩效评价应当运用科学合理的方法，按照规范的程序，对项目绩效进行客观、公正的反映。</w:t>
      </w:r>
    </w:p>
    <w:p w14:paraId="04840AED">
      <w:pPr>
        <w:pStyle w:val="17"/>
        <w:spacing w:before="0" w:after="0" w:line="600" w:lineRule="exact"/>
        <w:ind w:firstLine="640" w:firstLineChars="200"/>
        <w:jc w:val="both"/>
        <w:outlineLvl w:val="9"/>
        <w:rPr>
          <w:rFonts w:ascii="Times New Roman" w:hAnsi="Times New Roman" w:eastAsia="仿宋_GB2312"/>
          <w:b w:val="0"/>
          <w:bCs w:val="0"/>
        </w:rPr>
      </w:pPr>
      <w:r>
        <w:rPr>
          <w:rFonts w:ascii="Times New Roman" w:hAnsi="Times New Roman" w:eastAsia="仿宋_GB2312"/>
          <w:b w:val="0"/>
          <w:bCs w:val="0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 w14:paraId="763215CD">
      <w:pPr>
        <w:pStyle w:val="17"/>
        <w:spacing w:before="0" w:after="0" w:line="600" w:lineRule="exact"/>
        <w:ind w:firstLine="640" w:firstLineChars="200"/>
        <w:jc w:val="both"/>
        <w:outlineLvl w:val="9"/>
        <w:rPr>
          <w:rFonts w:ascii="Times New Roman" w:hAnsi="Times New Roman" w:eastAsia="仿宋_GB2312"/>
          <w:b w:val="0"/>
          <w:bCs w:val="0"/>
        </w:rPr>
      </w:pPr>
      <w:r>
        <w:rPr>
          <w:rFonts w:ascii="Times New Roman" w:hAnsi="Times New Roman" w:eastAsia="仿宋_GB2312"/>
          <w:b w:val="0"/>
          <w:bCs w:val="0"/>
        </w:rPr>
        <w:t>（3）激励约束。绩效评价结果应与预算安排、政策调整、改进管理实质性挂钩，体现奖优罚劣和激励相容导向，有效要安排、低效要压减、无效要问责。</w:t>
      </w:r>
    </w:p>
    <w:p w14:paraId="7E76D481">
      <w:pPr>
        <w:pStyle w:val="17"/>
        <w:spacing w:before="0" w:after="0" w:line="600" w:lineRule="exact"/>
        <w:ind w:firstLine="640" w:firstLineChars="200"/>
        <w:jc w:val="both"/>
        <w:outlineLvl w:val="9"/>
        <w:rPr>
          <w:rFonts w:ascii="Times New Roman" w:hAnsi="Times New Roman" w:eastAsia="仿宋_GB2312"/>
          <w:b w:val="0"/>
          <w:bCs w:val="0"/>
        </w:rPr>
      </w:pPr>
      <w:r>
        <w:rPr>
          <w:rFonts w:ascii="Times New Roman" w:hAnsi="Times New Roman" w:eastAsia="仿宋_GB2312"/>
          <w:b w:val="0"/>
          <w:bCs w:val="0"/>
        </w:rPr>
        <w:t>（4）公开透明。绩效评价结果应依法依规公开，并自觉接受社会监督。</w:t>
      </w:r>
    </w:p>
    <w:p w14:paraId="1BCCD983">
      <w:pPr>
        <w:pStyle w:val="17"/>
        <w:widowControl w:val="0"/>
        <w:spacing w:before="0" w:after="0" w:line="600" w:lineRule="exact"/>
        <w:ind w:firstLine="640" w:firstLineChars="200"/>
        <w:jc w:val="both"/>
        <w:outlineLvl w:val="9"/>
        <w:rPr>
          <w:rFonts w:ascii="Times New Roman" w:hAnsi="Times New Roman" w:eastAsia="仿宋_GB2312"/>
          <w:b w:val="0"/>
          <w:bCs w:val="0"/>
        </w:rPr>
      </w:pPr>
      <w:r>
        <w:rPr>
          <w:rFonts w:ascii="Times New Roman" w:hAnsi="Times New Roman" w:eastAsia="仿宋_GB2312"/>
          <w:b w:val="0"/>
          <w:bCs w:val="0"/>
        </w:rPr>
        <w:t>2、评价指标体系</w:t>
      </w:r>
    </w:p>
    <w:p w14:paraId="25C28E52">
      <w:pPr>
        <w:spacing w:line="600" w:lineRule="exact"/>
        <w:ind w:firstLine="708" w:firstLineChars="200"/>
        <w:rPr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</w:p>
    <w:p w14:paraId="48FE3C04">
      <w:pPr>
        <w:spacing w:line="60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（1）确定评价指标</w:t>
      </w:r>
    </w:p>
    <w:p w14:paraId="726AC349">
      <w:pPr>
        <w:spacing w:line="60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</w:p>
    <w:p w14:paraId="7FE42D18">
      <w:pPr>
        <w:spacing w:line="60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（2）确定权重</w:t>
      </w:r>
    </w:p>
    <w:p w14:paraId="3861543E">
      <w:pPr>
        <w:spacing w:line="60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确定各个指标相对于项目总体绩效的权重分值。在绩效评价指标体系中，项目决策权重为5分，项目过程权重为5分，项目产出权重为50分，项目效益权重为40分。</w:t>
      </w:r>
    </w:p>
    <w:p w14:paraId="3945311A">
      <w:pPr>
        <w:spacing w:line="60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（3）确定指标标准值</w:t>
      </w:r>
    </w:p>
    <w:p w14:paraId="6A53F4FD">
      <w:pPr>
        <w:spacing w:line="60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</w:p>
    <w:p w14:paraId="2F17F2D3">
      <w:pPr>
        <w:pStyle w:val="17"/>
        <w:spacing w:before="0" w:after="0" w:line="600" w:lineRule="exact"/>
        <w:ind w:firstLine="708" w:firstLineChars="200"/>
        <w:jc w:val="both"/>
        <w:rPr>
          <w:rFonts w:ascii="Times New Roman" w:hAnsi="Times New Roman" w:eastAsia="仿宋_GB2312"/>
          <w:b w:val="0"/>
          <w:bCs w:val="0"/>
          <w:color w:val="000000"/>
          <w:spacing w:val="17"/>
          <w:kern w:val="2"/>
        </w:rPr>
      </w:pPr>
      <w:r>
        <w:rPr>
          <w:rFonts w:ascii="Times New Roman" w:hAnsi="Times New Roman" w:eastAsia="仿宋_GB2312"/>
          <w:b w:val="0"/>
          <w:bCs w:val="0"/>
          <w:color w:val="000000"/>
          <w:spacing w:val="17"/>
          <w:kern w:val="2"/>
        </w:rPr>
        <w:t>绩效评价总分值100分，根据综合评分结果，评价计分90分-100分（含90分）对应的评分结果级别为优，80-90分（含80分）对应的评分结果级别为良，60-80分（含60分）对应的评分结果级别为中，60分以下对应的评分结果级别为差。</w:t>
      </w:r>
    </w:p>
    <w:p w14:paraId="745A99BB">
      <w:pPr>
        <w:pStyle w:val="17"/>
        <w:widowControl w:val="0"/>
        <w:spacing w:before="0" w:after="0" w:line="600" w:lineRule="exact"/>
        <w:ind w:firstLine="708" w:firstLineChars="200"/>
        <w:jc w:val="both"/>
        <w:outlineLvl w:val="9"/>
        <w:rPr>
          <w:rFonts w:ascii="Times New Roman" w:hAnsi="Times New Roman" w:eastAsia="仿宋_GB2312"/>
          <w:b w:val="0"/>
          <w:bCs w:val="0"/>
          <w:color w:val="000000"/>
          <w:spacing w:val="17"/>
        </w:rPr>
      </w:pPr>
      <w:r>
        <w:rPr>
          <w:rFonts w:ascii="Times New Roman" w:hAnsi="Times New Roman" w:eastAsia="仿宋_GB2312"/>
          <w:b w:val="0"/>
          <w:bCs w:val="0"/>
          <w:color w:val="000000"/>
          <w:spacing w:val="17"/>
        </w:rPr>
        <w:t>具体评价指标体系详情见附件1</w:t>
      </w:r>
    </w:p>
    <w:p w14:paraId="52CC9482">
      <w:pPr>
        <w:pStyle w:val="17"/>
        <w:widowControl w:val="0"/>
        <w:spacing w:before="0" w:after="0" w:line="600" w:lineRule="exact"/>
        <w:ind w:firstLine="640" w:firstLineChars="200"/>
        <w:jc w:val="both"/>
        <w:outlineLvl w:val="9"/>
        <w:rPr>
          <w:rFonts w:ascii="Times New Roman" w:hAnsi="Times New Roman" w:eastAsia="仿宋_GB2312"/>
          <w:b w:val="0"/>
          <w:bCs w:val="0"/>
        </w:rPr>
      </w:pPr>
      <w:r>
        <w:rPr>
          <w:rFonts w:ascii="Times New Roman" w:hAnsi="Times New Roman" w:eastAsia="仿宋_GB2312"/>
          <w:b w:val="0"/>
          <w:bCs w:val="0"/>
        </w:rPr>
        <w:t>3、绩效评价方法</w:t>
      </w:r>
    </w:p>
    <w:p w14:paraId="1F391398">
      <w:pPr>
        <w:spacing w:line="60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绩效评价从项目决策、项目过程、项目产出、项目效益四个维度进行评价。评价对象为项目目标实施情况，  评价核心为资金的支出完成情况和项目的产出效益。</w:t>
      </w:r>
    </w:p>
    <w:p w14:paraId="755A31DF">
      <w:pPr>
        <w:spacing w:line="60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本次评价指标中，既有定性指标又有定量指标，各类指标因考核内容不同和客观标准不同存在较大差异，因此核定具体指标时采用了不同方法，具体评价方法如下：</w:t>
      </w:r>
    </w:p>
    <w:p w14:paraId="7A59B2D5">
      <w:pPr>
        <w:spacing w:line="60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（1）比较法</w:t>
      </w:r>
    </w:p>
    <w:p w14:paraId="36D976CA">
      <w:pPr>
        <w:spacing w:line="60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通过对绩效目标与实施效果、历史与当期情况，综合分析绩效目标实现程度。对</w:t>
      </w:r>
      <w:r>
        <w:rPr>
          <w:rFonts w:eastAsia="仿宋_GB2312"/>
          <w:sz w:val="32"/>
          <w:szCs w:val="32"/>
        </w:rPr>
        <w:t>项目</w:t>
      </w:r>
      <w:r>
        <w:rPr>
          <w:rFonts w:eastAsia="仿宋_GB2312"/>
          <w:color w:val="000000"/>
          <w:spacing w:val="17"/>
          <w:sz w:val="32"/>
          <w:szCs w:val="32"/>
        </w:rPr>
        <w:t>最终验收情况与年度绩效目标对比、预算资金执行情况等相关因素进行比较。</w:t>
      </w:r>
    </w:p>
    <w:p w14:paraId="1415A34F">
      <w:pPr>
        <w:spacing w:line="60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（2）因素分析法</w:t>
      </w:r>
    </w:p>
    <w:p w14:paraId="59273307">
      <w:pPr>
        <w:spacing w:line="60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通过综合分析影响绩效目标实现、实施效果的内外因素，评价绩效目标实现程度。通过对</w:t>
      </w:r>
      <w:r>
        <w:rPr>
          <w:rFonts w:eastAsia="仿宋_GB2312"/>
          <w:sz w:val="32"/>
          <w:szCs w:val="32"/>
        </w:rPr>
        <w:t>项目</w:t>
      </w:r>
      <w:r>
        <w:rPr>
          <w:rFonts w:eastAsia="仿宋_GB2312"/>
          <w:color w:val="000000"/>
          <w:spacing w:val="17"/>
          <w:sz w:val="32"/>
          <w:szCs w:val="32"/>
        </w:rPr>
        <w:t>的开展情况、项目产出数量、成本控制、资金拨付文件及自评报告等相关资料的收集和审核，综合分析各因素对绩效目标实现的影响。</w:t>
      </w:r>
    </w:p>
    <w:p w14:paraId="3D1F380D">
      <w:pPr>
        <w:pStyle w:val="17"/>
        <w:widowControl w:val="0"/>
        <w:spacing w:before="0" w:after="0" w:line="600" w:lineRule="exact"/>
        <w:ind w:firstLine="640" w:firstLineChars="200"/>
        <w:jc w:val="both"/>
        <w:outlineLvl w:val="9"/>
        <w:rPr>
          <w:rFonts w:ascii="Times New Roman" w:hAnsi="Times New Roman" w:eastAsia="仿宋_GB2312"/>
          <w:b w:val="0"/>
          <w:bCs w:val="0"/>
        </w:rPr>
      </w:pPr>
      <w:r>
        <w:rPr>
          <w:rFonts w:ascii="Times New Roman" w:hAnsi="Times New Roman" w:eastAsia="仿宋_GB2312"/>
          <w:b w:val="0"/>
          <w:bCs w:val="0"/>
        </w:rPr>
        <w:t>4、评价标准</w:t>
      </w:r>
    </w:p>
    <w:p w14:paraId="7B19B7FD">
      <w:pPr>
        <w:spacing w:line="60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绩效评价标准通常包括计划标准、行业标准、历史标准等，用于对绩效指标完成情况进行比较。本次评价主要采用了计划标准和行业标准。</w:t>
      </w:r>
    </w:p>
    <w:p w14:paraId="6997BF36">
      <w:pPr>
        <w:pStyle w:val="17"/>
        <w:numPr>
          <w:ilvl w:val="0"/>
          <w:numId w:val="3"/>
        </w:numPr>
        <w:spacing w:before="0" w:after="0" w:line="600" w:lineRule="exact"/>
        <w:ind w:firstLine="711" w:firstLineChars="200"/>
        <w:jc w:val="both"/>
        <w:rPr>
          <w:rFonts w:ascii="楷体" w:hAnsi="楷体" w:eastAsia="楷体" w:cs="楷体"/>
          <w:color w:val="000000"/>
          <w:spacing w:val="17"/>
        </w:rPr>
      </w:pPr>
      <w:r>
        <w:rPr>
          <w:rFonts w:hint="eastAsia" w:ascii="楷体" w:hAnsi="楷体" w:eastAsia="楷体" w:cs="楷体"/>
          <w:color w:val="000000"/>
          <w:spacing w:val="17"/>
        </w:rPr>
        <w:t>绩效评价工作过程</w:t>
      </w:r>
    </w:p>
    <w:p w14:paraId="1E7CDE07">
      <w:pPr>
        <w:numPr>
          <w:ilvl w:val="0"/>
          <w:numId w:val="4"/>
        </w:numPr>
        <w:spacing w:line="60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hint="eastAsia" w:eastAsia="仿宋_GB2312"/>
          <w:bCs/>
          <w:sz w:val="32"/>
          <w:szCs w:val="32"/>
        </w:rPr>
        <w:t>前期准备。首先成立评价工作组，开展前期调研；其次明确项目绩效目标，设计绩效评价指标体系并确定绩效评价方法；接着确定现场和非现场评价范围，设计资料清单；最后制定评价实施方案并进行论证。</w:t>
      </w:r>
    </w:p>
    <w:p w14:paraId="102F22DA">
      <w:pPr>
        <w:numPr>
          <w:ilvl w:val="0"/>
          <w:numId w:val="4"/>
        </w:numPr>
        <w:spacing w:line="60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hint="eastAsia" w:eastAsia="仿宋_GB2312"/>
          <w:bCs/>
          <w:sz w:val="32"/>
          <w:szCs w:val="32"/>
        </w:rPr>
        <w:t>组织实施。制定绩效评价工作方案，具体包括项目概况、评价思路、方法手段、组织实施、进度安排等。收集项目立项依据、相关会议纪要、实施方案、财政资金分配方案、支付管理情况等相关评价资料并进行梳理。</w:t>
      </w:r>
    </w:p>
    <w:p w14:paraId="3ABA7E8B">
      <w:pPr>
        <w:numPr>
          <w:ilvl w:val="0"/>
          <w:numId w:val="4"/>
        </w:numPr>
        <w:spacing w:line="600" w:lineRule="exact"/>
        <w:ind w:firstLine="640" w:firstLineChars="200"/>
        <w:rPr>
          <w:sz w:val="32"/>
          <w:szCs w:val="32"/>
        </w:rPr>
      </w:pPr>
      <w:r>
        <w:rPr>
          <w:rFonts w:hint="eastAsia" w:eastAsia="仿宋_GB2312"/>
          <w:bCs/>
          <w:sz w:val="32"/>
          <w:szCs w:val="32"/>
        </w:rPr>
        <w:t>分析评价。根据收集梳理的资料围绕项目立项、资金落实、业务管理、财务管理、项目产出、项目效益等内容，对照已确定的绩效评价指标进行详细全面的分析评价，逐项打分并形成绩效评价最终结果。</w:t>
      </w:r>
    </w:p>
    <w:p w14:paraId="25A81C66">
      <w:pPr>
        <w:numPr>
          <w:ilvl w:val="0"/>
          <w:numId w:val="5"/>
        </w:num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综合评价情况及评价结论（附相关评分表）</w:t>
      </w:r>
    </w:p>
    <w:p w14:paraId="012D9AC1">
      <w:pPr>
        <w:pStyle w:val="17"/>
        <w:widowControl w:val="0"/>
        <w:spacing w:before="0" w:after="0" w:line="600" w:lineRule="exact"/>
        <w:ind w:firstLine="640" w:firstLineChars="200"/>
        <w:jc w:val="both"/>
        <w:outlineLvl w:val="9"/>
        <w:rPr>
          <w:rFonts w:ascii="Times New Roman" w:hAnsi="Times New Roman" w:eastAsia="仿宋_GB2312"/>
          <w:sz w:val="30"/>
          <w:szCs w:val="30"/>
          <w:highlight w:val="none"/>
        </w:rPr>
      </w:pPr>
      <w:r>
        <w:rPr>
          <w:rFonts w:ascii="Times New Roman" w:hAnsi="Times New Roman" w:eastAsia="仿宋_GB2312"/>
          <w:b w:val="0"/>
          <w:bCs w:val="0"/>
          <w:highlight w:val="none"/>
        </w:rPr>
        <w:t>对</w:t>
      </w:r>
      <w:r>
        <w:rPr>
          <w:rFonts w:hint="eastAsia" w:ascii="Times New Roman" w:hAnsi="Times New Roman" w:eastAsia="仿宋_GB2312"/>
          <w:b w:val="0"/>
          <w:bCs w:val="0"/>
          <w:highlight w:val="none"/>
        </w:rPr>
        <w:t>天山英才计划-工程师、工程技术研发团队</w:t>
      </w:r>
      <w:r>
        <w:rPr>
          <w:rFonts w:ascii="Times New Roman" w:hAnsi="Times New Roman" w:eastAsia="仿宋_GB2312"/>
          <w:b w:val="0"/>
          <w:bCs w:val="0"/>
          <w:highlight w:val="none"/>
        </w:rPr>
        <w:t xml:space="preserve">项目进行客观评价，最终评分结果：总得分为 </w:t>
      </w:r>
      <w:r>
        <w:rPr>
          <w:rFonts w:hint="eastAsia" w:ascii="Times New Roman" w:hAnsi="Times New Roman" w:eastAsia="仿宋_GB2312"/>
          <w:b w:val="0"/>
          <w:bCs w:val="0"/>
          <w:highlight w:val="none"/>
          <w:lang w:val="en-US" w:eastAsia="zh-CN"/>
        </w:rPr>
        <w:t>99.18</w:t>
      </w:r>
      <w:r>
        <w:rPr>
          <w:rFonts w:ascii="Times New Roman" w:hAnsi="Times New Roman" w:eastAsia="仿宋_GB2312"/>
          <w:b w:val="0"/>
          <w:bCs w:val="0"/>
          <w:highlight w:val="none"/>
        </w:rPr>
        <w:t>分，属于“优”。其中，项目决策类指标权重为</w:t>
      </w:r>
      <w:r>
        <w:rPr>
          <w:rFonts w:hint="eastAsia" w:ascii="Times New Roman" w:hAnsi="Times New Roman" w:eastAsia="仿宋_GB2312"/>
          <w:b w:val="0"/>
          <w:bCs w:val="0"/>
          <w:highlight w:val="none"/>
        </w:rPr>
        <w:t>20</w:t>
      </w:r>
      <w:r>
        <w:rPr>
          <w:rFonts w:ascii="Times New Roman" w:hAnsi="Times New Roman" w:eastAsia="仿宋_GB2312"/>
          <w:b w:val="0"/>
          <w:bCs w:val="0"/>
          <w:highlight w:val="none"/>
        </w:rPr>
        <w:t xml:space="preserve">分，得分为 </w:t>
      </w:r>
      <w:r>
        <w:rPr>
          <w:rFonts w:hint="eastAsia" w:ascii="Times New Roman" w:hAnsi="Times New Roman" w:eastAsia="仿宋_GB2312"/>
          <w:b w:val="0"/>
          <w:bCs w:val="0"/>
          <w:highlight w:val="none"/>
          <w:lang w:val="en-US" w:eastAsia="zh-CN"/>
        </w:rPr>
        <w:t>19.76</w:t>
      </w:r>
      <w:r>
        <w:rPr>
          <w:rFonts w:ascii="Times New Roman" w:hAnsi="Times New Roman" w:eastAsia="仿宋_GB2312"/>
          <w:b w:val="0"/>
          <w:bCs w:val="0"/>
          <w:highlight w:val="none"/>
        </w:rPr>
        <w:t xml:space="preserve">分，得分率为 </w:t>
      </w:r>
      <w:r>
        <w:rPr>
          <w:rFonts w:hint="eastAsia" w:ascii="Times New Roman" w:hAnsi="Times New Roman" w:eastAsia="仿宋_GB2312"/>
          <w:b w:val="0"/>
          <w:bCs w:val="0"/>
          <w:highlight w:val="none"/>
          <w:lang w:val="en-US" w:eastAsia="zh-CN"/>
        </w:rPr>
        <w:t>98.8</w:t>
      </w:r>
      <w:r>
        <w:rPr>
          <w:rFonts w:ascii="Times New Roman" w:hAnsi="Times New Roman" w:eastAsia="仿宋_GB2312"/>
          <w:b w:val="0"/>
          <w:bCs w:val="0"/>
          <w:highlight w:val="none"/>
        </w:rPr>
        <w:t>%。项目过程类指标权重为</w:t>
      </w:r>
      <w:r>
        <w:rPr>
          <w:rFonts w:hint="eastAsia" w:ascii="Times New Roman" w:hAnsi="Times New Roman" w:eastAsia="仿宋_GB2312"/>
          <w:b w:val="0"/>
          <w:bCs w:val="0"/>
          <w:highlight w:val="none"/>
        </w:rPr>
        <w:t>20</w:t>
      </w:r>
      <w:r>
        <w:rPr>
          <w:rFonts w:ascii="Times New Roman" w:hAnsi="Times New Roman" w:eastAsia="仿宋_GB2312"/>
          <w:b w:val="0"/>
          <w:bCs w:val="0"/>
          <w:highlight w:val="none"/>
        </w:rPr>
        <w:t>分，得分为</w:t>
      </w:r>
      <w:r>
        <w:rPr>
          <w:rFonts w:hint="eastAsia" w:ascii="Times New Roman" w:hAnsi="Times New Roman" w:eastAsia="仿宋_GB2312"/>
          <w:b w:val="0"/>
          <w:bCs w:val="0"/>
          <w:highlight w:val="none"/>
          <w:lang w:val="en-US" w:eastAsia="zh-CN"/>
        </w:rPr>
        <w:t>20</w:t>
      </w:r>
      <w:r>
        <w:rPr>
          <w:rFonts w:ascii="Times New Roman" w:hAnsi="Times New Roman" w:eastAsia="仿宋_GB2312"/>
          <w:b w:val="0"/>
          <w:bCs w:val="0"/>
          <w:highlight w:val="none"/>
        </w:rPr>
        <w:t>分，得分率为</w:t>
      </w:r>
      <w:r>
        <w:rPr>
          <w:rFonts w:hint="eastAsia" w:ascii="Times New Roman" w:hAnsi="Times New Roman" w:eastAsia="仿宋_GB2312"/>
          <w:b w:val="0"/>
          <w:bCs w:val="0"/>
          <w:highlight w:val="none"/>
          <w:lang w:val="en-US" w:eastAsia="zh-CN"/>
        </w:rPr>
        <w:t>100</w:t>
      </w:r>
      <w:r>
        <w:rPr>
          <w:rFonts w:ascii="Times New Roman" w:hAnsi="Times New Roman" w:eastAsia="仿宋_GB2312"/>
          <w:b w:val="0"/>
          <w:bCs w:val="0"/>
          <w:highlight w:val="none"/>
        </w:rPr>
        <w:t>%。项目产出类指标权重为</w:t>
      </w:r>
      <w:r>
        <w:rPr>
          <w:rFonts w:hint="eastAsia" w:ascii="Times New Roman" w:hAnsi="Times New Roman" w:eastAsia="仿宋_GB2312"/>
          <w:b w:val="0"/>
          <w:bCs w:val="0"/>
          <w:highlight w:val="none"/>
        </w:rPr>
        <w:t>40</w:t>
      </w:r>
      <w:r>
        <w:rPr>
          <w:rFonts w:ascii="Times New Roman" w:hAnsi="Times New Roman" w:eastAsia="仿宋_GB2312"/>
          <w:b w:val="0"/>
          <w:bCs w:val="0"/>
          <w:highlight w:val="none"/>
        </w:rPr>
        <w:t>分，得分为</w:t>
      </w:r>
      <w:r>
        <w:rPr>
          <w:rFonts w:hint="eastAsia" w:ascii="Times New Roman" w:hAnsi="Times New Roman" w:eastAsia="仿宋_GB2312"/>
          <w:b w:val="0"/>
          <w:bCs w:val="0"/>
          <w:highlight w:val="none"/>
          <w:lang w:val="en-US" w:eastAsia="zh-CN"/>
        </w:rPr>
        <w:t>39.42</w:t>
      </w:r>
      <w:r>
        <w:rPr>
          <w:rFonts w:ascii="Times New Roman" w:hAnsi="Times New Roman" w:eastAsia="仿宋_GB2312"/>
          <w:b w:val="0"/>
          <w:bCs w:val="0"/>
          <w:highlight w:val="none"/>
        </w:rPr>
        <w:t>分，得分率为</w:t>
      </w:r>
      <w:r>
        <w:rPr>
          <w:rFonts w:hint="eastAsia" w:ascii="Times New Roman" w:hAnsi="Times New Roman" w:eastAsia="仿宋_GB2312"/>
          <w:b w:val="0"/>
          <w:bCs w:val="0"/>
          <w:highlight w:val="none"/>
          <w:lang w:val="en-US" w:eastAsia="zh-CN"/>
        </w:rPr>
        <w:t>98.55</w:t>
      </w:r>
      <w:r>
        <w:rPr>
          <w:rFonts w:ascii="Times New Roman" w:hAnsi="Times New Roman" w:eastAsia="仿宋_GB2312"/>
          <w:b w:val="0"/>
          <w:bCs w:val="0"/>
          <w:highlight w:val="none"/>
        </w:rPr>
        <w:t>%。项目效益类指标权重为</w:t>
      </w:r>
      <w:r>
        <w:rPr>
          <w:rFonts w:hint="eastAsia" w:ascii="Times New Roman" w:hAnsi="Times New Roman" w:eastAsia="仿宋_GB2312"/>
          <w:b w:val="0"/>
          <w:bCs w:val="0"/>
          <w:highlight w:val="none"/>
        </w:rPr>
        <w:t>20</w:t>
      </w:r>
      <w:r>
        <w:rPr>
          <w:rFonts w:ascii="Times New Roman" w:hAnsi="Times New Roman" w:eastAsia="仿宋_GB2312"/>
          <w:b w:val="0"/>
          <w:bCs w:val="0"/>
          <w:highlight w:val="none"/>
        </w:rPr>
        <w:t>分，得分为</w:t>
      </w:r>
      <w:r>
        <w:rPr>
          <w:rFonts w:hint="eastAsia" w:ascii="Times New Roman" w:hAnsi="Times New Roman" w:eastAsia="仿宋_GB2312"/>
          <w:b w:val="0"/>
          <w:bCs w:val="0"/>
          <w:highlight w:val="none"/>
          <w:lang w:val="en-US" w:eastAsia="zh-CN"/>
        </w:rPr>
        <w:t>20</w:t>
      </w:r>
      <w:r>
        <w:rPr>
          <w:rFonts w:ascii="Times New Roman" w:hAnsi="Times New Roman" w:eastAsia="仿宋_GB2312"/>
          <w:b w:val="0"/>
          <w:bCs w:val="0"/>
          <w:highlight w:val="none"/>
        </w:rPr>
        <w:t>分，得分率为</w:t>
      </w:r>
      <w:r>
        <w:rPr>
          <w:rFonts w:hint="eastAsia" w:ascii="Times New Roman" w:hAnsi="Times New Roman" w:eastAsia="仿宋_GB2312"/>
          <w:b w:val="0"/>
          <w:bCs w:val="0"/>
          <w:highlight w:val="none"/>
          <w:lang w:val="en-US" w:eastAsia="zh-CN"/>
        </w:rPr>
        <w:t>100</w:t>
      </w:r>
      <w:r>
        <w:rPr>
          <w:rFonts w:ascii="Times New Roman" w:hAnsi="Times New Roman" w:eastAsia="仿宋_GB2312"/>
          <w:b w:val="0"/>
          <w:bCs w:val="0"/>
          <w:highlight w:val="none"/>
        </w:rPr>
        <w:t>%。</w:t>
      </w:r>
    </w:p>
    <w:p w14:paraId="7472D8B9"/>
    <w:p w14:paraId="5552D5E5"/>
    <w:p w14:paraId="32416A1B">
      <w:pPr>
        <w:spacing w:line="600" w:lineRule="exact"/>
        <w:ind w:firstLine="320" w:firstLineChars="1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四、绩效评价指标分析</w:t>
      </w:r>
    </w:p>
    <w:p w14:paraId="6EF54CB4">
      <w:pPr>
        <w:pStyle w:val="17"/>
        <w:ind w:firstLine="321" w:firstLineChars="100"/>
        <w:jc w:val="both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>（一）项目决策情况</w:t>
      </w:r>
    </w:p>
    <w:p w14:paraId="7C240060">
      <w:pPr>
        <w:spacing w:line="600" w:lineRule="exact"/>
        <w:ind w:firstLine="640" w:firstLineChars="200"/>
        <w:outlineLvl w:val="0"/>
      </w:pPr>
      <w:r>
        <w:rPr>
          <w:rFonts w:hint="eastAsia" w:ascii="仿宋_GB2312" w:hAnsi="仿宋_GB2312" w:eastAsia="仿宋_GB2312" w:cs="仿宋_GB2312"/>
          <w:sz w:val="32"/>
          <w:szCs w:val="32"/>
        </w:rPr>
        <w:t>项目立项符合法律法规、相关政策及部门职责，能反映和考核项目立项依据情况，项目申请、设立过程符合相关要求，能反映和考核项目立项的规范情况，所设定的绩效目标依据充分，符合客观实际，能反映和考核项目绩效目标与项目实施的相符情况，依据绩效目标设定的绩效指标清晰、细化、可衡量，能反映和考核项目绩效目标的明细化情况。</w:t>
      </w:r>
    </w:p>
    <w:p w14:paraId="06626FEC">
      <w:pPr>
        <w:pStyle w:val="17"/>
        <w:ind w:firstLine="321" w:firstLineChars="100"/>
        <w:jc w:val="both"/>
        <w:rPr>
          <w:rFonts w:ascii="Times New Roman" w:hAnsi="Times New Roman" w:eastAsia="楷体_GB2312"/>
        </w:rPr>
      </w:pPr>
      <w:r>
        <w:rPr>
          <w:rFonts w:hint="eastAsia" w:ascii="Times New Roman" w:hAnsi="Times New Roman" w:eastAsia="楷体_GB2312"/>
        </w:rPr>
        <w:t>（二）</w:t>
      </w:r>
      <w:r>
        <w:rPr>
          <w:rFonts w:ascii="Times New Roman" w:hAnsi="Times New Roman" w:eastAsia="楷体_GB2312"/>
        </w:rPr>
        <w:t>项目过程情况</w:t>
      </w:r>
    </w:p>
    <w:p w14:paraId="7679A57B">
      <w:pPr>
        <w:spacing w:line="600" w:lineRule="exact"/>
        <w:ind w:firstLine="640" w:firstLineChars="200"/>
        <w:outlineLvl w:val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严格按照预期绩效目标执行预算资金。项目资金使用符合相关的财务管理制度规定，能够反映和考核项目资金的规范运行情况；项目实施单位的财务和业务管理制度健全，能够反映和考核财务和业务管理制度对项目顺利实施的保障情况。</w:t>
      </w:r>
    </w:p>
    <w:p w14:paraId="12841EE0">
      <w:pPr>
        <w:pStyle w:val="17"/>
        <w:ind w:firstLine="321" w:firstLineChars="100"/>
        <w:jc w:val="both"/>
        <w:rPr>
          <w:rFonts w:ascii="Times New Roman" w:hAnsi="Times New Roman" w:eastAsia="楷体_GB2312"/>
        </w:rPr>
      </w:pPr>
      <w:r>
        <w:rPr>
          <w:rFonts w:hint="eastAsia" w:ascii="Times New Roman" w:hAnsi="Times New Roman" w:eastAsia="楷体_GB2312"/>
        </w:rPr>
        <w:t>（三）</w:t>
      </w:r>
      <w:r>
        <w:rPr>
          <w:rFonts w:ascii="Times New Roman" w:hAnsi="Times New Roman" w:eastAsia="楷体_GB2312"/>
        </w:rPr>
        <w:t>项目产出</w:t>
      </w:r>
    </w:p>
    <w:p w14:paraId="7A9AD6B9">
      <w:pPr>
        <w:spacing w:line="600" w:lineRule="exact"/>
        <w:ind w:firstLine="624" w:firstLineChars="200"/>
        <w:rPr>
          <w:rStyle w:val="22"/>
          <w:rFonts w:eastAsia="仿宋"/>
          <w:b w:val="0"/>
          <w:spacing w:val="-4"/>
          <w:sz w:val="32"/>
          <w:szCs w:val="32"/>
        </w:rPr>
      </w:pPr>
      <w:r>
        <w:rPr>
          <w:rStyle w:val="22"/>
          <w:rFonts w:eastAsia="仿宋"/>
          <w:b w:val="0"/>
          <w:spacing w:val="-4"/>
          <w:sz w:val="32"/>
          <w:szCs w:val="32"/>
        </w:rPr>
        <w:t>数量指标方面：</w:t>
      </w:r>
    </w:p>
    <w:p w14:paraId="255DB9A1">
      <w:pPr>
        <w:pStyle w:val="17"/>
        <w:numPr>
          <w:ilvl w:val="0"/>
          <w:numId w:val="0"/>
        </w:numPr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a.培养青年工程师指标，指标值为57，实际完成54，完成率94.74%，偏差率5.26%，偏差原因是工程师因个人原因离职导致项目终止。</w:t>
      </w:r>
    </w:p>
    <w:p w14:paraId="420392B8">
      <w:pPr>
        <w:pStyle w:val="17"/>
        <w:numPr>
          <w:ilvl w:val="0"/>
          <w:numId w:val="0"/>
        </w:numPr>
        <w:ind w:firstLine="640" w:firstLineChars="200"/>
        <w:jc w:val="left"/>
        <w:rPr>
          <w:rFonts w:hint="eastAsia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b.培养优秀工程师指标，指标值为49，实际完成48，完成率97.96%，偏差率2.04%，偏差原因是工程师因个人原因离职导致项目终止。</w:t>
      </w:r>
    </w:p>
    <w:p w14:paraId="50F49E31">
      <w:pPr>
        <w:pStyle w:val="17"/>
        <w:numPr>
          <w:ilvl w:val="0"/>
          <w:numId w:val="0"/>
        </w:numPr>
        <w:ind w:firstLine="643" w:firstLineChars="200"/>
        <w:jc w:val="left"/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" w:bidi="ar-SA"/>
        </w:rPr>
      </w:pPr>
      <w:r>
        <w:rPr>
          <w:rStyle w:val="51"/>
          <w:rFonts w:ascii="Times New Roman" w:hAnsi="Times New Roman" w:cs="Times New Roman"/>
          <w:color w:val="auto"/>
        </w:rPr>
        <w:t>质量指标方面</w:t>
      </w:r>
      <w:r>
        <w:rPr>
          <w:rStyle w:val="51"/>
          <w:rFonts w:ascii="Times New Roman" w:hAnsi="Times New Roman" w:cs="Times New Roman"/>
          <w:color w:val="auto"/>
          <w:highlight w:val="none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a.任务书履约率指标，指标值为85%，实际完成87%，完成率97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" w:bidi="ar-SA"/>
        </w:rPr>
        <w:t>.7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%，偏差率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" w:bidi="ar-SA"/>
        </w:rPr>
        <w:t>2.3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%，偏差原因是根据实际情况填写。</w:t>
      </w:r>
    </w:p>
    <w:p w14:paraId="1F3B2F7F">
      <w:pPr>
        <w:pStyle w:val="17"/>
        <w:numPr>
          <w:ilvl w:val="0"/>
          <w:numId w:val="0"/>
        </w:numPr>
        <w:ind w:firstLine="640" w:firstLineChars="200"/>
        <w:jc w:val="left"/>
        <w:rPr>
          <w:rFonts w:ascii="Times New Roman" w:hAnsi="Times New Roman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b.解决生产技术难题指标，指标值为50个，实际完成52个，完成率102%，偏差率2%，偏差原因是根据实际情况填写。</w:t>
      </w:r>
    </w:p>
    <w:p w14:paraId="3156CD86">
      <w:pPr>
        <w:pStyle w:val="17"/>
        <w:numPr>
          <w:ilvl w:val="0"/>
          <w:numId w:val="0"/>
        </w:numPr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Style w:val="51"/>
          <w:rFonts w:ascii="Times New Roman" w:hAnsi="Times New Roman" w:cs="Times New Roman"/>
          <w:b w:val="0"/>
          <w:bCs w:val="0"/>
          <w:color w:val="auto"/>
        </w:rPr>
        <w:t>成本指标方面：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a.拨付财政资金,指标值为100%，实际完成1007%，完成率100%，偏差率0%。</w:t>
      </w:r>
    </w:p>
    <w:p w14:paraId="710E4D51">
      <w:pPr>
        <w:pStyle w:val="17"/>
        <w:numPr>
          <w:ilvl w:val="0"/>
          <w:numId w:val="0"/>
        </w:numPr>
        <w:ind w:firstLine="640" w:firstLineChars="200"/>
        <w:jc w:val="left"/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b.用人单位提供人才培养平台，指标值为效果显著，实际完成效果显著，完成率100%，偏差率0%。</w:t>
      </w:r>
    </w:p>
    <w:p w14:paraId="597A3355">
      <w:pPr>
        <w:pStyle w:val="17"/>
        <w:numPr>
          <w:ilvl w:val="0"/>
          <w:numId w:val="0"/>
        </w:numPr>
        <w:ind w:firstLine="643" w:firstLineChars="200"/>
        <w:jc w:val="left"/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" w:bidi="ar-SA"/>
        </w:rPr>
      </w:pPr>
      <w:r>
        <w:rPr>
          <w:rStyle w:val="51"/>
          <w:rFonts w:ascii="Times New Roman" w:hAnsi="Times New Roman" w:cs="Times New Roman"/>
          <w:color w:val="auto"/>
        </w:rPr>
        <w:t>时效指标方面：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a.资金拨付及时率，指标值为100%，实际完成100%，完成率100%，偏差率0%。</w:t>
      </w:r>
    </w:p>
    <w:p w14:paraId="7C90E594">
      <w:pPr>
        <w:pStyle w:val="17"/>
        <w:numPr>
          <w:ilvl w:val="0"/>
          <w:numId w:val="0"/>
        </w:numPr>
        <w:ind w:firstLine="640" w:firstLineChars="200"/>
        <w:jc w:val="left"/>
        <w:rPr>
          <w:rFonts w:ascii="Times New Roman" w:hAnsi="Times New Roman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b.验收及时率，指标值为100%，实际完成100%，完成率100%，偏差率0%。</w:t>
      </w:r>
    </w:p>
    <w:p w14:paraId="5AED9505">
      <w:pPr>
        <w:pStyle w:val="17"/>
        <w:numPr>
          <w:ilvl w:val="0"/>
          <w:numId w:val="0"/>
        </w:numPr>
        <w:ind w:firstLine="640" w:firstLineChars="200"/>
        <w:jc w:val="left"/>
        <w:rPr>
          <w:rFonts w:ascii="Times New Roman" w:hAnsi="Times New Roma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c.申报工作完成率，指标值为100%，实际完成100%，完成率100%，偏差率0%。</w:t>
      </w:r>
    </w:p>
    <w:p w14:paraId="33C8427D">
      <w:pPr>
        <w:pStyle w:val="17"/>
        <w:ind w:firstLine="321" w:firstLineChars="100"/>
        <w:jc w:val="both"/>
        <w:rPr>
          <w:rFonts w:ascii="Times New Roman" w:hAnsi="Times New Roman" w:eastAsia="楷体_GB2312"/>
        </w:rPr>
      </w:pPr>
      <w:r>
        <w:rPr>
          <w:rFonts w:hint="eastAsia" w:ascii="Times New Roman" w:hAnsi="Times New Roman" w:eastAsia="楷体_GB2312"/>
        </w:rPr>
        <w:t>（四）</w:t>
      </w:r>
      <w:r>
        <w:rPr>
          <w:rFonts w:ascii="Times New Roman" w:hAnsi="Times New Roman" w:eastAsia="楷体_GB2312"/>
        </w:rPr>
        <w:t>效益情况</w:t>
      </w:r>
    </w:p>
    <w:p w14:paraId="624B775E">
      <w:pPr>
        <w:pStyle w:val="17"/>
        <w:numPr>
          <w:ilvl w:val="0"/>
          <w:numId w:val="0"/>
        </w:numPr>
        <w:ind w:firstLine="643" w:firstLineChars="200"/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Style w:val="51"/>
          <w:rFonts w:ascii="Times New Roman" w:hAnsi="Times New Roman" w:cs="Times New Roman"/>
          <w:color w:val="auto"/>
        </w:rPr>
        <w:t>社会效益指标方面：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a.培养工程技术人员，指标值为效果显著，实际完成效果显著，完成率100%，偏差率0%。</w:t>
      </w:r>
    </w:p>
    <w:p w14:paraId="14BCE59B">
      <w:pPr>
        <w:pStyle w:val="17"/>
        <w:numPr>
          <w:ilvl w:val="0"/>
          <w:numId w:val="0"/>
        </w:numPr>
        <w:ind w:firstLine="640" w:firstLineChars="200"/>
        <w:jc w:val="left"/>
        <w:rPr>
          <w:rFonts w:ascii="Times New Roman" w:hAnsi="Times New Roma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b.助力经济高质量发展，指标值为效果显著，实际完成效果显著，完成率100%，偏差率0%。</w:t>
      </w:r>
    </w:p>
    <w:p w14:paraId="67306990">
      <w:pPr>
        <w:pStyle w:val="17"/>
        <w:numPr>
          <w:ilvl w:val="0"/>
          <w:numId w:val="0"/>
        </w:numPr>
        <w:ind w:firstLine="643" w:firstLineChars="200"/>
        <w:jc w:val="left"/>
        <w:rPr>
          <w:rFonts w:hint="default"/>
          <w:lang w:val="en-US"/>
        </w:rPr>
      </w:pPr>
      <w:r>
        <w:rPr>
          <w:rStyle w:val="51"/>
          <w:rFonts w:ascii="Times New Roman" w:hAnsi="Times New Roman" w:cs="Times New Roman"/>
          <w:color w:val="auto"/>
        </w:rPr>
        <w:t>满意度指标方面：：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a.企业满意度，指标值为≥90%，实际完成90%，完成率100%，偏差率0%。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ab/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ab/>
      </w:r>
    </w:p>
    <w:p w14:paraId="7BCAD2DF">
      <w:pPr>
        <w:spacing w:line="600" w:lineRule="exact"/>
        <w:ind w:firstLine="640" w:firstLineChars="200"/>
        <w:rPr>
          <w:rStyle w:val="51"/>
          <w:rFonts w:ascii="Times New Roman" w:hAnsi="Times New Roman" w:cs="Times New Roman"/>
          <w:color w:val="auto"/>
        </w:rPr>
      </w:pPr>
      <w:r>
        <w:rPr>
          <w:rFonts w:eastAsia="黑体"/>
          <w:sz w:val="32"/>
          <w:szCs w:val="32"/>
        </w:rPr>
        <w:t>五、主要经验及做法、存在的问题及原因分析</w:t>
      </w:r>
    </w:p>
    <w:p w14:paraId="1EAD5885">
      <w:pPr>
        <w:spacing w:line="600" w:lineRule="exact"/>
        <w:ind w:firstLine="627" w:firstLineChars="200"/>
        <w:rPr>
          <w:rFonts w:eastAsia="楷体"/>
          <w:b/>
          <w:spacing w:val="-4"/>
          <w:sz w:val="32"/>
          <w:szCs w:val="32"/>
        </w:rPr>
      </w:pPr>
      <w:r>
        <w:rPr>
          <w:rFonts w:eastAsia="楷体"/>
          <w:b/>
          <w:spacing w:val="-4"/>
          <w:sz w:val="32"/>
          <w:szCs w:val="32"/>
        </w:rPr>
        <w:t>（一）主要经验及做法</w:t>
      </w:r>
    </w:p>
    <w:p w14:paraId="08AB28CD"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</w:p>
    <w:p w14:paraId="34BAF0C9">
      <w:pPr>
        <w:pStyle w:val="17"/>
        <w:spacing w:before="0" w:after="0" w:line="600" w:lineRule="exact"/>
        <w:ind w:firstLine="640" w:firstLineChars="200"/>
        <w:jc w:val="both"/>
        <w:rPr>
          <w:rFonts w:ascii="Times New Roman" w:hAnsi="Times New Roman" w:eastAsia="仿宋_GB2312"/>
          <w:b w:val="0"/>
          <w:bCs w:val="0"/>
          <w:kern w:val="2"/>
        </w:rPr>
      </w:pPr>
      <w:r>
        <w:rPr>
          <w:rFonts w:ascii="Times New Roman" w:hAnsi="Times New Roman" w:eastAsia="仿宋_GB2312"/>
          <w:b w:val="0"/>
          <w:bCs w:val="0"/>
          <w:kern w:val="2"/>
        </w:rPr>
        <w:t>严格坚持先做事、后验收、再拨付的原则，基本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</w:p>
    <w:p w14:paraId="0C279CC0">
      <w:pPr>
        <w:keepNext/>
        <w:keepLines/>
        <w:numPr>
          <w:ilvl w:val="0"/>
          <w:numId w:val="6"/>
        </w:numPr>
        <w:spacing w:line="600" w:lineRule="exact"/>
        <w:ind w:firstLine="643" w:firstLineChars="200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存在的问题及原因分析</w:t>
      </w:r>
    </w:p>
    <w:p w14:paraId="2CAC5E82">
      <w:pPr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需进一步完善项目实施规范</w:t>
      </w:r>
    </w:p>
    <w:p w14:paraId="3626132F">
      <w:pPr>
        <w:numPr>
          <w:ilvl w:val="0"/>
          <w:numId w:val="7"/>
        </w:num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有关建议</w:t>
      </w:r>
    </w:p>
    <w:p w14:paraId="651303DA">
      <w:pPr>
        <w:spacing w:line="600" w:lineRule="exact"/>
        <w:ind w:firstLine="640" w:firstLineChars="200"/>
      </w:pPr>
      <w:r>
        <w:rPr>
          <w:rFonts w:hint="eastAsia" w:ascii="仿宋_GB2312" w:hAnsi="仿宋_GB2312" w:eastAsia="仿宋_GB2312" w:cs="仿宋_GB2312"/>
          <w:sz w:val="32"/>
          <w:szCs w:val="28"/>
        </w:rPr>
        <w:t>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 w14:paraId="1FFD42B4">
      <w:pPr>
        <w:numPr>
          <w:ilvl w:val="0"/>
          <w:numId w:val="7"/>
        </w:numPr>
        <w:spacing w:line="600" w:lineRule="exact"/>
        <w:ind w:left="0" w:leftChars="0"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其他需要说</w:t>
      </w:r>
      <w:bookmarkStart w:id="1" w:name="page8"/>
      <w:bookmarkEnd w:id="1"/>
      <w:r>
        <w:rPr>
          <w:rFonts w:eastAsia="黑体"/>
          <w:sz w:val="32"/>
          <w:szCs w:val="32"/>
        </w:rPr>
        <w:t>明的问题</w:t>
      </w:r>
    </w:p>
    <w:p w14:paraId="4A76266C">
      <w:pPr>
        <w:spacing w:line="540" w:lineRule="exact"/>
        <w:rPr>
          <w:rStyle w:val="22"/>
          <w:rFonts w:hint="default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22"/>
          <w:rFonts w:hint="eastAsia" w:eastAsia="仿宋"/>
          <w:b w:val="0"/>
          <w:spacing w:val="-4"/>
          <w:sz w:val="32"/>
          <w:szCs w:val="32"/>
          <w:lang w:val="en-US" w:eastAsia="zh-CN"/>
        </w:rPr>
        <w:t xml:space="preserve">    无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 w14:paraId="2DE47D3E">
        <w:pPr>
          <w:pStyle w:val="1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17</w:t>
        </w:r>
        <w:r>
          <w:fldChar w:fldCharType="end"/>
        </w:r>
      </w:p>
    </w:sdtContent>
  </w:sdt>
  <w:p w14:paraId="4C4FFBC2">
    <w:pPr>
      <w:pStyle w:val="1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3D2FA9"/>
    <w:multiLevelType w:val="singleLevel"/>
    <w:tmpl w:val="9D3D2FA9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EF60FE1"/>
    <w:multiLevelType w:val="singleLevel"/>
    <w:tmpl w:val="DEF60FE1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E83853AE"/>
    <w:multiLevelType w:val="singleLevel"/>
    <w:tmpl w:val="E83853AE"/>
    <w:lvl w:ilvl="0" w:tentative="0">
      <w:start w:val="2"/>
      <w:numFmt w:val="decimal"/>
      <w:suff w:val="nothing"/>
      <w:lvlText w:val="%1、"/>
      <w:lvlJc w:val="left"/>
    </w:lvl>
  </w:abstractNum>
  <w:abstractNum w:abstractNumId="3">
    <w:nsid w:val="FF9379A8"/>
    <w:multiLevelType w:val="singleLevel"/>
    <w:tmpl w:val="FF9379A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116B29BF"/>
    <w:multiLevelType w:val="singleLevel"/>
    <w:tmpl w:val="116B29BF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27813159"/>
    <w:multiLevelType w:val="singleLevel"/>
    <w:tmpl w:val="27813159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6">
    <w:nsid w:val="38F0C646"/>
    <w:multiLevelType w:val="singleLevel"/>
    <w:tmpl w:val="38F0C64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g4ZTk4ZThiOTlhYTkyOGVkOWQ5NDlhNjIwNjNhNzEifQ=="/>
  </w:docVars>
  <w:rsids>
    <w:rsidRoot w:val="00CA6457"/>
    <w:rsid w:val="00056465"/>
    <w:rsid w:val="000E50F0"/>
    <w:rsid w:val="000E586C"/>
    <w:rsid w:val="00121AE4"/>
    <w:rsid w:val="00146AAD"/>
    <w:rsid w:val="001B3A40"/>
    <w:rsid w:val="00200850"/>
    <w:rsid w:val="003748BB"/>
    <w:rsid w:val="003C18BC"/>
    <w:rsid w:val="00430B95"/>
    <w:rsid w:val="004366A8"/>
    <w:rsid w:val="00464900"/>
    <w:rsid w:val="0050203C"/>
    <w:rsid w:val="00502BA7"/>
    <w:rsid w:val="005162F1"/>
    <w:rsid w:val="00535153"/>
    <w:rsid w:val="00554F82"/>
    <w:rsid w:val="0056390D"/>
    <w:rsid w:val="005719B0"/>
    <w:rsid w:val="005D10D6"/>
    <w:rsid w:val="007806A5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20F12"/>
    <w:rsid w:val="00C56C72"/>
    <w:rsid w:val="00CA6457"/>
    <w:rsid w:val="00D17F2E"/>
    <w:rsid w:val="00D30354"/>
    <w:rsid w:val="00DF42A0"/>
    <w:rsid w:val="00DF7C45"/>
    <w:rsid w:val="00E31565"/>
    <w:rsid w:val="00E46C51"/>
    <w:rsid w:val="00E659F7"/>
    <w:rsid w:val="00E769FE"/>
    <w:rsid w:val="00EA2CBE"/>
    <w:rsid w:val="00F20494"/>
    <w:rsid w:val="00F32FEE"/>
    <w:rsid w:val="00F71278"/>
    <w:rsid w:val="00FA15E9"/>
    <w:rsid w:val="00FB10BB"/>
    <w:rsid w:val="051A56F5"/>
    <w:rsid w:val="066D6EAA"/>
    <w:rsid w:val="06DC1681"/>
    <w:rsid w:val="08C662D4"/>
    <w:rsid w:val="09BD4D95"/>
    <w:rsid w:val="0B0F58D6"/>
    <w:rsid w:val="0F8D41CB"/>
    <w:rsid w:val="0FEE2F21"/>
    <w:rsid w:val="11C75270"/>
    <w:rsid w:val="12637CC3"/>
    <w:rsid w:val="12CE3F36"/>
    <w:rsid w:val="12E657C5"/>
    <w:rsid w:val="133C6E2A"/>
    <w:rsid w:val="167C7687"/>
    <w:rsid w:val="168B3546"/>
    <w:rsid w:val="1A2374E0"/>
    <w:rsid w:val="1C317CE2"/>
    <w:rsid w:val="1DD45808"/>
    <w:rsid w:val="1DED42AC"/>
    <w:rsid w:val="20005763"/>
    <w:rsid w:val="20FB313D"/>
    <w:rsid w:val="220B4804"/>
    <w:rsid w:val="278B653F"/>
    <w:rsid w:val="282475E3"/>
    <w:rsid w:val="29E421D9"/>
    <w:rsid w:val="2C6100C1"/>
    <w:rsid w:val="3235157C"/>
    <w:rsid w:val="3264220D"/>
    <w:rsid w:val="32A83563"/>
    <w:rsid w:val="38872456"/>
    <w:rsid w:val="3963178C"/>
    <w:rsid w:val="3BA5236D"/>
    <w:rsid w:val="3CED0699"/>
    <w:rsid w:val="3EB02FD6"/>
    <w:rsid w:val="41CC2676"/>
    <w:rsid w:val="44024872"/>
    <w:rsid w:val="46B21672"/>
    <w:rsid w:val="4F552460"/>
    <w:rsid w:val="4FCC6863"/>
    <w:rsid w:val="500A214A"/>
    <w:rsid w:val="522D604D"/>
    <w:rsid w:val="5297585E"/>
    <w:rsid w:val="52AD7D6F"/>
    <w:rsid w:val="53FAE5F3"/>
    <w:rsid w:val="5549519D"/>
    <w:rsid w:val="5557596B"/>
    <w:rsid w:val="5B596DFC"/>
    <w:rsid w:val="5DAE6D00"/>
    <w:rsid w:val="5DF03945"/>
    <w:rsid w:val="5F03526B"/>
    <w:rsid w:val="62E515AF"/>
    <w:rsid w:val="637C2815"/>
    <w:rsid w:val="666B4FDC"/>
    <w:rsid w:val="67FF13C8"/>
    <w:rsid w:val="682144B7"/>
    <w:rsid w:val="6B503F77"/>
    <w:rsid w:val="6DCF4F15"/>
    <w:rsid w:val="6E311968"/>
    <w:rsid w:val="7A353D0B"/>
    <w:rsid w:val="7CB927D8"/>
    <w:rsid w:val="7D3A5E2F"/>
    <w:rsid w:val="AF94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4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2">
    <w:name w:val="heading 2"/>
    <w:basedOn w:val="1"/>
    <w:next w:val="1"/>
    <w:link w:val="25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6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7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30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31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32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qFormat/>
    <w:uiPriority w:val="0"/>
    <w:pPr>
      <w:spacing w:after="120"/>
    </w:pPr>
  </w:style>
  <w:style w:type="paragraph" w:styleId="12">
    <w:name w:val="Body Text Indent"/>
    <w:basedOn w:val="1"/>
    <w:qFormat/>
    <w:uiPriority w:val="0"/>
    <w:pPr>
      <w:spacing w:after="120"/>
      <w:ind w:left="420" w:leftChars="200"/>
    </w:pPr>
    <w:rPr>
      <w:rFonts w:ascii="Calibri" w:hAnsi="Calibri"/>
    </w:rPr>
  </w:style>
  <w:style w:type="paragraph" w:styleId="13">
    <w:name w:val="Balloon Text"/>
    <w:basedOn w:val="1"/>
    <w:link w:val="49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4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5">
    <w:name w:val="header"/>
    <w:basedOn w:val="1"/>
    <w:link w:val="4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6">
    <w:name w:val="Subtitle"/>
    <w:basedOn w:val="1"/>
    <w:next w:val="1"/>
    <w:link w:val="34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7">
    <w:name w:val="Title"/>
    <w:basedOn w:val="1"/>
    <w:next w:val="1"/>
    <w:link w:val="33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18">
    <w:name w:val="Body Text First Indent"/>
    <w:basedOn w:val="11"/>
    <w:qFormat/>
    <w:uiPriority w:val="0"/>
    <w:pPr>
      <w:spacing w:after="0"/>
      <w:ind w:firstLine="200" w:firstLineChars="200"/>
    </w:pPr>
  </w:style>
  <w:style w:type="paragraph" w:styleId="19">
    <w:name w:val="Body Text First Indent 2"/>
    <w:basedOn w:val="12"/>
    <w:qFormat/>
    <w:uiPriority w:val="0"/>
    <w:pPr>
      <w:ind w:firstLine="420" w:firstLineChars="200"/>
    </w:pPr>
  </w:style>
  <w:style w:type="character" w:styleId="22">
    <w:name w:val="Strong"/>
    <w:basedOn w:val="21"/>
    <w:qFormat/>
    <w:uiPriority w:val="0"/>
    <w:rPr>
      <w:b/>
      <w:bCs/>
    </w:rPr>
  </w:style>
  <w:style w:type="character" w:styleId="23">
    <w:name w:val="Emphasis"/>
    <w:basedOn w:val="21"/>
    <w:qFormat/>
    <w:uiPriority w:val="20"/>
    <w:rPr>
      <w:rFonts w:asciiTheme="minorHAnsi" w:hAnsiTheme="minorHAnsi"/>
      <w:b/>
      <w:i/>
      <w:iCs/>
    </w:rPr>
  </w:style>
  <w:style w:type="character" w:customStyle="1" w:styleId="24">
    <w:name w:val="标题 1 字符"/>
    <w:basedOn w:val="21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5">
    <w:name w:val="标题 2 字符"/>
    <w:basedOn w:val="21"/>
    <w:link w:val="2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6">
    <w:name w:val="标题 3 字符"/>
    <w:basedOn w:val="21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7">
    <w:name w:val="标题 4 字符"/>
    <w:basedOn w:val="21"/>
    <w:link w:val="5"/>
    <w:semiHidden/>
    <w:qFormat/>
    <w:uiPriority w:val="9"/>
    <w:rPr>
      <w:b/>
      <w:bCs/>
      <w:sz w:val="28"/>
      <w:szCs w:val="28"/>
    </w:rPr>
  </w:style>
  <w:style w:type="character" w:customStyle="1" w:styleId="28">
    <w:name w:val="标题 5 字符"/>
    <w:basedOn w:val="21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9">
    <w:name w:val="标题 6 字符"/>
    <w:basedOn w:val="21"/>
    <w:link w:val="7"/>
    <w:semiHidden/>
    <w:qFormat/>
    <w:uiPriority w:val="9"/>
    <w:rPr>
      <w:b/>
      <w:bCs/>
    </w:rPr>
  </w:style>
  <w:style w:type="character" w:customStyle="1" w:styleId="30">
    <w:name w:val="标题 7 字符"/>
    <w:basedOn w:val="21"/>
    <w:link w:val="8"/>
    <w:semiHidden/>
    <w:qFormat/>
    <w:uiPriority w:val="9"/>
    <w:rPr>
      <w:sz w:val="24"/>
      <w:szCs w:val="24"/>
    </w:rPr>
  </w:style>
  <w:style w:type="character" w:customStyle="1" w:styleId="31">
    <w:name w:val="标题 8 字符"/>
    <w:basedOn w:val="21"/>
    <w:link w:val="9"/>
    <w:semiHidden/>
    <w:qFormat/>
    <w:uiPriority w:val="9"/>
    <w:rPr>
      <w:i/>
      <w:iCs/>
      <w:sz w:val="24"/>
      <w:szCs w:val="24"/>
    </w:rPr>
  </w:style>
  <w:style w:type="character" w:customStyle="1" w:styleId="32">
    <w:name w:val="标题 9 字符"/>
    <w:basedOn w:val="21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3">
    <w:name w:val="标题 字符"/>
    <w:basedOn w:val="21"/>
    <w:link w:val="17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4">
    <w:name w:val="副标题 字符"/>
    <w:basedOn w:val="21"/>
    <w:link w:val="16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5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6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8">
    <w:name w:val="引用 字符"/>
    <w:basedOn w:val="21"/>
    <w:link w:val="37"/>
    <w:qFormat/>
    <w:uiPriority w:val="29"/>
    <w:rPr>
      <w:i/>
      <w:sz w:val="24"/>
      <w:szCs w:val="24"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40">
    <w:name w:val="明显引用 字符"/>
    <w:basedOn w:val="21"/>
    <w:link w:val="39"/>
    <w:qFormat/>
    <w:uiPriority w:val="30"/>
    <w:rPr>
      <w:b/>
      <w:i/>
      <w:sz w:val="24"/>
    </w:rPr>
  </w:style>
  <w:style w:type="character" w:customStyle="1" w:styleId="41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2">
    <w:name w:val="明显强调1"/>
    <w:basedOn w:val="21"/>
    <w:qFormat/>
    <w:uiPriority w:val="21"/>
    <w:rPr>
      <w:b/>
      <w:i/>
      <w:sz w:val="24"/>
      <w:szCs w:val="24"/>
      <w:u w:val="single"/>
    </w:rPr>
  </w:style>
  <w:style w:type="character" w:customStyle="1" w:styleId="43">
    <w:name w:val="不明显参考1"/>
    <w:basedOn w:val="21"/>
    <w:qFormat/>
    <w:uiPriority w:val="31"/>
    <w:rPr>
      <w:sz w:val="24"/>
      <w:szCs w:val="24"/>
      <w:u w:val="single"/>
    </w:rPr>
  </w:style>
  <w:style w:type="character" w:customStyle="1" w:styleId="44">
    <w:name w:val="明显参考1"/>
    <w:basedOn w:val="21"/>
    <w:qFormat/>
    <w:uiPriority w:val="32"/>
    <w:rPr>
      <w:b/>
      <w:sz w:val="24"/>
      <w:u w:val="single"/>
    </w:rPr>
  </w:style>
  <w:style w:type="character" w:customStyle="1" w:styleId="45">
    <w:name w:val="书籍标题1"/>
    <w:basedOn w:val="21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6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7">
    <w:name w:val="页眉 字符"/>
    <w:basedOn w:val="21"/>
    <w:link w:val="15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8">
    <w:name w:val="页脚 字符"/>
    <w:basedOn w:val="21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9">
    <w:name w:val="批注框文本 字符"/>
    <w:basedOn w:val="21"/>
    <w:link w:val="13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50">
    <w:name w:val="Heading2"/>
    <w:next w:val="1"/>
    <w:qFormat/>
    <w:uiPriority w:val="0"/>
    <w:pPr>
      <w:keepNext/>
      <w:keepLines/>
      <w:widowControl w:val="0"/>
      <w:spacing w:before="260" w:after="260" w:line="413" w:lineRule="auto"/>
      <w:jc w:val="both"/>
    </w:pPr>
    <w:rPr>
      <w:rFonts w:ascii="Arial" w:hAnsi="Arial" w:eastAsia="黑体" w:cs="Times New Roman"/>
      <w:b/>
      <w:kern w:val="2"/>
      <w:sz w:val="32"/>
      <w:szCs w:val="22"/>
      <w:lang w:val="en-US" w:eastAsia="zh-CN" w:bidi="ar-SA"/>
    </w:rPr>
  </w:style>
  <w:style w:type="character" w:customStyle="1" w:styleId="51">
    <w:name w:val="fontstyle01"/>
    <w:qFormat/>
    <w:uiPriority w:val="0"/>
    <w:rPr>
      <w:rFonts w:ascii="仿宋_GB2312" w:hAnsi="仿宋_GB2312" w:eastAsia="仿宋_GB2312" w:cs="仿宋_GB2312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7104</Words>
  <Characters>7430</Characters>
  <Lines>50</Lines>
  <Paragraphs>14</Paragraphs>
  <TotalTime>0</TotalTime>
  <ScaleCrop>false</ScaleCrop>
  <LinksUpToDate>false</LinksUpToDate>
  <CharactersWithSpaces>7461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2020-07-05T00:35:00Z</dcterms:created>
  <dc:creator>赵 恺（预算处）</dc:creator>
  <cp:lastModifiedBy>岁月无痕</cp:lastModifiedBy>
  <cp:lastPrinted>2020-01-01T00:02:00Z</cp:lastPrinted>
  <dcterms:modified xsi:type="dcterms:W3CDTF">2024-08-09T08:17:14Z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013360FACCE1418B80C968824022A9DF</vt:lpwstr>
  </property>
  <property fmtid="{D5CDD505-2E9C-101B-9397-08002B2CF9AE}" pid="4" name="KSOSaveFontToCloudKey">
    <vt:lpwstr>0_btnclosed</vt:lpwstr>
  </property>
</Properties>
</file>