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06598">
      <w:pPr>
        <w:spacing w:line="540" w:lineRule="exact"/>
        <w:jc w:val="center"/>
        <w:rPr>
          <w:rFonts w:eastAsia="华文中宋"/>
          <w:b/>
          <w:kern w:val="0"/>
          <w:sz w:val="52"/>
          <w:szCs w:val="52"/>
          <w:highlight w:val="none"/>
        </w:rPr>
      </w:pPr>
    </w:p>
    <w:p w14:paraId="40271332">
      <w:pPr>
        <w:spacing w:line="540" w:lineRule="exact"/>
        <w:rPr>
          <w:rFonts w:eastAsia="华文中宋"/>
          <w:b/>
          <w:kern w:val="0"/>
          <w:sz w:val="52"/>
          <w:szCs w:val="52"/>
          <w:highlight w:val="none"/>
        </w:rPr>
      </w:pPr>
    </w:p>
    <w:p w14:paraId="05B619BD">
      <w:pPr>
        <w:spacing w:line="540" w:lineRule="exact"/>
        <w:jc w:val="center"/>
        <w:rPr>
          <w:rFonts w:eastAsia="华文中宋"/>
          <w:b/>
          <w:kern w:val="0"/>
          <w:sz w:val="52"/>
          <w:szCs w:val="52"/>
          <w:highlight w:val="none"/>
        </w:rPr>
      </w:pPr>
    </w:p>
    <w:p w14:paraId="75FD1DCA">
      <w:pPr>
        <w:spacing w:line="540" w:lineRule="exact"/>
        <w:jc w:val="center"/>
        <w:rPr>
          <w:rFonts w:eastAsia="华文中宋"/>
          <w:b/>
          <w:kern w:val="0"/>
          <w:sz w:val="52"/>
          <w:szCs w:val="52"/>
          <w:highlight w:val="none"/>
        </w:rPr>
      </w:pPr>
    </w:p>
    <w:p w14:paraId="35F99746">
      <w:pPr>
        <w:spacing w:line="540" w:lineRule="exact"/>
        <w:jc w:val="center"/>
        <w:rPr>
          <w:rFonts w:hint="eastAsia" w:eastAsia="方正小标宋_GBK"/>
          <w:kern w:val="0"/>
          <w:sz w:val="48"/>
          <w:szCs w:val="48"/>
          <w:highlight w:val="none"/>
        </w:rPr>
      </w:pPr>
      <w:r>
        <w:rPr>
          <w:rFonts w:hint="eastAsia" w:eastAsia="方正小标宋_GBK"/>
          <w:kern w:val="0"/>
          <w:sz w:val="48"/>
          <w:szCs w:val="48"/>
          <w:highlight w:val="none"/>
        </w:rPr>
        <w:t>推动新疆工业强基增效和转型升级</w:t>
      </w:r>
    </w:p>
    <w:p w14:paraId="028AC1AF">
      <w:pPr>
        <w:spacing w:line="540" w:lineRule="exact"/>
        <w:jc w:val="center"/>
        <w:rPr>
          <w:rFonts w:eastAsia="方正小标宋_GBK"/>
          <w:kern w:val="0"/>
          <w:sz w:val="48"/>
          <w:szCs w:val="48"/>
          <w:highlight w:val="none"/>
        </w:rPr>
      </w:pPr>
      <w:r>
        <w:rPr>
          <w:rFonts w:eastAsia="方正小标宋_GBK"/>
          <w:kern w:val="0"/>
          <w:sz w:val="48"/>
          <w:szCs w:val="48"/>
          <w:highlight w:val="none"/>
        </w:rPr>
        <w:t>资金项目支出绩效评价报告</w:t>
      </w:r>
    </w:p>
    <w:p w14:paraId="18E58E18">
      <w:pPr>
        <w:spacing w:line="540" w:lineRule="exact"/>
        <w:jc w:val="center"/>
        <w:rPr>
          <w:rFonts w:eastAsia="华文中宋"/>
          <w:b/>
          <w:kern w:val="0"/>
          <w:sz w:val="52"/>
          <w:szCs w:val="52"/>
          <w:highlight w:val="none"/>
        </w:rPr>
      </w:pPr>
    </w:p>
    <w:p w14:paraId="2893B076">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3</w:t>
      </w:r>
      <w:r>
        <w:rPr>
          <w:rFonts w:eastAsia="仿宋_GB2312"/>
          <w:kern w:val="0"/>
          <w:sz w:val="36"/>
          <w:szCs w:val="36"/>
          <w:highlight w:val="none"/>
        </w:rPr>
        <w:t>年度）</w:t>
      </w:r>
    </w:p>
    <w:p w14:paraId="6EBCC1C8">
      <w:pPr>
        <w:spacing w:line="540" w:lineRule="exact"/>
        <w:jc w:val="center"/>
        <w:rPr>
          <w:rFonts w:eastAsia="仿宋_GB2312"/>
          <w:kern w:val="0"/>
          <w:sz w:val="30"/>
          <w:szCs w:val="30"/>
          <w:highlight w:val="none"/>
        </w:rPr>
      </w:pPr>
    </w:p>
    <w:p w14:paraId="655E7716">
      <w:pPr>
        <w:spacing w:line="540" w:lineRule="exact"/>
        <w:jc w:val="center"/>
        <w:rPr>
          <w:rFonts w:eastAsia="仿宋_GB2312"/>
          <w:kern w:val="0"/>
          <w:sz w:val="30"/>
          <w:szCs w:val="30"/>
          <w:highlight w:val="none"/>
        </w:rPr>
      </w:pPr>
    </w:p>
    <w:p w14:paraId="44118F32">
      <w:pPr>
        <w:spacing w:line="540" w:lineRule="exact"/>
        <w:jc w:val="center"/>
        <w:rPr>
          <w:rFonts w:eastAsia="仿宋_GB2312"/>
          <w:kern w:val="0"/>
          <w:sz w:val="30"/>
          <w:szCs w:val="30"/>
          <w:highlight w:val="none"/>
        </w:rPr>
      </w:pPr>
    </w:p>
    <w:p w14:paraId="63650390">
      <w:pPr>
        <w:pStyle w:val="9"/>
        <w:rPr>
          <w:highlight w:val="none"/>
        </w:rPr>
      </w:pPr>
    </w:p>
    <w:p w14:paraId="04F6E450">
      <w:pPr>
        <w:spacing w:line="540" w:lineRule="exact"/>
        <w:jc w:val="center"/>
        <w:rPr>
          <w:rFonts w:eastAsia="仿宋_GB2312"/>
          <w:kern w:val="0"/>
          <w:sz w:val="30"/>
          <w:szCs w:val="30"/>
          <w:highlight w:val="none"/>
        </w:rPr>
      </w:pPr>
    </w:p>
    <w:p w14:paraId="75C41D83">
      <w:pPr>
        <w:spacing w:line="540" w:lineRule="exact"/>
        <w:rPr>
          <w:rFonts w:eastAsia="仿宋_GB2312"/>
          <w:kern w:val="0"/>
          <w:sz w:val="30"/>
          <w:szCs w:val="30"/>
          <w:highlight w:val="none"/>
        </w:rPr>
      </w:pPr>
    </w:p>
    <w:p w14:paraId="1D4FF438">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推动新疆工业强基增效和转型升级</w:t>
      </w:r>
    </w:p>
    <w:p w14:paraId="4B6CAE81">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自治区工业和信息化厅</w:t>
      </w:r>
    </w:p>
    <w:p w14:paraId="3BD48EB5">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自治区工业和信息化厅</w:t>
      </w:r>
    </w:p>
    <w:p w14:paraId="162C702B">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项目负责人（签章）：</w:t>
      </w:r>
      <w:r>
        <w:rPr>
          <w:rFonts w:hint="eastAsia" w:eastAsia="仿宋_GB2312"/>
          <w:kern w:val="0"/>
          <w:sz w:val="36"/>
          <w:szCs w:val="36"/>
          <w:highlight w:val="none"/>
        </w:rPr>
        <w:t>严才山</w:t>
      </w:r>
    </w:p>
    <w:p w14:paraId="30C58404">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rPr>
        <w:t>2024年3月12日</w:t>
      </w:r>
    </w:p>
    <w:p w14:paraId="7FD06B96">
      <w:pPr>
        <w:spacing w:line="540" w:lineRule="exact"/>
        <w:jc w:val="center"/>
        <w:rPr>
          <w:rFonts w:eastAsia="仿宋_GB2312"/>
          <w:kern w:val="0"/>
          <w:sz w:val="30"/>
          <w:szCs w:val="30"/>
          <w:highlight w:val="none"/>
        </w:rPr>
      </w:pPr>
    </w:p>
    <w:p w14:paraId="5274BACB">
      <w:pPr>
        <w:spacing w:line="540" w:lineRule="exact"/>
        <w:rPr>
          <w:rStyle w:val="15"/>
          <w:rFonts w:eastAsia="黑体"/>
          <w:b w:val="0"/>
          <w:spacing w:val="-4"/>
          <w:sz w:val="32"/>
          <w:szCs w:val="32"/>
          <w:highlight w:val="none"/>
        </w:rPr>
      </w:pPr>
    </w:p>
    <w:p w14:paraId="27AE69BB">
      <w:pPr>
        <w:spacing w:line="540" w:lineRule="exact"/>
        <w:ind w:firstLine="640"/>
        <w:rPr>
          <w:rStyle w:val="15"/>
          <w:rFonts w:eastAsia="黑体"/>
          <w:b w:val="0"/>
          <w:spacing w:val="-4"/>
          <w:sz w:val="32"/>
          <w:szCs w:val="32"/>
          <w:highlight w:val="none"/>
        </w:rPr>
      </w:pPr>
    </w:p>
    <w:p w14:paraId="6E2D7D33">
      <w:pPr>
        <w:spacing w:line="540" w:lineRule="exact"/>
        <w:rPr>
          <w:rStyle w:val="15"/>
          <w:rFonts w:eastAsia="黑体"/>
          <w:b w:val="0"/>
          <w:spacing w:val="-4"/>
          <w:sz w:val="32"/>
          <w:szCs w:val="32"/>
          <w:highlight w:val="none"/>
        </w:rPr>
      </w:pPr>
    </w:p>
    <w:p w14:paraId="58329C3D">
      <w:pPr>
        <w:spacing w:line="560" w:lineRule="exact"/>
        <w:ind w:firstLine="640" w:firstLineChars="200"/>
        <w:rPr>
          <w:rFonts w:eastAsia="黑体"/>
          <w:bCs/>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14:paraId="44D51A12">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656B0BB5">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212CE494">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548616EA">
      <w:pPr>
        <w:pStyle w:val="9"/>
        <w:numPr>
          <w:ilvl w:val="0"/>
          <w:numId w:val="0"/>
        </w:numPr>
        <w:spacing w:before="0" w:after="0" w:line="560" w:lineRule="exact"/>
        <w:ind w:firstLine="640" w:firstLineChars="200"/>
        <w:jc w:val="both"/>
        <w:rPr>
          <w:rFonts w:hint="eastAsia"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为深入贯彻落实习近平总书记视察新疆重要讲话重要指示精神，深入贯彻落实习近平总书记听取自治区和兵团工作汇报时的重要讲话精神，贯彻落实习近平总书记关于推进新型工业化的重要指示精神和全国新型工业化推进大会精神，贯彻落实自治区党委、人民政府制造强区和推进新型工业化工作部署，培育壮大特色优势产业，高质量建设“八大产业集群”，通过开展落实制造强国要求推进新疆制造业数字化转型研究和发挥资源政策区位等优势推进资源密集型、劳动密集型、战略性新兴产业高质量发展战略研究，提出打造八大优势特色产业集群，推动工业强基增效和转型升级，构建特色现代产业体系的思路建议，为自治区推动工业高质量发展提供科学决策。</w:t>
      </w:r>
    </w:p>
    <w:p w14:paraId="399DFC1E">
      <w:pPr>
        <w:pStyle w:val="9"/>
        <w:numPr>
          <w:ilvl w:val="0"/>
          <w:numId w:val="0"/>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73427434">
      <w:pPr>
        <w:spacing w:line="560" w:lineRule="exact"/>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项目主要内容： 推动工业强基增效和转型升级项目包括推动新型工业化、加快新质生产力、破解工业发展难题、工业经济发展形势研究等4个相关课题研究工作。</w:t>
      </w:r>
    </w:p>
    <w:p w14:paraId="49BA8F73">
      <w:pPr>
        <w:spacing w:line="560" w:lineRule="exact"/>
        <w:ind w:firstLine="640" w:firstLineChars="200"/>
        <w:rPr>
          <w:highlight w:val="none"/>
        </w:rPr>
      </w:pPr>
      <w:r>
        <w:rPr>
          <w:rFonts w:eastAsia="仿宋_GB2312"/>
          <w:sz w:val="32"/>
          <w:szCs w:val="32"/>
          <w:highlight w:val="none"/>
        </w:rPr>
        <w:t>项目实施情况：</w:t>
      </w:r>
      <w:r>
        <w:rPr>
          <w:rFonts w:hint="eastAsia" w:eastAsia="仿宋_GB2312"/>
          <w:sz w:val="32"/>
          <w:szCs w:val="32"/>
          <w:highlight w:val="none"/>
        </w:rPr>
        <w:t>根据2023年度总体目标，按照规范流程，完成了推进新疆工业强基增效和转型升级战略研究项目拟定的推动新型工业化、加快新质生产力、破解工业发展难题、工业经济发展形势研究等4个相关课题研究工作。</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14:paraId="03FC3ADA">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405420CA">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1B5651B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100万元，全年预算数100万元，实际总投入99.62万元，结余资金为招标结余，该项目资金已全部落实到位。资金来源为预算资金来源于自治区财政厅下达2023年部门预算中单位其他资金收入安排的项目支出“推进新疆工业工业强基增效和转型升级战略研究项目100万元”，均为政府采购预算，部门经济分类科目为委托业务费。按照单位财务制度等相关规定，做到了专款专用。</w:t>
      </w:r>
    </w:p>
    <w:p w14:paraId="2DBF4F2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080AFC2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100万元，全年预算数100万元，全年执行数99.62万元，预算执行率为99.62%，主要用于：委托新疆经济信息技术咨询中心高质量完成好加快推进新疆新型工业化发展研究、加快新质生产力研究、破解制约新疆工业发展难题研究、新疆工业经济发展形式研究4个相关课题研究工作。其中包括调研差旅费14万元、技术引进费15万元、出版/文献/信息传播/知识产权事务费8万元、专家评审费9万元、专家咨询费17万元、劳务费24万元、管理费用及其他支出12.62万元。</w:t>
      </w:r>
    </w:p>
    <w:p w14:paraId="0AD918EE">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66053852">
      <w:pPr>
        <w:spacing w:line="560" w:lineRule="exact"/>
        <w:ind w:firstLine="960" w:firstLineChars="300"/>
        <w:rPr>
          <w:rFonts w:eastAsia="仿宋_GB2312"/>
          <w:sz w:val="32"/>
          <w:szCs w:val="32"/>
          <w:highlight w:val="none"/>
        </w:rPr>
      </w:pPr>
      <w:r>
        <w:rPr>
          <w:rFonts w:eastAsia="仿宋_GB2312"/>
          <w:sz w:val="32"/>
          <w:szCs w:val="32"/>
          <w:highlight w:val="none"/>
        </w:rPr>
        <w:t>1、总体目标</w:t>
      </w:r>
    </w:p>
    <w:p w14:paraId="30883A20">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 xml:space="preserve"> 通过开展落实制造强国要求推进新疆制造业数字化转型研究和发挥资源政策区位等优势推进资源密集型、劳动密集型、战略性新兴产业高质量发展战略研究，提出打造八大优势特色产业集群，推动工业强基增效和转型升级，构建特色现代产业体系的思路建议，为自治区推动工业高质量发展提供科学决策。</w:t>
      </w:r>
    </w:p>
    <w:p w14:paraId="6F93D153">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highlight w:val="none"/>
        </w:rPr>
        <w:t>2、阶段性目标</w:t>
      </w:r>
    </w:p>
    <w:p w14:paraId="1D678204">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通过召开项目专题会，专题研究审议开展推进新疆工业强基增效和转型升级战略研究有关事宜，经厅领导及项目负责人审核通过后，开展推进新疆工业强基增效和转型升级战略研究，并建议提交厅党组审定后，有序开展后续工作。</w:t>
      </w:r>
    </w:p>
    <w:p w14:paraId="27C2473C">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（2）组织实施：资金一到位，立即根据项目要求实施项目。项目责任人按照项目实施方案要求逐一进行项目部署安排，提高项目质量及效率性。</w:t>
      </w:r>
    </w:p>
    <w:p w14:paraId="4383DBFB">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13BE447E">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64E5284B">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463A384C">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06B4DBB">
      <w:pPr>
        <w:numPr>
          <w:ilvl w:val="0"/>
          <w:numId w:val="1"/>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3E1A3995">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14:paraId="4964F369">
      <w:pPr>
        <w:pStyle w:val="18"/>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65D337E9">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318B5B6F">
      <w:pPr>
        <w:spacing w:line="560" w:lineRule="exact"/>
        <w:ind w:firstLine="640" w:firstLineChars="200"/>
        <w:rPr>
          <w:rFonts w:ascii="仿宋_GB2312" w:hAnsi="仿宋_GB2312" w:eastAsia="仿宋_GB2312" w:cs="仿宋_GB2312"/>
          <w:sz w:val="32"/>
          <w:szCs w:val="32"/>
          <w:highlight w:val="none"/>
        </w:rPr>
      </w:pPr>
      <w:r>
        <w:rPr>
          <w:rFonts w:hint="eastAsia" w:ascii="Times New Roman" w:hAnsi="Times New Roman" w:eastAsia="仿宋_GB2312" w:cs="Times New Roman"/>
          <w:b w:val="0"/>
          <w:bCs w:val="0"/>
          <w:kern w:val="2"/>
          <w:sz w:val="32"/>
          <w:szCs w:val="32"/>
          <w:highlight w:val="none"/>
          <w:lang w:val="en-US" w:eastAsia="zh-CN" w:bidi="ar-SA"/>
        </w:rPr>
        <w:t>推进新疆工业强基增效和转型升级战略研究</w:t>
      </w:r>
      <w:r>
        <w:rPr>
          <w:rFonts w:hint="eastAsia" w:ascii="仿宋_GB2312" w:hAnsi="仿宋_GB2312" w:eastAsia="仿宋_GB2312" w:cs="仿宋_GB2312"/>
          <w:sz w:val="32"/>
          <w:szCs w:val="32"/>
          <w:highlight w:val="none"/>
        </w:rPr>
        <w:t>项目所包含的全部项目内容。</w:t>
      </w:r>
    </w:p>
    <w:p w14:paraId="7461EEB9">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380523F6">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b w:val="0"/>
          <w:bCs w:val="0"/>
          <w:kern w:val="2"/>
          <w:sz w:val="32"/>
          <w:szCs w:val="32"/>
          <w:highlight w:val="none"/>
          <w:lang w:val="en-US" w:eastAsia="zh-CN" w:bidi="ar-SA"/>
        </w:rPr>
        <w:t>推进新疆工业强基增效和转型升级战略研究</w:t>
      </w:r>
      <w:r>
        <w:rPr>
          <w:rFonts w:hint="eastAsia" w:ascii="仿宋_GB2312" w:hAnsi="仿宋_GB2312" w:eastAsia="仿宋_GB2312" w:cs="仿宋_GB2312"/>
          <w:sz w:val="32"/>
          <w:szCs w:val="32"/>
          <w:highlight w:val="none"/>
        </w:rPr>
        <w:t>项目进行评价，评价核心为专项资金的支出完成情况和效果。</w:t>
      </w:r>
    </w:p>
    <w:p w14:paraId="77961E18">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6C9D9BC1">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7924C0C4">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7D155BB2">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36045DB8">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41ECA73">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2D28132A">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4A046BDB">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20A11C7C">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5E7076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314CBDC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FDDC16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482C474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w:t>
      </w:r>
      <w:r>
        <w:rPr>
          <w:rFonts w:hint="eastAsia" w:eastAsia="仿宋_GB2312"/>
          <w:color w:val="000000"/>
          <w:spacing w:val="17"/>
          <w:sz w:val="32"/>
          <w:szCs w:val="32"/>
          <w:highlight w:val="none"/>
          <w:lang w:val="en-US" w:eastAsia="zh-CN"/>
        </w:rPr>
        <w:t>30</w:t>
      </w:r>
      <w:r>
        <w:rPr>
          <w:rFonts w:eastAsia="仿宋_GB2312"/>
          <w:color w:val="000000"/>
          <w:spacing w:val="17"/>
          <w:sz w:val="32"/>
          <w:szCs w:val="32"/>
          <w:highlight w:val="none"/>
        </w:rPr>
        <w:t>分，项目效益权重为</w:t>
      </w:r>
      <w:r>
        <w:rPr>
          <w:rFonts w:hint="eastAsia" w:eastAsia="仿宋_GB2312"/>
          <w:color w:val="000000"/>
          <w:spacing w:val="17"/>
          <w:sz w:val="32"/>
          <w:szCs w:val="32"/>
          <w:highlight w:val="none"/>
          <w:lang w:val="en-US" w:eastAsia="zh-CN"/>
        </w:rPr>
        <w:t>30</w:t>
      </w:r>
      <w:r>
        <w:rPr>
          <w:rFonts w:eastAsia="仿宋_GB2312"/>
          <w:color w:val="000000"/>
          <w:spacing w:val="17"/>
          <w:sz w:val="32"/>
          <w:szCs w:val="32"/>
          <w:highlight w:val="none"/>
        </w:rPr>
        <w:t>分。</w:t>
      </w:r>
    </w:p>
    <w:p w14:paraId="498754D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1E2E28E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4924B543">
      <w:pPr>
        <w:pStyle w:val="9"/>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E0A46C5">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2DC73CF3">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3F03F6B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67B693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EEE321C">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2F50545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7470BD6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655AE88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10A8FAAD">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36E6A400">
      <w:pPr>
        <w:spacing w:line="56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绩效评价标准通常包括计划标准、行业标准、历史标准等，用于对绩效指标完成情况进行比较、分析、评价。本次评价主要采用了</w:t>
      </w:r>
      <w:r>
        <w:rPr>
          <w:rFonts w:hint="eastAsia" w:eastAsia="仿宋_GB2312"/>
          <w:color w:val="000000"/>
          <w:spacing w:val="17"/>
          <w:sz w:val="32"/>
          <w:szCs w:val="32"/>
          <w:highlight w:val="none"/>
          <w:lang w:val="en-US" w:eastAsia="zh-CN"/>
        </w:rPr>
        <w:t>计划</w:t>
      </w:r>
      <w:r>
        <w:rPr>
          <w:rFonts w:hint="eastAsia" w:eastAsia="仿宋_GB2312"/>
          <w:color w:val="000000"/>
          <w:spacing w:val="17"/>
          <w:sz w:val="32"/>
          <w:szCs w:val="32"/>
          <w:highlight w:val="none"/>
        </w:rPr>
        <w:t>标准。</w:t>
      </w:r>
    </w:p>
    <w:p w14:paraId="0724A900">
      <w:pPr>
        <w:spacing w:line="560" w:lineRule="exact"/>
        <w:ind w:firstLine="708" w:firstLineChars="200"/>
        <w:rPr>
          <w:rFonts w:eastAsia="仿宋_GB2312"/>
          <w:color w:val="000000"/>
          <w:spacing w:val="17"/>
          <w:sz w:val="32"/>
          <w:szCs w:val="32"/>
          <w:highlight w:val="none"/>
        </w:rPr>
      </w:pPr>
      <w:bookmarkStart w:id="0" w:name="_Toc17882"/>
      <w:bookmarkStart w:id="1" w:name="_Toc31464"/>
      <w:r>
        <w:rPr>
          <w:rFonts w:hint="eastAsia" w:eastAsia="仿宋_GB2312"/>
          <w:color w:val="000000"/>
          <w:spacing w:val="17"/>
          <w:sz w:val="32"/>
          <w:szCs w:val="32"/>
          <w:highlight w:val="none"/>
        </w:rPr>
        <w:t>计划标准：指以预先制定的目标、计划、预算、定额等作为评价标准。</w:t>
      </w:r>
      <w:bookmarkEnd w:id="0"/>
      <w:bookmarkEnd w:id="1"/>
    </w:p>
    <w:p w14:paraId="26C1BA95">
      <w:pPr>
        <w:spacing w:line="560" w:lineRule="exact"/>
        <w:ind w:firstLine="708" w:firstLineChars="200"/>
        <w:rPr>
          <w:rFonts w:eastAsia="仿宋_GB2312"/>
          <w:color w:val="000000"/>
          <w:spacing w:val="17"/>
          <w:sz w:val="32"/>
          <w:szCs w:val="32"/>
          <w:highlight w:val="none"/>
        </w:rPr>
      </w:pPr>
      <w:bookmarkStart w:id="2" w:name="_Toc5633"/>
      <w:bookmarkStart w:id="3" w:name="_Toc2318"/>
      <w:r>
        <w:rPr>
          <w:rFonts w:hint="eastAsia" w:eastAsia="仿宋_GB2312"/>
          <w:color w:val="000000"/>
          <w:spacing w:val="17"/>
          <w:sz w:val="32"/>
          <w:szCs w:val="32"/>
          <w:highlight w:val="none"/>
        </w:rPr>
        <w:t>行业标准：指参照国家公布的行业指标数据制定的评价标准。</w:t>
      </w:r>
      <w:bookmarkEnd w:id="2"/>
      <w:bookmarkEnd w:id="3"/>
    </w:p>
    <w:p w14:paraId="008C2329">
      <w:pPr>
        <w:spacing w:line="560" w:lineRule="exact"/>
        <w:ind w:firstLine="708" w:firstLineChars="200"/>
        <w:rPr>
          <w:rFonts w:eastAsia="仿宋_GB2312"/>
          <w:color w:val="000000"/>
          <w:spacing w:val="17"/>
          <w:sz w:val="32"/>
          <w:szCs w:val="32"/>
          <w:highlight w:val="none"/>
        </w:rPr>
      </w:pPr>
      <w:bookmarkStart w:id="4" w:name="_Toc16028"/>
      <w:bookmarkStart w:id="5" w:name="_Toc430"/>
      <w:r>
        <w:rPr>
          <w:rFonts w:hint="eastAsia" w:eastAsia="仿宋_GB2312"/>
          <w:color w:val="000000"/>
          <w:spacing w:val="17"/>
          <w:sz w:val="32"/>
          <w:szCs w:val="32"/>
          <w:highlight w:val="none"/>
        </w:rPr>
        <w:t>历史标准：指参照历史数据制定的评价标准，为体现绩效改进的原则，在可实现的条件下应当确定相对较高的评价标准。</w:t>
      </w:r>
      <w:bookmarkEnd w:id="4"/>
      <w:bookmarkEnd w:id="5"/>
    </w:p>
    <w:p w14:paraId="79DC8B9E">
      <w:pPr>
        <w:pStyle w:val="9"/>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76059A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1.</w:t>
      </w: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72B808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2.</w:t>
      </w: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14A69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r>
        <w:rPr>
          <w:rFonts w:hint="eastAsia" w:eastAsia="仿宋_GB2312"/>
          <w:bCs/>
          <w:sz w:val="32"/>
          <w:szCs w:val="32"/>
          <w:highlight w:val="none"/>
          <w:lang w:val="en-US" w:eastAsia="zh-CN"/>
        </w:rPr>
        <w:t>3.</w:t>
      </w: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5F3280BF">
      <w:pPr>
        <w:numPr>
          <w:ilvl w:val="0"/>
          <w:numId w:val="3"/>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0C899404">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4144DDDF">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48C61435">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413705A8">
      <w:pPr>
        <w:pStyle w:val="9"/>
        <w:widowControl w:val="0"/>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 xml:space="preserve">分，属于“优（良/中/差）”。其中，项目决策类指标权重为20分，得分为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hint="eastAsia"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lang w:val="en-US" w:eastAsia="zh-CN"/>
        </w:rPr>
        <w:t>30</w:t>
      </w:r>
      <w:r>
        <w:rPr>
          <w:rFonts w:hint="eastAsia"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lang w:val="en-US" w:eastAsia="zh-CN"/>
        </w:rPr>
        <w:t>30</w:t>
      </w:r>
      <w:r>
        <w:rPr>
          <w:rFonts w:hint="eastAsia"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70B50563">
      <w:pPr>
        <w:pStyle w:val="9"/>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53EF75D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AC527E9">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F526F88">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DC50280">
            <w:pPr>
              <w:jc w:val="center"/>
              <w:rPr>
                <w:b/>
                <w:bCs/>
                <w:color w:val="000000"/>
                <w:sz w:val="22"/>
                <w:highlight w:val="none"/>
              </w:rPr>
            </w:pPr>
            <w:r>
              <w:rPr>
                <w:rFonts w:hint="eastAsia"/>
                <w:b/>
                <w:bCs/>
                <w:color w:val="000000"/>
                <w:sz w:val="22"/>
                <w:highlight w:val="none"/>
              </w:rPr>
              <w:t>得分</w:t>
            </w:r>
          </w:p>
        </w:tc>
      </w:tr>
      <w:tr w14:paraId="58DB13F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C65DC12">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3901DC39">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55CC68A">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14:paraId="0F466DF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30F087">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713930DB">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722B455">
            <w:pPr>
              <w:jc w:val="center"/>
              <w:rPr>
                <w:rFonts w:hint="default" w:eastAsia="宋体"/>
                <w:color w:val="000000"/>
                <w:sz w:val="22"/>
                <w:highlight w:val="none"/>
                <w:lang w:val="en-US" w:eastAsia="zh-CN"/>
              </w:rPr>
            </w:pPr>
            <w:r>
              <w:rPr>
                <w:rFonts w:hint="eastAsia"/>
                <w:color w:val="000000"/>
                <w:sz w:val="22"/>
                <w:highlight w:val="none"/>
                <w:lang w:val="en-US" w:eastAsia="zh-CN"/>
              </w:rPr>
              <w:t>19</w:t>
            </w:r>
          </w:p>
        </w:tc>
      </w:tr>
      <w:tr w14:paraId="7B2A2DE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62CC7D">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3B4B5097">
            <w:pPr>
              <w:jc w:val="center"/>
              <w:rPr>
                <w:rFonts w:hint="default" w:eastAsia="宋体"/>
                <w:color w:val="000000"/>
                <w:sz w:val="22"/>
                <w:highlight w:val="none"/>
                <w:lang w:val="en-US" w:eastAsia="zh-CN"/>
              </w:rPr>
            </w:pPr>
            <w:r>
              <w:rPr>
                <w:rFonts w:hint="eastAsia"/>
                <w:color w:val="000000"/>
                <w:sz w:val="22"/>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14:paraId="5AF130B3">
            <w:pPr>
              <w:jc w:val="center"/>
              <w:rPr>
                <w:rFonts w:hint="default" w:eastAsia="宋体"/>
                <w:color w:val="000000"/>
                <w:sz w:val="22"/>
                <w:highlight w:val="none"/>
                <w:lang w:val="en-US" w:eastAsia="zh-CN"/>
              </w:rPr>
            </w:pPr>
            <w:r>
              <w:rPr>
                <w:rFonts w:hint="eastAsia"/>
                <w:color w:val="000000"/>
                <w:sz w:val="22"/>
                <w:highlight w:val="none"/>
                <w:lang w:val="en-US" w:eastAsia="zh-CN"/>
              </w:rPr>
              <w:t>30</w:t>
            </w:r>
          </w:p>
        </w:tc>
      </w:tr>
      <w:tr w14:paraId="226BA87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BBF01E3">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4166ACF5">
            <w:pPr>
              <w:jc w:val="center"/>
              <w:rPr>
                <w:rFonts w:hint="default" w:eastAsia="宋体"/>
                <w:color w:val="000000"/>
                <w:sz w:val="22"/>
                <w:highlight w:val="none"/>
                <w:lang w:val="en-US" w:eastAsia="zh-CN"/>
              </w:rPr>
            </w:pPr>
            <w:r>
              <w:rPr>
                <w:rFonts w:hint="eastAsia"/>
                <w:color w:val="000000"/>
                <w:sz w:val="22"/>
                <w:highlight w:val="none"/>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14:paraId="7919A256">
            <w:pPr>
              <w:jc w:val="center"/>
              <w:rPr>
                <w:rFonts w:hint="default" w:eastAsia="宋体"/>
                <w:color w:val="000000"/>
                <w:sz w:val="22"/>
                <w:highlight w:val="none"/>
                <w:lang w:val="en-US" w:eastAsia="zh-CN"/>
              </w:rPr>
            </w:pPr>
            <w:r>
              <w:rPr>
                <w:rFonts w:hint="eastAsia"/>
                <w:color w:val="000000"/>
                <w:sz w:val="22"/>
                <w:highlight w:val="none"/>
                <w:lang w:val="en-US" w:eastAsia="zh-CN"/>
              </w:rPr>
              <w:t>30</w:t>
            </w:r>
          </w:p>
        </w:tc>
      </w:tr>
      <w:tr w14:paraId="07D70C3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8B75E4">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3BE11B1F">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90</w:t>
            </w:r>
          </w:p>
        </w:tc>
        <w:tc>
          <w:tcPr>
            <w:tcW w:w="2278" w:type="dxa"/>
            <w:tcBorders>
              <w:top w:val="nil"/>
              <w:left w:val="nil"/>
              <w:bottom w:val="single" w:color="auto" w:sz="4" w:space="0"/>
              <w:right w:val="single" w:color="auto" w:sz="4" w:space="0"/>
            </w:tcBorders>
            <w:shd w:val="clear" w:color="auto" w:fill="auto"/>
            <w:vAlign w:val="center"/>
          </w:tcPr>
          <w:p w14:paraId="3F95B82D">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90</w:t>
            </w:r>
          </w:p>
        </w:tc>
      </w:tr>
    </w:tbl>
    <w:p w14:paraId="3DE73373">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512C50E9">
      <w:pPr>
        <w:pStyle w:val="9"/>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2B0F3B78">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4BFA3708">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1.项目立项</w:t>
      </w:r>
    </w:p>
    <w:p w14:paraId="20E102E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14:paraId="2EE3543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EE09FB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（2）立项程序规范性</w:t>
      </w:r>
    </w:p>
    <w:p w14:paraId="5B035FE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4F3BE3F">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2.绩效目标</w:t>
      </w:r>
    </w:p>
    <w:p w14:paraId="7544E46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14:paraId="05855B2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4A83A2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（2）绩效指标明确性</w:t>
      </w:r>
    </w:p>
    <w:p w14:paraId="3CDBCAE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927CEB9">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3.资金投入</w:t>
      </w:r>
    </w:p>
    <w:p w14:paraId="0F8038D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14:paraId="44A1B95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16D7A86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5F4E8FF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14:paraId="171EF344">
      <w:pPr>
        <w:pStyle w:val="9"/>
        <w:numPr>
          <w:ilvl w:val="0"/>
          <w:numId w:val="4"/>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14:paraId="47D0BDA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项目过程类指标包括资金管理和组织实施两方面的内容，由5个三级指标构成，权重分值为20分，实际得分20分，得分率为100%。</w:t>
      </w:r>
    </w:p>
    <w:p w14:paraId="54705E8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7562B813">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14:paraId="79FEC25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14581F7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本项目总投资100万元，财政资金及时足额到位，到位率99.62%，预算资金按计划进度执行。</w:t>
      </w:r>
    </w:p>
    <w:p w14:paraId="04314CD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552DB7D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预算编制较为详细，项目资金支出总体能够按照预算执行，预算资金支出99.62万元，预算执行率为99.62%。</w:t>
      </w:r>
    </w:p>
    <w:p w14:paraId="057EAB2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14:paraId="218B4E1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FC14792">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19D956C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65DEDAB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6A6FD2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3D70EDD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0F331DC8">
      <w:pPr>
        <w:pStyle w:val="11"/>
        <w:numPr>
          <w:ilvl w:val="0"/>
          <w:numId w:val="4"/>
        </w:numPr>
        <w:spacing w:line="560" w:lineRule="exact"/>
        <w:ind w:firstLine="643"/>
        <w:rPr>
          <w:rFonts w:eastAsia="楷体_GB2312"/>
          <w:b/>
          <w:bCs/>
          <w:sz w:val="32"/>
          <w:szCs w:val="32"/>
          <w:highlight w:val="none"/>
        </w:rPr>
      </w:pPr>
      <w:r>
        <w:rPr>
          <w:rFonts w:eastAsia="楷体_GB2312"/>
          <w:b/>
          <w:bCs/>
          <w:sz w:val="32"/>
          <w:szCs w:val="32"/>
          <w:highlight w:val="none"/>
        </w:rPr>
        <w:t>项目产出</w:t>
      </w:r>
      <w:r>
        <w:rPr>
          <w:rFonts w:hint="eastAsia" w:eastAsia="楷体_GB2312"/>
          <w:b/>
          <w:bCs/>
          <w:sz w:val="32"/>
          <w:szCs w:val="32"/>
          <w:highlight w:val="none"/>
          <w:lang w:val="en-US" w:eastAsia="zh-CN"/>
        </w:rPr>
        <w:t>情况</w:t>
      </w:r>
    </w:p>
    <w:p w14:paraId="7988D6A9">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项目产出类指标包括产出数量、产出质量、产出时效、产出成本四方面的内容，由3个三级指标构成，权重分为30分，实际得分30分，得分率为100%。具体产出指标完成情况如下：</w:t>
      </w:r>
    </w:p>
    <w:p w14:paraId="6DBDB12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7044AF64">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指标1：计划标准和行业标准，指标值：&gt;=4个，实际完成值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982D13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DCC4CC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：聘请专家的数量</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&gt;=4人</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4人，指标完成率100%。</w:t>
      </w:r>
    </w:p>
    <w:p w14:paraId="4B5ABEDC">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48775555">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：课题研究成果验收合格率</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lang w:val="en-US" w:eastAsia="zh-CN"/>
        </w:rPr>
        <w:t>=100%，实际完成值：=100%，指标完成率100%</w:t>
      </w:r>
      <w:r>
        <w:rPr>
          <w:rFonts w:hint="eastAsia" w:ascii="仿宋_GB2312" w:hAnsi="仿宋_GB2312" w:eastAsia="仿宋_GB2312" w:cs="仿宋_GB2312"/>
          <w:sz w:val="32"/>
          <w:szCs w:val="32"/>
          <w:highlight w:val="none"/>
          <w:lang w:eastAsia="zh-CN"/>
        </w:rPr>
        <w:t>。</w:t>
      </w:r>
    </w:p>
    <w:p w14:paraId="49EB501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112171D4">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指标1：课题研究成果按期完成率，指标值：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0E371F5">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指标2：预算成本控制率</w:t>
      </w:r>
      <w:r>
        <w:rPr>
          <w:rFonts w:hint="eastAsia" w:ascii="仿宋_GB2312" w:hAnsi="仿宋_GB2312" w:eastAsia="仿宋_GB2312" w:cs="仿宋_GB2312"/>
          <w:sz w:val="32"/>
          <w:szCs w:val="32"/>
          <w:highlight w:val="none"/>
        </w:rPr>
        <w:t>，指标值：&lt;=100%，实际完成值：</w:t>
      </w:r>
      <w:r>
        <w:rPr>
          <w:rFonts w:hint="eastAsia" w:ascii="仿宋_GB2312" w:hAnsi="仿宋_GB2312" w:eastAsia="仿宋_GB2312" w:cs="仿宋_GB2312"/>
          <w:sz w:val="32"/>
          <w:szCs w:val="32"/>
          <w:highlight w:val="none"/>
          <w:lang w:val="en-US" w:eastAsia="zh-CN"/>
        </w:rPr>
        <w:t>9962.%</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1325EA7">
      <w:pPr>
        <w:pStyle w:val="11"/>
        <w:numPr>
          <w:ilvl w:val="0"/>
          <w:numId w:val="4"/>
        </w:numPr>
        <w:spacing w:line="560" w:lineRule="exact"/>
        <w:ind w:firstLine="643"/>
        <w:rPr>
          <w:rFonts w:hint="eastAsia" w:ascii="Times New Roman" w:hAnsi="Times New Roman" w:eastAsia="楷体_GB2312" w:cs="Times New Roman"/>
          <w:b/>
          <w:bCs/>
          <w:sz w:val="32"/>
          <w:szCs w:val="32"/>
          <w:highlight w:val="none"/>
          <w:lang w:val="en-US" w:eastAsia="zh-CN"/>
        </w:rPr>
      </w:pPr>
      <w:r>
        <w:rPr>
          <w:rFonts w:hint="eastAsia" w:ascii="Times New Roman" w:hAnsi="Times New Roman" w:eastAsia="楷体_GB2312" w:cs="Times New Roman"/>
          <w:b/>
          <w:bCs/>
          <w:sz w:val="32"/>
          <w:szCs w:val="32"/>
          <w:highlight w:val="none"/>
          <w:lang w:val="en-US" w:eastAsia="zh-CN"/>
        </w:rPr>
        <w:t>项目效益情况</w:t>
      </w:r>
    </w:p>
    <w:p w14:paraId="668B2C5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项目效益类指标包括项目实施效益和满意度两方面的内容，由2个三级指标构成，权重分为30分，实际得分30分，得分率为100%￥。具体效益指标及满意度指标完成情况如下：</w:t>
      </w:r>
    </w:p>
    <w:p w14:paraId="525C60E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7521BF18">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社会效益指标：为推动新疆工业转型升级和强基增效提供科学决策建议，指标值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有效提升，实际完成</w:t>
      </w:r>
      <w:r>
        <w:rPr>
          <w:rFonts w:hint="eastAsia" w:ascii="仿宋_GB2312" w:hAnsi="仿宋_GB2312" w:eastAsia="仿宋_GB2312" w:cs="仿宋_GB2312"/>
          <w:sz w:val="32"/>
          <w:szCs w:val="32"/>
          <w:highlight w:val="none"/>
          <w:lang w:eastAsia="zh-CN"/>
        </w:rPr>
        <w:t>值：</w:t>
      </w:r>
      <w:r>
        <w:rPr>
          <w:rFonts w:hint="eastAsia" w:ascii="仿宋_GB2312" w:hAnsi="仿宋_GB2312" w:eastAsia="仿宋_GB2312" w:cs="仿宋_GB2312"/>
          <w:sz w:val="32"/>
          <w:szCs w:val="32"/>
          <w:highlight w:val="none"/>
        </w:rPr>
        <w:t>有效提升，指标完成率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D6A4AE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②生态效益指标：意见建议被采纳次数指标，指标值：&gt;=4，实际完成：=4，完成率100%。</w:t>
      </w:r>
    </w:p>
    <w:p w14:paraId="43C48C7D">
      <w:pPr>
        <w:spacing w:line="560" w:lineRule="exact"/>
        <w:ind w:firstLine="640" w:firstLineChars="200"/>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14:paraId="6875FDB2">
      <w:pPr>
        <w:pStyle w:val="18"/>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推进新疆工业强基增效和转型升级战略研究项目项目年初预算100万元，全年预算100万元，实际支出99.62万元，预算执行率为99.62%，项目绩效指标总体完成率为99.62%，</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偏差率为0.38%,</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原因按照中标实际资金为准，结余资金为招标结余，</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措施：后期将在项目成本预算方面做好审核检查，确保项目预算执行率达到标准。</w:t>
      </w:r>
    </w:p>
    <w:p w14:paraId="6496B3C3">
      <w:pPr>
        <w:spacing w:line="560" w:lineRule="exact"/>
        <w:ind w:firstLine="640" w:firstLineChars="200"/>
        <w:rPr>
          <w:rStyle w:val="17"/>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2EC435DC">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6E0E6CE8">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A3AFB42">
      <w:pPr>
        <w:pStyle w:val="9"/>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F9D75BF">
      <w:pPr>
        <w:keepNext/>
        <w:keepLines/>
        <w:numPr>
          <w:ilvl w:val="0"/>
          <w:numId w:val="5"/>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7FCBBA4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ACD9C1F">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25B2513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48E9B45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7BE134A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3A998C7">
      <w:pPr>
        <w:shd w:val="clear"/>
        <w:spacing w:line="600" w:lineRule="exact"/>
        <w:ind w:firstLine="640" w:firstLineChars="200"/>
        <w:outlineLvl w:val="0"/>
        <w:rPr>
          <w:sz w:val="22"/>
          <w:szCs w:val="28"/>
          <w:highlight w:val="none"/>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highlight w:val="none"/>
        </w:rPr>
        <w:t>。</w:t>
      </w:r>
    </w:p>
    <w:p w14:paraId="37B5DB6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8E9338E">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6" w:name="page8"/>
      <w:bookmarkEnd w:id="6"/>
      <w:r>
        <w:rPr>
          <w:rFonts w:eastAsia="黑体"/>
          <w:sz w:val="32"/>
          <w:szCs w:val="32"/>
          <w:highlight w:val="none"/>
        </w:rPr>
        <w:t>明的问题</w:t>
      </w:r>
    </w:p>
    <w:p w14:paraId="18003A5B">
      <w:pPr>
        <w:pStyle w:val="12"/>
        <w:spacing w:after="0" w:line="560" w:lineRule="exact"/>
        <w:ind w:left="0" w:leftChars="0" w:firstLine="64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p>
    <w:p w14:paraId="0640A80D">
      <w:pPr>
        <w:rPr>
          <w:highlight w:val="none"/>
        </w:rPr>
      </w:pPr>
      <w:bookmarkStart w:id="7" w:name="_GoBack"/>
      <w:bookmarkEnd w:id="7"/>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582FB5C">
        <w:pPr>
          <w:pStyle w:val="7"/>
          <w:jc w:val="center"/>
        </w:pPr>
        <w:r>
          <w:fldChar w:fldCharType="begin"/>
        </w:r>
        <w:r>
          <w:instrText xml:space="preserve">PAGE   \* MERGEFORMAT</w:instrText>
        </w:r>
        <w:r>
          <w:fldChar w:fldCharType="separate"/>
        </w:r>
        <w:r>
          <w:rPr>
            <w:lang w:val="zh-CN"/>
          </w:rPr>
          <w:t>13</w:t>
        </w:r>
        <w:r>
          <w:fldChar w:fldCharType="end"/>
        </w:r>
      </w:p>
    </w:sdtContent>
  </w:sdt>
  <w:p w14:paraId="25C28ED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7397B77"/>
    <w:rsid w:val="0D8F493E"/>
    <w:rsid w:val="13471461"/>
    <w:rsid w:val="13B90F01"/>
    <w:rsid w:val="181066D2"/>
    <w:rsid w:val="1C671E73"/>
    <w:rsid w:val="38CA40DD"/>
    <w:rsid w:val="395F2B56"/>
    <w:rsid w:val="3BECE841"/>
    <w:rsid w:val="3FF7797D"/>
    <w:rsid w:val="468E3747"/>
    <w:rsid w:val="5BFF6039"/>
    <w:rsid w:val="5D76A616"/>
    <w:rsid w:val="5D7F20B9"/>
    <w:rsid w:val="5DAC7D0E"/>
    <w:rsid w:val="5F98B5AF"/>
    <w:rsid w:val="5FFE8511"/>
    <w:rsid w:val="5FFEACE2"/>
    <w:rsid w:val="643EE26D"/>
    <w:rsid w:val="6F5C41AC"/>
    <w:rsid w:val="6FAF6C78"/>
    <w:rsid w:val="7317C656"/>
    <w:rsid w:val="734ED73F"/>
    <w:rsid w:val="77FD8BE9"/>
    <w:rsid w:val="79A9BD3F"/>
    <w:rsid w:val="7BFFFDD0"/>
    <w:rsid w:val="7C336E5F"/>
    <w:rsid w:val="7D7A5F86"/>
    <w:rsid w:val="7E5DE403"/>
    <w:rsid w:val="7F37BB4E"/>
    <w:rsid w:val="7FDB0559"/>
    <w:rsid w:val="7FEF918E"/>
    <w:rsid w:val="7FF4FB6F"/>
    <w:rsid w:val="7FF7FF27"/>
    <w:rsid w:val="7FFDF714"/>
    <w:rsid w:val="87FF53CC"/>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link w:val="21"/>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4"/>
    <w:next w:val="4"/>
    <w:link w:val="22"/>
    <w:qFormat/>
    <w:uiPriority w:val="0"/>
    <w:rPr>
      <w:b/>
      <w:bCs/>
    </w:rPr>
  </w:style>
  <w:style w:type="paragraph" w:styleId="11">
    <w:name w:val="Body Text First Indent"/>
    <w:basedOn w:val="2"/>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6"/>
    <w:qFormat/>
    <w:uiPriority w:val="0"/>
    <w:rPr>
      <w:rFonts w:ascii="Times New Roman" w:hAnsi="Times New Roman" w:eastAsia="宋体" w:cs="Times New Roman"/>
      <w:kern w:val="2"/>
      <w:sz w:val="18"/>
      <w:szCs w:val="18"/>
    </w:rPr>
  </w:style>
  <w:style w:type="character" w:customStyle="1" w:styleId="20">
    <w:name w:val="页眉 字符"/>
    <w:basedOn w:val="14"/>
    <w:link w:val="8"/>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character" w:customStyle="1" w:styleId="23">
    <w:name w:val="font01"/>
    <w:basedOn w:val="14"/>
    <w:qFormat/>
    <w:uiPriority w:val="0"/>
    <w:rPr>
      <w:rFonts w:hint="default" w:ascii="Arial" w:hAnsi="Arial" w:cs="Arial"/>
      <w:color w:val="000000"/>
      <w:sz w:val="20"/>
      <w:szCs w:val="20"/>
      <w:u w:val="none"/>
    </w:rPr>
  </w:style>
  <w:style w:type="character" w:customStyle="1" w:styleId="24">
    <w:name w:val="font5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9856</Words>
  <Characters>10178</Characters>
  <Lines>58</Lines>
  <Paragraphs>16</Paragraphs>
  <TotalTime>4</TotalTime>
  <ScaleCrop>false</ScaleCrop>
  <LinksUpToDate>false</LinksUpToDate>
  <CharactersWithSpaces>10203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2023-03-09T13:13:00Z</dcterms:created>
  <dc:creator>审核人</dc:creator>
  <cp:lastModifiedBy>岁月无痕</cp:lastModifiedBy>
  <dcterms:modified xsi:type="dcterms:W3CDTF">2024-08-09T08:25:40Z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