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9A195">
      <w:pPr>
        <w:pageBreakBefore w:val="0"/>
        <w:kinsoku/>
        <w:wordWrap/>
        <w:overflowPunct/>
        <w:topLinePunct w:val="0"/>
        <w:autoSpaceDE/>
        <w:autoSpaceDN/>
        <w:bidi w:val="0"/>
        <w:adjustRightInd/>
        <w:snapToGrid/>
        <w:spacing w:line="560" w:lineRule="exact"/>
        <w:ind w:left="0" w:leftChars="0"/>
        <w:jc w:val="center"/>
        <w:rPr>
          <w:rFonts w:hint="eastAsia" w:eastAsia="方正小标宋_GBK"/>
          <w:kern w:val="0"/>
          <w:sz w:val="48"/>
          <w:szCs w:val="48"/>
          <w:lang w:eastAsia="zh-CN"/>
        </w:rPr>
      </w:pPr>
    </w:p>
    <w:p w14:paraId="5578F25F">
      <w:pPr>
        <w:pageBreakBefore w:val="0"/>
        <w:kinsoku/>
        <w:wordWrap/>
        <w:overflowPunct/>
        <w:topLinePunct w:val="0"/>
        <w:autoSpaceDE/>
        <w:autoSpaceDN/>
        <w:bidi w:val="0"/>
        <w:adjustRightInd/>
        <w:snapToGrid/>
        <w:spacing w:line="560" w:lineRule="exact"/>
        <w:ind w:left="0" w:leftChars="0"/>
        <w:jc w:val="center"/>
        <w:rPr>
          <w:rFonts w:hint="eastAsia" w:eastAsia="方正小标宋_GBK"/>
          <w:kern w:val="0"/>
          <w:sz w:val="48"/>
          <w:szCs w:val="48"/>
          <w:lang w:eastAsia="zh-CN"/>
        </w:rPr>
      </w:pPr>
    </w:p>
    <w:p w14:paraId="03BC616A">
      <w:pPr>
        <w:pageBreakBefore w:val="0"/>
        <w:kinsoku/>
        <w:wordWrap/>
        <w:overflowPunct/>
        <w:topLinePunct w:val="0"/>
        <w:autoSpaceDE/>
        <w:autoSpaceDN/>
        <w:bidi w:val="0"/>
        <w:adjustRightInd/>
        <w:snapToGrid/>
        <w:spacing w:line="560" w:lineRule="exact"/>
        <w:ind w:left="0" w:leftChars="0"/>
        <w:jc w:val="center"/>
        <w:rPr>
          <w:rFonts w:hint="eastAsia" w:eastAsia="方正小标宋_GBK"/>
          <w:kern w:val="0"/>
          <w:sz w:val="48"/>
          <w:szCs w:val="48"/>
          <w:lang w:eastAsia="zh-CN"/>
        </w:rPr>
      </w:pPr>
    </w:p>
    <w:p w14:paraId="601B493F">
      <w:pPr>
        <w:pageBreakBefore w:val="0"/>
        <w:kinsoku/>
        <w:wordWrap/>
        <w:overflowPunct/>
        <w:topLinePunct w:val="0"/>
        <w:autoSpaceDE/>
        <w:autoSpaceDN/>
        <w:bidi w:val="0"/>
        <w:adjustRightInd/>
        <w:snapToGrid/>
        <w:spacing w:line="560" w:lineRule="exact"/>
        <w:ind w:left="0" w:leftChars="0"/>
        <w:jc w:val="center"/>
        <w:rPr>
          <w:rFonts w:eastAsia="方正小标宋_GBK"/>
          <w:kern w:val="0"/>
          <w:sz w:val="48"/>
          <w:szCs w:val="48"/>
        </w:rPr>
      </w:pPr>
      <w:r>
        <w:rPr>
          <w:rFonts w:hint="eastAsia" w:eastAsia="方正小标宋_GBK"/>
          <w:kern w:val="0"/>
          <w:sz w:val="48"/>
          <w:szCs w:val="48"/>
          <w:lang w:eastAsia="zh-CN"/>
        </w:rPr>
        <w:t>组团参加第二十三届中国国际工业博览会</w:t>
      </w:r>
      <w:r>
        <w:rPr>
          <w:rFonts w:eastAsia="方正小标宋_GBK"/>
          <w:kern w:val="0"/>
          <w:sz w:val="48"/>
          <w:szCs w:val="48"/>
        </w:rPr>
        <w:t>资金项目支出绩效评价报告</w:t>
      </w:r>
    </w:p>
    <w:p w14:paraId="74839FEE">
      <w:pPr>
        <w:pageBreakBefore w:val="0"/>
        <w:kinsoku/>
        <w:wordWrap/>
        <w:overflowPunct/>
        <w:topLinePunct w:val="0"/>
        <w:autoSpaceDE/>
        <w:autoSpaceDN/>
        <w:bidi w:val="0"/>
        <w:adjustRightInd/>
        <w:snapToGrid/>
        <w:spacing w:line="560" w:lineRule="exact"/>
        <w:ind w:left="0" w:leftChars="0"/>
        <w:jc w:val="center"/>
        <w:rPr>
          <w:rFonts w:eastAsia="华文中宋"/>
          <w:b/>
          <w:kern w:val="0"/>
          <w:sz w:val="52"/>
          <w:szCs w:val="52"/>
        </w:rPr>
      </w:pPr>
    </w:p>
    <w:p w14:paraId="0641A8A3">
      <w:pPr>
        <w:pageBreakBefore w:val="0"/>
        <w:kinsoku/>
        <w:wordWrap/>
        <w:overflowPunct/>
        <w:topLinePunct w:val="0"/>
        <w:autoSpaceDE/>
        <w:autoSpaceDN/>
        <w:bidi w:val="0"/>
        <w:adjustRightInd/>
        <w:snapToGrid/>
        <w:spacing w:line="560" w:lineRule="exact"/>
        <w:ind w:left="0" w:leftChars="0"/>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445EF92F">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5F6E0149">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49BC2B47">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497F9B36">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1C7D627F">
      <w:pPr>
        <w:pageBreakBefore w:val="0"/>
        <w:kinsoku/>
        <w:wordWrap/>
        <w:overflowPunct/>
        <w:topLinePunct w:val="0"/>
        <w:autoSpaceDE/>
        <w:autoSpaceDN/>
        <w:bidi w:val="0"/>
        <w:adjustRightInd/>
        <w:snapToGrid/>
        <w:spacing w:line="560" w:lineRule="exact"/>
        <w:ind w:left="0" w:leftChars="0"/>
        <w:rPr>
          <w:rFonts w:eastAsia="仿宋_GB2312"/>
          <w:kern w:val="0"/>
          <w:sz w:val="30"/>
          <w:szCs w:val="30"/>
        </w:rPr>
      </w:pPr>
    </w:p>
    <w:p w14:paraId="45A36DF1">
      <w:pPr>
        <w:pageBreakBefore w:val="0"/>
        <w:kinsoku/>
        <w:wordWrap/>
        <w:overflowPunct/>
        <w:topLinePunct w:val="0"/>
        <w:autoSpaceDE/>
        <w:autoSpaceDN/>
        <w:bidi w:val="0"/>
        <w:adjustRightInd/>
        <w:snapToGrid/>
        <w:spacing w:line="560" w:lineRule="exact"/>
        <w:ind w:left="3240" w:leftChars="480" w:hanging="1800" w:hangingChars="500"/>
        <w:jc w:val="left"/>
        <w:rPr>
          <w:rFonts w:hint="eastAsia" w:ascii="Times New Roman" w:hAnsi="Times New Roman" w:eastAsia="仿宋_GB2312" w:cs="Times New Roman"/>
          <w:kern w:val="0"/>
          <w:sz w:val="36"/>
          <w:szCs w:val="36"/>
          <w:lang w:val="en-US" w:eastAsia="zh-CN"/>
        </w:rPr>
      </w:pPr>
      <w:r>
        <w:rPr>
          <w:rFonts w:eastAsia="仿宋_GB2312"/>
          <w:kern w:val="0"/>
          <w:sz w:val="36"/>
          <w:szCs w:val="36"/>
        </w:rPr>
        <w:t>项目名</w:t>
      </w:r>
      <w:r>
        <w:rPr>
          <w:rFonts w:hint="eastAsia" w:ascii="Times New Roman" w:hAnsi="Times New Roman" w:eastAsia="仿宋_GB2312" w:cs="Times New Roman"/>
          <w:kern w:val="0"/>
          <w:sz w:val="36"/>
          <w:szCs w:val="36"/>
          <w:lang w:val="en-US" w:eastAsia="zh-CN"/>
        </w:rPr>
        <w:t>称：组团参加第二十三届中国国际工业博览会</w:t>
      </w:r>
    </w:p>
    <w:p w14:paraId="4E10B7AE">
      <w:pPr>
        <w:pageBreakBefore w:val="0"/>
        <w:kinsoku/>
        <w:wordWrap/>
        <w:overflowPunct/>
        <w:topLinePunct w:val="0"/>
        <w:autoSpaceDE/>
        <w:autoSpaceDN/>
        <w:bidi w:val="0"/>
        <w:adjustRightInd/>
        <w:snapToGrid/>
        <w:spacing w:line="560" w:lineRule="exact"/>
        <w:ind w:firstLine="1440" w:firstLineChars="400"/>
        <w:jc w:val="left"/>
        <w:rPr>
          <w:rFonts w:hint="default" w:eastAsia="仿宋_GB2312"/>
          <w:kern w:val="0"/>
          <w:sz w:val="36"/>
          <w:szCs w:val="36"/>
          <w:lang w:val="en-US" w:eastAsia="zh-CN"/>
        </w:rPr>
      </w:pPr>
      <w:r>
        <w:rPr>
          <w:rFonts w:hint="eastAsia" w:ascii="Times New Roman" w:hAnsi="Times New Roman" w:eastAsia="仿宋_GB2312" w:cs="Times New Roman"/>
          <w:kern w:val="0"/>
          <w:sz w:val="36"/>
          <w:szCs w:val="36"/>
          <w:lang w:val="en-US" w:eastAsia="zh-CN"/>
        </w:rPr>
        <w:t>实施单位（公章）：</w:t>
      </w:r>
      <w:r>
        <w:rPr>
          <w:rFonts w:hint="eastAsia"/>
          <w:kern w:val="0"/>
          <w:sz w:val="36"/>
          <w:szCs w:val="36"/>
          <w:lang w:val="en-US" w:eastAsia="zh-CN"/>
        </w:rPr>
        <w:t>装备工业处</w:t>
      </w:r>
    </w:p>
    <w:p w14:paraId="3BD48EB5">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自治区工业和信息化厅</w:t>
      </w:r>
    </w:p>
    <w:p w14:paraId="162C702B">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kern w:val="0"/>
          <w:sz w:val="36"/>
          <w:szCs w:val="36"/>
          <w:highlight w:val="none"/>
          <w:lang w:val="en-US" w:eastAsia="zh-CN"/>
        </w:rPr>
        <w:t>刘新星</w:t>
      </w:r>
    </w:p>
    <w:p w14:paraId="30C58404">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rPr>
        <w:t>2024年3月12日</w:t>
      </w:r>
    </w:p>
    <w:p w14:paraId="2A3D818B">
      <w:pPr>
        <w:jc w:val="center"/>
        <w:rPr>
          <w:rFonts w:hint="eastAsia" w:ascii="宋体" w:hAnsi="宋体" w:eastAsia="宋体" w:cs="Arial"/>
          <w:b/>
          <w:bCs/>
          <w:sz w:val="36"/>
          <w:szCs w:val="36"/>
        </w:rPr>
      </w:pPr>
    </w:p>
    <w:p w14:paraId="46D62F87">
      <w:pPr>
        <w:pStyle w:val="4"/>
        <w:rPr>
          <w:rFonts w:hint="eastAsia" w:ascii="宋体" w:hAnsi="宋体" w:eastAsia="宋体" w:cs="Arial"/>
          <w:b/>
          <w:bCs/>
          <w:sz w:val="36"/>
          <w:szCs w:val="36"/>
        </w:rPr>
      </w:pPr>
    </w:p>
    <w:p w14:paraId="70976825">
      <w:pPr>
        <w:rPr>
          <w:rFonts w:hint="eastAsia" w:ascii="宋体" w:hAnsi="宋体" w:eastAsia="宋体" w:cs="Arial"/>
          <w:b/>
          <w:bCs/>
          <w:sz w:val="36"/>
          <w:szCs w:val="36"/>
        </w:rPr>
      </w:pPr>
    </w:p>
    <w:p w14:paraId="15C98AA5">
      <w:pPr>
        <w:rPr>
          <w:rFonts w:hint="eastAsia"/>
        </w:rPr>
      </w:pPr>
    </w:p>
    <w:p w14:paraId="0A52DD36">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项目支出绩效评价报告</w:t>
      </w:r>
    </w:p>
    <w:p w14:paraId="6E9EB10C">
      <w:pPr>
        <w:pageBreakBefore w:val="0"/>
        <w:kinsoku/>
        <w:wordWrap/>
        <w:overflowPunct/>
        <w:topLinePunct w:val="0"/>
        <w:autoSpaceDE/>
        <w:autoSpaceDN/>
        <w:bidi w:val="0"/>
        <w:adjustRightInd/>
        <w:snapToGrid/>
        <w:spacing w:line="560" w:lineRule="exact"/>
        <w:ind w:left="0" w:leftChars="0" w:firstLine="641"/>
        <w:rPr>
          <w:rFonts w:hint="eastAsia" w:ascii="方正黑体_GBK" w:hAnsi="方正黑体_GBK" w:eastAsia="方正黑体_GBK" w:cs="方正黑体_GBK"/>
          <w:b/>
          <w:bCs/>
          <w:sz w:val="32"/>
          <w:szCs w:val="32"/>
          <w:lang w:val="en-US" w:eastAsia="zh-CN"/>
        </w:rPr>
      </w:pPr>
      <w:r>
        <w:rPr>
          <w:rFonts w:hint="eastAsia" w:ascii="方正黑体_GBK" w:hAnsi="方正黑体_GBK" w:eastAsia="方正黑体_GBK" w:cs="方正黑体_GBK"/>
          <w:b/>
          <w:bCs/>
          <w:sz w:val="32"/>
          <w:szCs w:val="32"/>
          <w:lang w:val="en-US" w:eastAsia="zh-CN"/>
        </w:rPr>
        <w:t>一、基本情况</w:t>
      </w:r>
    </w:p>
    <w:p w14:paraId="5200E8A9">
      <w:pPr>
        <w:pageBreakBefore w:val="0"/>
        <w:kinsoku/>
        <w:wordWrap/>
        <w:overflowPunct/>
        <w:topLinePunct w:val="0"/>
        <w:autoSpaceDE/>
        <w:autoSpaceDN/>
        <w:bidi w:val="0"/>
        <w:adjustRightInd/>
        <w:snapToGrid/>
        <w:spacing w:line="560" w:lineRule="exact"/>
        <w:ind w:left="0" w:leftChars="0" w:firstLine="641"/>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（一）项目概况</w:t>
      </w:r>
    </w:p>
    <w:p w14:paraId="491C1CEE">
      <w:pPr>
        <w:pageBreakBefore w:val="0"/>
        <w:kinsoku/>
        <w:wordWrap/>
        <w:overflowPunct/>
        <w:topLinePunct w:val="0"/>
        <w:autoSpaceDE/>
        <w:autoSpaceDN/>
        <w:bidi w:val="0"/>
        <w:adjustRightInd/>
        <w:snapToGrid/>
        <w:spacing w:line="560" w:lineRule="exact"/>
        <w:ind w:left="0" w:leftChars="0" w:firstLine="641"/>
        <w:rPr>
          <w:rFonts w:eastAsia="仿宋_GB2312"/>
          <w:b/>
          <w:bCs/>
          <w:sz w:val="32"/>
          <w:szCs w:val="32"/>
        </w:rPr>
      </w:pPr>
      <w:r>
        <w:rPr>
          <w:rFonts w:eastAsia="仿宋_GB2312"/>
          <w:b/>
          <w:bCs/>
          <w:sz w:val="32"/>
          <w:szCs w:val="32"/>
        </w:rPr>
        <w:t>1、项目背景</w:t>
      </w:r>
    </w:p>
    <w:p w14:paraId="73270EA6">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cs="仿宋_GB2312"/>
          <w:color w:val="auto"/>
          <w:sz w:val="32"/>
          <w:szCs w:val="32"/>
          <w:lang w:val="en-US" w:eastAsia="zh-CN"/>
        </w:rPr>
      </w:pP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中国国际工业博览会（以下简称 “工博会”）是经国务院批准，由国家发展改革委、工信部等八部委和上海市人民政府共同主办，是我国装备制造领域规模最大、质量最高、最具影响力的专业性、工业类展会。</w:t>
      </w:r>
      <w:r>
        <w:rPr>
          <w:rFonts w:hint="eastAsia" w:ascii="仿宋_GB2312" w:hAnsi="仿宋_GB2312" w:eastAsia="仿宋_GB2312" w:cs="仿宋_GB2312"/>
          <w:sz w:val="32"/>
          <w:szCs w:val="32"/>
          <w:lang w:eastAsia="zh-CN"/>
        </w:rPr>
        <w:t>二是贯彻落实自治区党委、自治区人民政府关于加快“八大产业集群”建设的决策部署，展示好新疆工业领域尤其是装备制造业所取的成就和创新产品，根据自治区领导在《关于邀请参加第二十三届中国国际工业博览会的函》上批示</w:t>
      </w:r>
      <w:r>
        <w:rPr>
          <w:rFonts w:hint="eastAsia" w:ascii="仿宋_GB2312" w:hAnsi="仿宋_GB2312" w:cs="仿宋_GB2312"/>
          <w:sz w:val="32"/>
          <w:szCs w:val="32"/>
          <w:lang w:eastAsia="zh-CN"/>
        </w:rPr>
        <w:t>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结合实际制定《</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val="en-US" w:eastAsia="zh-CN"/>
        </w:rPr>
        <w:t>二十三</w:t>
      </w:r>
      <w:r>
        <w:rPr>
          <w:rFonts w:hint="eastAsia" w:ascii="仿宋_GB2312" w:hAnsi="仿宋_GB2312" w:eastAsia="仿宋_GB2312" w:cs="仿宋_GB2312"/>
          <w:sz w:val="32"/>
          <w:szCs w:val="32"/>
        </w:rPr>
        <w:t>届中国国际工业博览会新疆代表团参</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方案</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，并按方案内容开展相关参展工作。</w:t>
      </w:r>
    </w:p>
    <w:p w14:paraId="70F1A905">
      <w:pPr>
        <w:pStyle w:val="4"/>
        <w:numPr>
          <w:ilvl w:val="0"/>
          <w:numId w:val="0"/>
        </w:numPr>
        <w:ind w:firstLine="643" w:firstLineChars="200"/>
        <w:jc w:val="both"/>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2.</w:t>
      </w:r>
      <w:r>
        <w:rPr>
          <w:rFonts w:hint="eastAsia" w:ascii="仿宋_GB2312"/>
        </w:rPr>
        <w:t>主要内容及实施情况</w:t>
      </w:r>
    </w:p>
    <w:p w14:paraId="7B19E0D4">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eastAsia="zh-CN"/>
        </w:rPr>
        <w:t>项目内容：</w:t>
      </w:r>
      <w:r>
        <w:rPr>
          <w:rFonts w:hint="eastAsia" w:eastAsia="仿宋_GB2312"/>
          <w:sz w:val="32"/>
          <w:szCs w:val="32"/>
        </w:rPr>
        <w:t>组团参加第二十三届中国国际工业博览会项目</w:t>
      </w:r>
      <w:r>
        <w:rPr>
          <w:rFonts w:hint="eastAsia" w:ascii="仿宋_GB2312" w:hAnsi="仿宋_GB2312" w:eastAsia="仿宋_GB2312" w:cs="仿宋_GB2312"/>
          <w:sz w:val="32"/>
          <w:szCs w:val="32"/>
          <w:lang w:eastAsia="zh-CN"/>
        </w:rPr>
        <w:t>自治区人民政府</w:t>
      </w:r>
      <w:r>
        <w:rPr>
          <w:rFonts w:hint="eastAsia" w:ascii="仿宋_GB2312" w:hAnsi="仿宋_GB2312" w:cs="仿宋_GB2312"/>
          <w:sz w:val="32"/>
          <w:szCs w:val="32"/>
          <w:lang w:eastAsia="zh-CN"/>
        </w:rPr>
        <w:t>领导同志</w:t>
      </w:r>
      <w:r>
        <w:rPr>
          <w:rFonts w:hint="eastAsia" w:ascii="仿宋_GB2312" w:hAnsi="仿宋_GB2312" w:eastAsia="仿宋_GB2312" w:cs="仿宋_GB2312"/>
          <w:sz w:val="32"/>
          <w:szCs w:val="32"/>
          <w:lang w:eastAsia="zh-CN"/>
        </w:rPr>
        <w:t>，自治区人民政府办公厅、工信厅、发改委、科技厅、贸促会和各地州市工信局、开发区及企业的</w:t>
      </w:r>
      <w:r>
        <w:rPr>
          <w:rFonts w:hint="eastAsia" w:ascii="仿宋_GB2312" w:hAnsi="仿宋_GB2312" w:eastAsia="仿宋_GB2312" w:cs="仿宋_GB2312"/>
          <w:sz w:val="32"/>
          <w:szCs w:val="32"/>
          <w:lang w:val="en-US" w:eastAsia="zh-CN"/>
        </w:rPr>
        <w:t>86</w:t>
      </w:r>
      <w:r>
        <w:rPr>
          <w:rFonts w:hint="eastAsia" w:ascii="仿宋_GB2312" w:hAnsi="仿宋_GB2312" w:eastAsia="仿宋_GB2312" w:cs="仿宋_GB2312"/>
          <w:sz w:val="32"/>
          <w:szCs w:val="32"/>
          <w:lang w:eastAsia="zh-CN"/>
        </w:rPr>
        <w:t>名代表组成新疆代表团</w:t>
      </w:r>
      <w:r>
        <w:rPr>
          <w:rFonts w:hint="eastAsia" w:ascii="仿宋_GB2312" w:hAnsi="仿宋_GB2312" w:cs="仿宋_GB2312"/>
          <w:sz w:val="32"/>
          <w:szCs w:val="32"/>
          <w:lang w:eastAsia="zh-CN"/>
        </w:rPr>
        <w:t>参加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13家装备制造企业进行新疆特装展示。</w:t>
      </w:r>
    </w:p>
    <w:p w14:paraId="247B91E8">
      <w:pPr>
        <w:keepNext w:val="0"/>
        <w:keepLines w:val="0"/>
        <w:pageBreakBefore w:val="0"/>
        <w:kinsoku/>
        <w:wordWrap/>
        <w:overflowPunct/>
        <w:topLinePunct w:val="0"/>
        <w:autoSpaceDE/>
        <w:bidi w:val="0"/>
        <w:spacing w:line="580" w:lineRule="exact"/>
        <w:ind w:firstLine="600" w:firstLineChars="200"/>
        <w:jc w:val="both"/>
        <w:textAlignment w:val="auto"/>
        <w:rPr>
          <w:rFonts w:eastAsia="仿宋_GB2312"/>
          <w:sz w:val="32"/>
          <w:szCs w:val="32"/>
        </w:rPr>
      </w:pPr>
      <w:r>
        <w:rPr>
          <w:rFonts w:hint="eastAsia" w:ascii="仿宋_GB2312"/>
          <w:lang w:eastAsia="zh-CN"/>
        </w:rPr>
        <w:t>项目实施情况：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14:paraId="24E798DC">
      <w:pPr>
        <w:keepNext w:val="0"/>
        <w:keepLines w:val="0"/>
        <w:pageBreakBefore w:val="0"/>
        <w:kinsoku/>
        <w:wordWrap/>
        <w:overflowPunct/>
        <w:topLinePunct w:val="0"/>
        <w:autoSpaceDE/>
        <w:bidi w:val="0"/>
        <w:spacing w:line="580" w:lineRule="exact"/>
        <w:ind w:firstLine="640" w:firstLineChars="200"/>
        <w:jc w:val="both"/>
        <w:textAlignment w:val="auto"/>
        <w:rPr>
          <w:rFonts w:eastAsia="仿宋_GB2312"/>
          <w:sz w:val="32"/>
          <w:szCs w:val="32"/>
        </w:rPr>
      </w:pPr>
      <w:r>
        <w:rPr>
          <w:rFonts w:hint="eastAsia" w:eastAsia="仿宋_GB2312"/>
          <w:sz w:val="32"/>
          <w:szCs w:val="32"/>
          <w:lang w:val="en-US" w:eastAsia="zh-CN"/>
        </w:rPr>
        <w:t>本项目总投资93.52万元。其中财政拨款93</w:t>
      </w:r>
      <w:r>
        <w:rPr>
          <w:rFonts w:hint="eastAsia"/>
          <w:sz w:val="32"/>
          <w:szCs w:val="32"/>
          <w:lang w:val="en-US" w:eastAsia="zh-CN"/>
        </w:rPr>
        <w:t>.</w:t>
      </w:r>
      <w:r>
        <w:rPr>
          <w:rFonts w:hint="eastAsia" w:eastAsia="仿宋_GB2312"/>
          <w:sz w:val="32"/>
          <w:szCs w:val="32"/>
          <w:lang w:val="en-US" w:eastAsia="zh-CN"/>
        </w:rPr>
        <w:t>52万元，其他资金0万元，</w:t>
      </w:r>
      <w:r>
        <w:rPr>
          <w:rFonts w:eastAsia="仿宋_GB2312"/>
          <w:sz w:val="32"/>
          <w:szCs w:val="32"/>
        </w:rPr>
        <w:t>项目实际支出</w:t>
      </w:r>
      <w:r>
        <w:rPr>
          <w:rFonts w:hint="eastAsia" w:eastAsia="仿宋_GB2312"/>
          <w:sz w:val="32"/>
          <w:szCs w:val="32"/>
          <w:lang w:val="en-US" w:eastAsia="zh-CN"/>
        </w:rPr>
        <w:t>93</w:t>
      </w:r>
      <w:r>
        <w:rPr>
          <w:rFonts w:hint="eastAsia"/>
          <w:sz w:val="32"/>
          <w:szCs w:val="32"/>
          <w:lang w:val="en-US" w:eastAsia="zh-CN"/>
        </w:rPr>
        <w:t>.</w:t>
      </w:r>
      <w:r>
        <w:rPr>
          <w:rFonts w:hint="eastAsia" w:eastAsia="仿宋_GB2312"/>
          <w:sz w:val="32"/>
          <w:szCs w:val="32"/>
          <w:lang w:val="en-US" w:eastAsia="zh-CN"/>
        </w:rPr>
        <w:t>52</w:t>
      </w:r>
      <w:r>
        <w:rPr>
          <w:rFonts w:eastAsia="仿宋_GB2312"/>
          <w:sz w:val="32"/>
          <w:szCs w:val="32"/>
        </w:rPr>
        <w:t>万元，支出率为100%。</w:t>
      </w:r>
    </w:p>
    <w:p w14:paraId="19A41DC1">
      <w:pPr>
        <w:pageBreakBefore w:val="0"/>
        <w:kinsoku/>
        <w:wordWrap/>
        <w:overflowPunct/>
        <w:topLinePunct w:val="0"/>
        <w:autoSpaceDE/>
        <w:autoSpaceDN/>
        <w:bidi w:val="0"/>
        <w:adjustRightInd/>
        <w:snapToGrid/>
        <w:spacing w:line="560" w:lineRule="exact"/>
        <w:ind w:left="0" w:leftChars="0" w:firstLine="643" w:firstLineChars="200"/>
        <w:rPr>
          <w:rFonts w:eastAsia="仿宋_GB2312"/>
          <w:b/>
          <w:bCs/>
          <w:sz w:val="32"/>
          <w:szCs w:val="32"/>
        </w:rPr>
      </w:pPr>
      <w:r>
        <w:rPr>
          <w:rFonts w:eastAsia="仿宋_GB2312"/>
          <w:b/>
          <w:bCs/>
          <w:sz w:val="32"/>
          <w:szCs w:val="32"/>
        </w:rPr>
        <w:t>3、资金投入和使用情况</w:t>
      </w:r>
    </w:p>
    <w:p w14:paraId="3B499037">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20"/>
          <w:szCs w:val="20"/>
        </w:rPr>
      </w:pPr>
      <w:r>
        <w:rPr>
          <w:rFonts w:eastAsia="仿宋_GB2312"/>
          <w:sz w:val="32"/>
          <w:szCs w:val="32"/>
        </w:rPr>
        <w:t>（1）资金安排</w:t>
      </w:r>
    </w:p>
    <w:p w14:paraId="2D267F4A">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项目总投资</w:t>
      </w:r>
      <w:r>
        <w:rPr>
          <w:rFonts w:hint="eastAsia"/>
          <w:sz w:val="32"/>
          <w:szCs w:val="32"/>
          <w:lang w:val="en-US" w:eastAsia="zh-CN"/>
        </w:rPr>
        <w:t>93.52</w:t>
      </w:r>
      <w:r>
        <w:rPr>
          <w:rFonts w:eastAsia="仿宋_GB2312"/>
          <w:sz w:val="32"/>
          <w:szCs w:val="32"/>
        </w:rPr>
        <w:t>万元，</w:t>
      </w:r>
      <w:r>
        <w:rPr>
          <w:rFonts w:hint="eastAsia"/>
          <w:sz w:val="32"/>
          <w:szCs w:val="32"/>
          <w:lang w:eastAsia="zh-CN"/>
        </w:rPr>
        <w:t>其中政府采购资金</w:t>
      </w:r>
      <w:r>
        <w:rPr>
          <w:rFonts w:hint="eastAsia"/>
          <w:sz w:val="32"/>
          <w:szCs w:val="32"/>
          <w:lang w:val="en-US" w:eastAsia="zh-CN"/>
        </w:rPr>
        <w:t>23.2万元。</w:t>
      </w:r>
      <w:r>
        <w:rPr>
          <w:rFonts w:eastAsia="仿宋_GB2312"/>
          <w:sz w:val="32"/>
          <w:szCs w:val="32"/>
        </w:rPr>
        <w:t>按照单位财务制度等相关规定，资金支出符合专项资金费用范围，做到了专款专用。在项目资金拨付和使用过程中，为确保项目资金的安全性，提高项目资金使用效率，严格遵循</w:t>
      </w:r>
      <w:r>
        <w:rPr>
          <w:rFonts w:hint="eastAsia"/>
          <w:sz w:val="32"/>
          <w:szCs w:val="32"/>
          <w:lang w:eastAsia="zh-CN"/>
        </w:rPr>
        <w:t>专项</w:t>
      </w:r>
      <w:r>
        <w:rPr>
          <w:rFonts w:eastAsia="仿宋_GB2312"/>
          <w:sz w:val="32"/>
          <w:szCs w:val="32"/>
        </w:rPr>
        <w:t>资金的拨付程序，认真审核项目实施各阶段的相关材料和手续，根据项目实施进展情况拨付资金。</w:t>
      </w:r>
    </w:p>
    <w:p w14:paraId="133D659E">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（2）预算资金来源及使用情况</w:t>
      </w:r>
      <w:bookmarkStart w:id="0" w:name="page10"/>
      <w:bookmarkEnd w:id="0"/>
    </w:p>
    <w:p w14:paraId="3960ED6F">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rPr>
          <w:rFonts w:hint="default" w:ascii="仿宋_GB2312"/>
          <w:lang w:val="en-US"/>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[2150502]一般行政管理事务</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lang w:val="en-US" w:eastAsia="zh-CN"/>
        </w:rPr>
        <w:t>93.52</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93.52</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1B9FEC93">
      <w:pPr>
        <w:numPr>
          <w:ilvl w:val="0"/>
          <w:numId w:val="1"/>
        </w:numPr>
        <w:spacing w:line="600" w:lineRule="exact"/>
        <w:ind w:firstLine="600" w:firstLineChars="200"/>
        <w:rPr>
          <w:rFonts w:hint="eastAsia" w:ascii="方正黑体_GBK" w:hAnsi="方正黑体_GBK" w:eastAsia="方正黑体_GBK" w:cs="方正黑体_GBK"/>
          <w:b/>
          <w:bCs/>
        </w:rPr>
      </w:pPr>
      <w:r>
        <w:rPr>
          <w:rFonts w:hint="eastAsia" w:ascii="方正黑体_GBK" w:hAnsi="方正黑体_GBK" w:eastAsia="方正黑体_GBK" w:cs="方正黑体_GBK"/>
          <w:b/>
          <w:bCs/>
        </w:rPr>
        <w:t>项目绩效目标。包括总体目标和阶段性目标。</w:t>
      </w:r>
    </w:p>
    <w:p w14:paraId="41025DB7">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1、总体目标</w:t>
      </w:r>
    </w:p>
    <w:p w14:paraId="44CA9E96">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通过中国国际工业博览会平台，展示新疆工业领域尤其是装备制造业所取得的成就和创新产品，彰显新疆建设丝绸之路经济带核心区重要的装备制造业和向西出口产业基地的美好前景，与国内外企业加强交流和学习，促进大企业大集团及配套产业产能转移落户新疆，提升我区装备制造业走向国际的能力和水平，进一步促进我区装备制造业延链、补链、强链。</w:t>
      </w:r>
    </w:p>
    <w:p w14:paraId="37C55FAB">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2、阶段性目标</w:t>
      </w:r>
    </w:p>
    <w:p w14:paraId="481D44F3">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（1）前期准备：通过制定项目实施方案，经项目负责人审核通过后，有序开展后续工作。</w:t>
      </w:r>
    </w:p>
    <w:p w14:paraId="12A71D38">
      <w:pPr>
        <w:spacing w:line="600" w:lineRule="exact"/>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（2）组织实施：资金一到位，立即根据项目要求实施项目。项目责任人按照项目实施方案要求逐一进行项目部署安排，提高项目质量及效率性。</w:t>
      </w:r>
    </w:p>
    <w:p w14:paraId="10C6DB0D">
      <w:pPr>
        <w:spacing w:line="600" w:lineRule="exact"/>
        <w:ind w:firstLine="600" w:firstLineChars="200"/>
        <w:rPr>
          <w:rFonts w:hint="eastAsia" w:ascii="方正黑体_GBK" w:hAnsi="方正黑体_GBK" w:eastAsia="方正黑体_GBK" w:cs="方正黑体_GBK"/>
        </w:rPr>
      </w:pPr>
      <w:r>
        <w:rPr>
          <w:rFonts w:hint="eastAsia" w:ascii="方正黑体_GBK" w:hAnsi="方正黑体_GBK" w:eastAsia="方正黑体_GBK" w:cs="方正黑体_GBK"/>
        </w:rPr>
        <w:t>二、绩效评价工作开展情况</w:t>
      </w:r>
    </w:p>
    <w:p w14:paraId="0A68BB00">
      <w:pPr>
        <w:pageBreakBefore w:val="0"/>
        <w:kinsoku/>
        <w:wordWrap/>
        <w:overflowPunct/>
        <w:topLinePunct w:val="0"/>
        <w:autoSpaceDE/>
        <w:autoSpaceDN/>
        <w:bidi w:val="0"/>
        <w:adjustRightInd/>
        <w:snapToGrid/>
        <w:spacing w:line="560" w:lineRule="exact"/>
        <w:ind w:left="0" w:leftChars="0" w:firstLine="643" w:firstLineChars="200"/>
        <w:rPr>
          <w:rFonts w:eastAsia="楷体_GB2312"/>
          <w:b/>
          <w:bCs/>
          <w:sz w:val="32"/>
          <w:szCs w:val="32"/>
        </w:rPr>
      </w:pPr>
      <w:r>
        <w:rPr>
          <w:rFonts w:eastAsia="楷体_GB2312"/>
          <w:b/>
          <w:bCs/>
          <w:sz w:val="32"/>
          <w:szCs w:val="32"/>
        </w:rPr>
        <w:t>（一）绩效评价目的、对象和范围</w:t>
      </w:r>
    </w:p>
    <w:p w14:paraId="16ED695D">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58F49D22">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hint="eastAsia"/>
          <w:sz w:val="32"/>
          <w:szCs w:val="32"/>
          <w:lang w:eastAsia="zh-CN"/>
        </w:rPr>
        <w:t>严格执行《预算法》，强化</w:t>
      </w:r>
      <w:r>
        <w:rPr>
          <w:rFonts w:eastAsia="仿宋_GB2312"/>
          <w:sz w:val="32"/>
          <w:szCs w:val="32"/>
        </w:rPr>
        <w:t>财政资金得到事前、事中和事后多方面的</w:t>
      </w:r>
      <w:r>
        <w:rPr>
          <w:rFonts w:hint="eastAsia"/>
          <w:sz w:val="32"/>
          <w:szCs w:val="32"/>
          <w:lang w:eastAsia="zh-CN"/>
        </w:rPr>
        <w:t>跟踪监督</w:t>
      </w:r>
      <w:r>
        <w:rPr>
          <w:rFonts w:eastAsia="仿宋_GB2312"/>
          <w:sz w:val="32"/>
          <w:szCs w:val="32"/>
        </w:rPr>
        <w:t>。发挥财政调控功能</w:t>
      </w:r>
      <w:r>
        <w:rPr>
          <w:rFonts w:hint="eastAsia"/>
          <w:sz w:val="32"/>
          <w:szCs w:val="32"/>
          <w:lang w:eastAsia="zh-CN"/>
        </w:rPr>
        <w:t>，</w:t>
      </w:r>
      <w:r>
        <w:rPr>
          <w:rFonts w:eastAsia="仿宋_GB2312"/>
          <w:sz w:val="32"/>
          <w:szCs w:val="32"/>
        </w:rPr>
        <w:t>提高财政资金</w:t>
      </w:r>
      <w:r>
        <w:rPr>
          <w:rFonts w:hint="eastAsia"/>
          <w:sz w:val="32"/>
          <w:szCs w:val="32"/>
          <w:lang w:eastAsia="zh-CN"/>
        </w:rPr>
        <w:t>使用效益，</w:t>
      </w:r>
      <w:r>
        <w:rPr>
          <w:rFonts w:eastAsia="仿宋_GB2312"/>
          <w:sz w:val="32"/>
          <w:szCs w:val="32"/>
        </w:rPr>
        <w:t>促进财政支持社会经济目标实现的重要</w:t>
      </w:r>
      <w:r>
        <w:rPr>
          <w:rFonts w:hint="eastAsia"/>
          <w:sz w:val="32"/>
          <w:szCs w:val="32"/>
          <w:lang w:eastAsia="zh-CN"/>
        </w:rPr>
        <w:t>作用</w:t>
      </w:r>
      <w:r>
        <w:rPr>
          <w:rFonts w:eastAsia="仿宋_GB2312"/>
          <w:sz w:val="32"/>
          <w:szCs w:val="32"/>
        </w:rPr>
        <w:t>。</w:t>
      </w:r>
    </w:p>
    <w:p w14:paraId="1B4B39A0">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75BA9302">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hint="eastAsia"/>
          <w:sz w:val="32"/>
          <w:szCs w:val="32"/>
          <w:lang w:eastAsia="zh-CN"/>
        </w:rPr>
        <w:t>组团参加第二十三届中国国际工业博览会</w:t>
      </w:r>
      <w:r>
        <w:rPr>
          <w:rFonts w:hint="eastAsia" w:eastAsia="仿宋_GB2312"/>
          <w:sz w:val="32"/>
          <w:szCs w:val="32"/>
        </w:rPr>
        <w:t>项目所包含的全部项目内容。</w:t>
      </w:r>
    </w:p>
    <w:p w14:paraId="01F42D7E">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08EF03FD">
      <w:pPr>
        <w:pageBreakBefore w:val="0"/>
        <w:kinsoku/>
        <w:wordWrap/>
        <w:overflowPunct/>
        <w:topLinePunct w:val="0"/>
        <w:autoSpaceDE/>
        <w:autoSpaceDN/>
        <w:bidi w:val="0"/>
        <w:adjustRightInd/>
        <w:snapToGrid/>
        <w:spacing w:line="560" w:lineRule="exact"/>
        <w:ind w:left="0" w:leftChars="0" w:firstLine="640" w:firstLineChars="200"/>
        <w:rPr>
          <w:rFonts w:hint="eastAsia" w:eastAsia="仿宋_GB2312"/>
          <w:sz w:val="32"/>
          <w:szCs w:val="32"/>
        </w:rPr>
      </w:pPr>
      <w:r>
        <w:rPr>
          <w:rFonts w:hint="eastAsia" w:eastAsia="仿宋_GB2312"/>
          <w:sz w:val="32"/>
          <w:szCs w:val="32"/>
        </w:rPr>
        <w:t>组团参加第二十三届中国国际工业博览会项目的决策、过程、产出、效益等。</w:t>
      </w:r>
    </w:p>
    <w:p w14:paraId="21F09B0D">
      <w:pPr>
        <w:pageBreakBefore w:val="0"/>
        <w:kinsoku/>
        <w:wordWrap/>
        <w:overflowPunct/>
        <w:topLinePunct w:val="0"/>
        <w:autoSpaceDE/>
        <w:autoSpaceDN/>
        <w:bidi w:val="0"/>
        <w:adjustRightInd/>
        <w:snapToGrid/>
        <w:spacing w:line="560" w:lineRule="exact"/>
        <w:ind w:left="0" w:leftChars="0" w:firstLine="643" w:firstLineChars="200"/>
      </w:pPr>
      <w:r>
        <w:rPr>
          <w:rFonts w:eastAsia="楷体_GB2312"/>
          <w:b/>
          <w:bCs/>
          <w:sz w:val="32"/>
          <w:szCs w:val="32"/>
        </w:rPr>
        <w:t>（二）绩效评价原则、评价指标体系（详情见表1）、评价方法、评价标准。</w:t>
      </w:r>
    </w:p>
    <w:p w14:paraId="5C31BEB3">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1FAB3481">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lang w:eastAsia="zh-CN"/>
        </w:rPr>
        <w:t>坚持</w:t>
      </w:r>
      <w:r>
        <w:rPr>
          <w:rFonts w:ascii="Times New Roman" w:hAnsi="Times New Roman" w:eastAsia="仿宋_GB2312"/>
          <w:b w:val="0"/>
          <w:bCs w:val="0"/>
        </w:rPr>
        <w:t>科学公正</w:t>
      </w:r>
      <w:r>
        <w:rPr>
          <w:rFonts w:hint="eastAsia" w:ascii="Times New Roman" w:hAnsi="Times New Roman" w:eastAsia="仿宋_GB2312"/>
          <w:b w:val="0"/>
          <w:bCs w:val="0"/>
          <w:lang w:eastAsia="zh-CN"/>
        </w:rPr>
        <w:t>、</w:t>
      </w:r>
      <w:r>
        <w:rPr>
          <w:rFonts w:ascii="Times New Roman" w:hAnsi="Times New Roman" w:eastAsia="仿宋_GB2312"/>
          <w:b w:val="0"/>
          <w:bCs w:val="0"/>
        </w:rPr>
        <w:t>统筹兼顾</w:t>
      </w:r>
      <w:r>
        <w:rPr>
          <w:rFonts w:hint="eastAsia" w:ascii="Times New Roman" w:hAnsi="Times New Roman" w:eastAsia="仿宋_GB2312"/>
          <w:b w:val="0"/>
          <w:bCs w:val="0"/>
          <w:lang w:eastAsia="zh-CN"/>
        </w:rPr>
        <w:t>、</w:t>
      </w:r>
      <w:r>
        <w:rPr>
          <w:rFonts w:ascii="Times New Roman" w:hAnsi="Times New Roman" w:eastAsia="仿宋_GB2312"/>
          <w:b w:val="0"/>
          <w:bCs w:val="0"/>
        </w:rPr>
        <w:t>激励约束</w:t>
      </w:r>
      <w:r>
        <w:rPr>
          <w:rFonts w:hint="eastAsia" w:ascii="Times New Roman" w:hAnsi="Times New Roman" w:eastAsia="仿宋_GB2312"/>
          <w:b w:val="0"/>
          <w:bCs w:val="0"/>
          <w:lang w:eastAsia="zh-CN"/>
        </w:rPr>
        <w:t>、</w:t>
      </w:r>
      <w:r>
        <w:rPr>
          <w:rFonts w:ascii="Times New Roman" w:hAnsi="Times New Roman" w:eastAsia="仿宋_GB2312"/>
          <w:b w:val="0"/>
          <w:bCs w:val="0"/>
        </w:rPr>
        <w:t>公开透明</w:t>
      </w:r>
      <w:r>
        <w:rPr>
          <w:rFonts w:hint="eastAsia" w:ascii="Times New Roman" w:hAnsi="Times New Roman" w:eastAsia="仿宋_GB2312"/>
          <w:b w:val="0"/>
          <w:bCs w:val="0"/>
          <w:lang w:eastAsia="zh-CN"/>
        </w:rPr>
        <w:t>和有效的原则。</w:t>
      </w:r>
    </w:p>
    <w:p w14:paraId="388A5A90">
      <w:pPr>
        <w:pageBreakBefore w:val="0"/>
        <w:kinsoku/>
        <w:wordWrap/>
        <w:overflowPunct/>
        <w:topLinePunct w:val="0"/>
        <w:autoSpaceDE/>
        <w:autoSpaceDN/>
        <w:bidi w:val="0"/>
        <w:adjustRightInd/>
        <w:snapToGrid/>
        <w:spacing w:line="560" w:lineRule="exact"/>
        <w:ind w:left="0" w:leftChars="0" w:firstLine="600" w:firstLineChars="200"/>
        <w:rPr>
          <w:rFonts w:ascii="Times New Roman" w:hAnsi="Times New Roman" w:eastAsia="仿宋_GB2312"/>
          <w:b w:val="0"/>
          <w:bCs w:val="0"/>
        </w:rPr>
      </w:pPr>
      <w:r>
        <w:rPr>
          <w:rFonts w:hint="eastAsia"/>
          <w:b w:val="0"/>
          <w:bCs w:val="0"/>
          <w:lang w:val="en-US" w:eastAsia="zh-CN"/>
        </w:rPr>
        <w:t>2、</w:t>
      </w:r>
      <w:r>
        <w:rPr>
          <w:rFonts w:ascii="Times New Roman" w:hAnsi="Times New Roman" w:eastAsia="仿宋_GB2312"/>
          <w:b w:val="0"/>
          <w:bCs w:val="0"/>
        </w:rPr>
        <w:t>评价指标体系</w:t>
      </w:r>
    </w:p>
    <w:p w14:paraId="1992D396">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lang w:val="en-US" w:eastAsia="zh-CN"/>
        </w:rPr>
        <w:t>（1）</w:t>
      </w:r>
      <w:r>
        <w:rPr>
          <w:rFonts w:hint="eastAsia" w:ascii="Times New Roman" w:hAnsi="Times New Roman" w:eastAsia="仿宋_GB2312"/>
          <w:b w:val="0"/>
          <w:bCs w:val="0"/>
          <w:lang w:eastAsia="zh-CN"/>
        </w:rPr>
        <w:t>确定评价指标</w:t>
      </w:r>
    </w:p>
    <w:p w14:paraId="50CBE045">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hint="eastAsia" w:ascii="Times New Roman" w:hAnsi="Times New Roman" w:eastAsia="仿宋_GB2312"/>
          <w:b w:val="0"/>
          <w:bCs w:val="0"/>
          <w:lang w:val="en-US" w:eastAsia="zh-CN"/>
        </w:rPr>
      </w:pPr>
      <w:r>
        <w:rPr>
          <w:rFonts w:hint="eastAsia" w:ascii="Times New Roman" w:hAnsi="Times New Roman" w:eastAsia="仿宋_GB2312"/>
          <w:b w:val="0"/>
          <w:bCs w:val="0"/>
          <w:lang w:eastAsia="zh-CN"/>
        </w:rPr>
        <w:t>采用层次分析法，建立评价指标体系。按照设定的三级指标体系，制定</w:t>
      </w:r>
      <w:r>
        <w:rPr>
          <w:rFonts w:hint="eastAsia" w:ascii="Times New Roman" w:hAnsi="Times New Roman" w:eastAsia="仿宋_GB2312"/>
          <w:b w:val="0"/>
          <w:bCs w:val="0"/>
          <w:lang w:val="en-US" w:eastAsia="zh-CN"/>
        </w:rPr>
        <w:t>4个一级指标（产出指标、成本指标、效益指标、满意度指标），6个二级指标（数量指标、质量指标、时效指标、经济成本指标、社会效益指标、满意度指标），10个三级指标（活动天数、活动场次、人数、企业数量、参展率、及时率、展位费、服务、产业链发展、满意度）等方面参与评价。</w:t>
      </w:r>
    </w:p>
    <w:p w14:paraId="6A4616EF">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（2）确定权重</w:t>
      </w:r>
    </w:p>
    <w:p w14:paraId="081204EF">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4919121A">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03BB1F72">
      <w:pPr>
        <w:pageBreakBefore w:val="0"/>
        <w:kinsoku/>
        <w:wordWrap/>
        <w:overflowPunct/>
        <w:topLinePunct w:val="0"/>
        <w:autoSpaceDE/>
        <w:autoSpaceDN/>
        <w:bidi w:val="0"/>
        <w:adjustRightInd/>
        <w:snapToGrid/>
        <w:spacing w:line="560" w:lineRule="exact"/>
        <w:ind w:left="0" w:leftChars="0" w:firstLine="708" w:firstLineChars="200"/>
        <w:rPr>
          <w:rFonts w:hint="eastAsia"/>
          <w:color w:val="000000"/>
          <w:spacing w:val="17"/>
          <w:sz w:val="32"/>
          <w:szCs w:val="32"/>
          <w:lang w:eastAsia="zh-CN"/>
        </w:rPr>
      </w:pPr>
      <w:r>
        <w:rPr>
          <w:rFonts w:eastAsia="仿宋_GB2312"/>
          <w:color w:val="000000"/>
          <w:spacing w:val="17"/>
          <w:sz w:val="32"/>
          <w:szCs w:val="32"/>
        </w:rPr>
        <w:t>指标标准值是绩效评价指标的尺度，既要反映同类项目的先进水平，又要符合项目的实际绩效水平。具体采用计划标准</w:t>
      </w:r>
      <w:r>
        <w:rPr>
          <w:rFonts w:hint="eastAsia"/>
          <w:color w:val="000000"/>
          <w:spacing w:val="17"/>
          <w:sz w:val="32"/>
          <w:szCs w:val="32"/>
          <w:lang w:eastAsia="zh-CN"/>
        </w:rPr>
        <w:t>、预算支出标准</w:t>
      </w:r>
      <w:r>
        <w:rPr>
          <w:rFonts w:eastAsia="仿宋_GB2312"/>
          <w:color w:val="000000"/>
          <w:spacing w:val="17"/>
          <w:sz w:val="32"/>
          <w:szCs w:val="32"/>
        </w:rPr>
        <w:t>等确定此次绩效评价指标标准值</w:t>
      </w:r>
      <w:r>
        <w:rPr>
          <w:rFonts w:hint="eastAsia"/>
          <w:color w:val="000000"/>
          <w:spacing w:val="17"/>
          <w:sz w:val="32"/>
          <w:szCs w:val="32"/>
          <w:lang w:eastAsia="zh-CN"/>
        </w:rPr>
        <w:t>。</w:t>
      </w:r>
    </w:p>
    <w:p w14:paraId="7CE505D4">
      <w:pPr>
        <w:pStyle w:val="4"/>
        <w:pageBreakBefore w:val="0"/>
        <w:widowControl w:val="0"/>
        <w:kinsoku/>
        <w:wordWrap/>
        <w:overflowPunct/>
        <w:topLinePunct w:val="0"/>
        <w:autoSpaceDE/>
        <w:autoSpaceDN/>
        <w:bidi w:val="0"/>
        <w:adjustRightInd/>
        <w:snapToGrid/>
        <w:spacing w:before="0" w:after="0" w:line="560" w:lineRule="exact"/>
        <w:ind w:left="0" w:leftChars="0" w:firstLine="708" w:firstLineChars="200"/>
        <w:jc w:val="both"/>
        <w:outlineLvl w:val="9"/>
      </w:pPr>
      <w:r>
        <w:rPr>
          <w:rFonts w:ascii="Times New Roman" w:hAnsi="Times New Roman" w:eastAsia="仿宋_GB2312"/>
          <w:b w:val="0"/>
          <w:bCs w:val="0"/>
          <w:color w:val="000000"/>
          <w:spacing w:val="17"/>
        </w:rPr>
        <w:t>具体评价指标体系详情见附件1</w:t>
      </w:r>
      <w:r>
        <w:rPr>
          <w:rFonts w:hint="eastAsia" w:ascii="Times New Roman" w:hAnsi="Times New Roman" w:eastAsia="仿宋_GB2312"/>
          <w:b w:val="0"/>
          <w:bCs w:val="0"/>
          <w:color w:val="000000"/>
          <w:spacing w:val="17"/>
          <w:lang w:eastAsia="zh-CN"/>
        </w:rPr>
        <w:t>。</w:t>
      </w:r>
    </w:p>
    <w:p w14:paraId="2FEC1E0B">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hint="eastAsia" w:ascii="Times New Roman" w:hAnsi="Times New Roman" w:eastAsia="仿宋_GB2312"/>
          <w:b w:val="0"/>
          <w:bCs w:val="0"/>
          <w:lang w:eastAsia="zh-CN"/>
        </w:rPr>
        <w:t>、</w:t>
      </w:r>
      <w:r>
        <w:rPr>
          <w:rFonts w:ascii="Times New Roman" w:hAnsi="Times New Roman" w:eastAsia="仿宋_GB2312"/>
          <w:b w:val="0"/>
          <w:bCs w:val="0"/>
        </w:rPr>
        <w:t>绩效评价方法</w:t>
      </w:r>
    </w:p>
    <w:p w14:paraId="0D66FA56">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本次评价指标中，既有定性指标又有定量指标，具体评价方法如下：</w:t>
      </w:r>
    </w:p>
    <w:p w14:paraId="6E5C03D2">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（1）比较法</w:t>
      </w:r>
    </w:p>
    <w:p w14:paraId="2A427CD2">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0C8CF728">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（2）因素分析法</w:t>
      </w:r>
    </w:p>
    <w:p w14:paraId="065E366F">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7617BD95">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184E7E8E">
      <w:pPr>
        <w:pageBreakBefore w:val="0"/>
        <w:kinsoku/>
        <w:wordWrap/>
        <w:overflowPunct/>
        <w:topLinePunct w:val="0"/>
        <w:autoSpaceDE/>
        <w:autoSpaceDN/>
        <w:bidi w:val="0"/>
        <w:adjustRightInd/>
        <w:snapToGrid/>
        <w:spacing w:line="560" w:lineRule="exact"/>
        <w:ind w:left="0" w:leftChars="0" w:firstLine="708" w:firstLineChars="200"/>
        <w:rPr>
          <w:rFonts w:hint="eastAsia" w:ascii="仿宋_GB2312"/>
        </w:rPr>
      </w:pPr>
      <w:r>
        <w:rPr>
          <w:rFonts w:eastAsia="仿宋_GB2312"/>
          <w:color w:val="000000"/>
          <w:spacing w:val="17"/>
          <w:sz w:val="32"/>
          <w:szCs w:val="32"/>
        </w:rPr>
        <w:t>绩效评价标准通常包括计划标准、行业标准、历史标准等，用于对绩效指标完成情况进行比较。本次评价主要采用了计划标准和</w:t>
      </w:r>
      <w:r>
        <w:rPr>
          <w:rFonts w:hint="eastAsia"/>
          <w:color w:val="000000"/>
          <w:spacing w:val="17"/>
          <w:sz w:val="32"/>
          <w:szCs w:val="32"/>
          <w:lang w:eastAsia="zh-CN"/>
        </w:rPr>
        <w:t>预算支出</w:t>
      </w:r>
      <w:r>
        <w:rPr>
          <w:rFonts w:eastAsia="仿宋_GB2312"/>
          <w:color w:val="000000"/>
          <w:spacing w:val="17"/>
          <w:sz w:val="32"/>
          <w:szCs w:val="32"/>
        </w:rPr>
        <w:t>标准。</w:t>
      </w:r>
    </w:p>
    <w:p w14:paraId="554414F7">
      <w:pPr>
        <w:pStyle w:val="4"/>
        <w:pageBreakBefore w:val="0"/>
        <w:numPr>
          <w:ilvl w:val="0"/>
          <w:numId w:val="2"/>
        </w:numPr>
        <w:kinsoku/>
        <w:wordWrap/>
        <w:overflowPunct/>
        <w:topLinePunct w:val="0"/>
        <w:autoSpaceDE/>
        <w:autoSpaceDN/>
        <w:bidi w:val="0"/>
        <w:adjustRightInd/>
        <w:snapToGrid/>
        <w:spacing w:before="0" w:after="0" w:line="560" w:lineRule="exact"/>
        <w:ind w:left="0" w:leftChars="0"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D7FAA37">
      <w:pPr>
        <w:pageBreakBefore w:val="0"/>
        <w:numPr>
          <w:ilvl w:val="0"/>
          <w:numId w:val="3"/>
        </w:numPr>
        <w:kinsoku/>
        <w:wordWrap/>
        <w:overflowPunct/>
        <w:topLinePunct w:val="0"/>
        <w:autoSpaceDE/>
        <w:autoSpaceDN/>
        <w:bidi w:val="0"/>
        <w:adjustRightInd/>
        <w:snapToGrid/>
        <w:spacing w:line="560" w:lineRule="exact"/>
        <w:ind w:left="0" w:leftChars="0" w:firstLine="640" w:firstLineChars="200"/>
        <w:rPr>
          <w:rFonts w:eastAsia="仿宋_GB2312"/>
          <w:bCs/>
          <w:sz w:val="32"/>
          <w:szCs w:val="32"/>
        </w:rPr>
      </w:pPr>
      <w:r>
        <w:rPr>
          <w:rFonts w:hint="eastAsia" w:eastAsia="仿宋_GB2312"/>
          <w:bCs/>
          <w:sz w:val="32"/>
          <w:szCs w:val="32"/>
        </w:rPr>
        <w:t>前期准备。</w:t>
      </w:r>
      <w:r>
        <w:rPr>
          <w:rFonts w:hint="eastAsia"/>
          <w:bCs/>
          <w:sz w:val="32"/>
          <w:szCs w:val="32"/>
          <w:lang w:eastAsia="zh-CN"/>
        </w:rPr>
        <w:t>学习评价指标体系和绩效相关文件通知，充分了解绩效评价工作的要求和项目指标内容。</w:t>
      </w:r>
    </w:p>
    <w:p w14:paraId="2AA135C2">
      <w:pPr>
        <w:pageBreakBefore w:val="0"/>
        <w:numPr>
          <w:ilvl w:val="0"/>
          <w:numId w:val="3"/>
        </w:numPr>
        <w:kinsoku/>
        <w:wordWrap/>
        <w:overflowPunct/>
        <w:topLinePunct w:val="0"/>
        <w:autoSpaceDE/>
        <w:autoSpaceDN/>
        <w:bidi w:val="0"/>
        <w:adjustRightInd/>
        <w:snapToGrid/>
        <w:spacing w:line="560" w:lineRule="exact"/>
        <w:ind w:left="0" w:leftChars="0" w:firstLine="640" w:firstLineChars="200"/>
        <w:rPr>
          <w:rFonts w:eastAsia="仿宋_GB2312"/>
          <w:bCs/>
          <w:sz w:val="32"/>
          <w:szCs w:val="32"/>
        </w:rPr>
      </w:pPr>
      <w:r>
        <w:rPr>
          <w:rFonts w:hint="eastAsia" w:eastAsia="仿宋_GB2312"/>
          <w:bCs/>
          <w:sz w:val="32"/>
          <w:szCs w:val="32"/>
        </w:rPr>
        <w:t>组织实施。收集项目立项依据、相关会议纪要、实施方案、财政资金分配方案、支付管理情况等相关评价资料并进行梳理。</w:t>
      </w:r>
    </w:p>
    <w:p w14:paraId="59590073">
      <w:pPr>
        <w:pageBreakBefore w:val="0"/>
        <w:numPr>
          <w:ilvl w:val="0"/>
          <w:numId w:val="3"/>
        </w:numPr>
        <w:kinsoku/>
        <w:wordWrap/>
        <w:overflowPunct/>
        <w:topLinePunct w:val="0"/>
        <w:autoSpaceDE/>
        <w:autoSpaceDN/>
        <w:bidi w:val="0"/>
        <w:adjustRightInd/>
        <w:snapToGrid/>
        <w:spacing w:line="560" w:lineRule="exact"/>
        <w:ind w:left="0" w:leftChars="0" w:firstLine="640" w:firstLineChars="200"/>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60011676">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14:paraId="42E12D3E">
      <w:pPr>
        <w:pStyle w:val="4"/>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lang w:eastAsia="zh-CN"/>
        </w:rPr>
        <w:t>本次</w:t>
      </w:r>
      <w:r>
        <w:rPr>
          <w:rFonts w:hint="eastAsia" w:ascii="Times New Roman" w:hAnsi="Times New Roman" w:eastAsia="仿宋_GB2312"/>
          <w:b w:val="0"/>
          <w:bCs w:val="0"/>
        </w:rPr>
        <w:t>展会</w:t>
      </w:r>
      <w:r>
        <w:rPr>
          <w:rFonts w:hint="eastAsia" w:ascii="Times New Roman" w:hAnsi="Times New Roman" w:eastAsia="仿宋_GB2312"/>
          <w:b w:val="0"/>
          <w:bCs w:val="0"/>
          <w:lang w:eastAsia="zh-CN"/>
        </w:rPr>
        <w:t>实现了</w:t>
      </w:r>
      <w:r>
        <w:rPr>
          <w:rFonts w:hint="eastAsia" w:ascii="Times New Roman" w:hAnsi="Times New Roman" w:eastAsia="仿宋_GB2312"/>
          <w:b w:val="0"/>
          <w:bCs w:val="0"/>
        </w:rPr>
        <w:t>多层面、高起点展示了我区装备制造业发展所取得的可喜成绩</w:t>
      </w:r>
      <w:r>
        <w:rPr>
          <w:rFonts w:hint="eastAsia" w:ascii="Times New Roman" w:hAnsi="Times New Roman" w:eastAsia="仿宋_GB2312"/>
          <w:b w:val="0"/>
          <w:bCs w:val="0"/>
          <w:lang w:eastAsia="zh-CN"/>
        </w:rPr>
        <w:t>及</w:t>
      </w:r>
      <w:r>
        <w:rPr>
          <w:rFonts w:hint="eastAsia" w:ascii="Times New Roman" w:hAnsi="Times New Roman" w:eastAsia="仿宋_GB2312"/>
          <w:b w:val="0"/>
          <w:bCs w:val="0"/>
        </w:rPr>
        <w:t>装备制造业企业先进技术与产品。积极推动内地先进制造产业向新疆转移，为高质量建设“八大产业集群”蓄势聚力。</w:t>
      </w:r>
      <w:r>
        <w:rPr>
          <w:rFonts w:hint="eastAsia" w:ascii="Times New Roman" w:hAnsi="Times New Roman" w:eastAsia="仿宋_GB2312"/>
          <w:b w:val="0"/>
          <w:bCs w:val="0"/>
          <w:lang w:eastAsia="zh-CN"/>
        </w:rPr>
        <w:t>对</w:t>
      </w:r>
      <w:r>
        <w:rPr>
          <w:rFonts w:ascii="Times New Roman" w:hAnsi="Times New Roman" w:eastAsia="仿宋_GB2312"/>
          <w:b w:val="0"/>
          <w:bCs w:val="0"/>
        </w:rPr>
        <w:t>项目进行客观评价，最终评分结果：总得</w:t>
      </w:r>
      <w:r>
        <w:rPr>
          <w:rFonts w:ascii="Times New Roman" w:hAnsi="Times New Roman" w:eastAsia="仿宋_GB2312"/>
          <w:b w:val="0"/>
          <w:bCs w:val="0"/>
          <w:highlight w:val="none"/>
        </w:rPr>
        <w:t xml:space="preserve">分为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lang w:val="en-US" w:eastAsia="zh-CN"/>
        </w:rPr>
        <w:t>10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10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58C48B8D">
      <w:pPr>
        <w:pStyle w:val="4"/>
        <w:pageBreakBefore w:val="0"/>
        <w:kinsoku/>
        <w:wordWrap/>
        <w:overflowPunct/>
        <w:topLinePunct w:val="0"/>
        <w:autoSpaceDE/>
        <w:autoSpaceDN/>
        <w:bidi w:val="0"/>
        <w:adjustRightInd/>
        <w:snapToGrid/>
        <w:spacing w:before="0" w:after="0" w:line="560" w:lineRule="exact"/>
        <w:ind w:left="0" w:leftChars="0"/>
        <w:rPr>
          <w:rFonts w:ascii="Times New Roman" w:hAnsi="Times New Roman" w:eastAsia="仿宋_GB2312"/>
          <w:sz w:val="30"/>
          <w:szCs w:val="30"/>
        </w:rPr>
      </w:pPr>
      <w:r>
        <w:rPr>
          <w:rFonts w:ascii="Times New Roman" w:hAnsi="Times New Roman" w:eastAsia="仿宋_GB2312"/>
          <w:sz w:val="30"/>
          <w:szCs w:val="30"/>
        </w:rPr>
        <w:t>表1综合评分表</w:t>
      </w:r>
    </w:p>
    <w:p w14:paraId="0B78238E">
      <w:pPr>
        <w:pageBreakBefore w:val="0"/>
        <w:kinsoku/>
        <w:wordWrap/>
        <w:overflowPunct/>
        <w:topLinePunct w:val="0"/>
        <w:autoSpaceDE/>
        <w:autoSpaceDN/>
        <w:bidi w:val="0"/>
        <w:adjustRightInd/>
        <w:snapToGrid/>
        <w:spacing w:line="560" w:lineRule="exact"/>
        <w:ind w:left="0" w:leftChars="0"/>
      </w:pPr>
    </w:p>
    <w:p w14:paraId="3CA1BBFE">
      <w:pPr>
        <w:pageBreakBefore w:val="0"/>
        <w:kinsoku/>
        <w:wordWrap/>
        <w:overflowPunct/>
        <w:topLinePunct w:val="0"/>
        <w:autoSpaceDE/>
        <w:autoSpaceDN/>
        <w:bidi w:val="0"/>
        <w:adjustRightInd/>
        <w:snapToGrid/>
        <w:spacing w:line="560" w:lineRule="exact"/>
        <w:ind w:left="0" w:leftChars="0"/>
      </w:pPr>
    </w:p>
    <w:tbl>
      <w:tblPr>
        <w:tblStyle w:val="5"/>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7F23F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atLeast"/>
          <w:tblHeader/>
        </w:trPr>
        <w:tc>
          <w:tcPr>
            <w:tcW w:w="1104" w:type="dxa"/>
            <w:shd w:val="clear" w:color="auto" w:fill="BFBFBF"/>
            <w:vAlign w:val="center"/>
          </w:tcPr>
          <w:p w14:paraId="5F81C10A">
            <w:pPr>
              <w:pageBreakBefore w:val="0"/>
              <w:widowControl/>
              <w:kinsoku/>
              <w:wordWrap/>
              <w:overflowPunct/>
              <w:topLinePunct w:val="0"/>
              <w:autoSpaceDE/>
              <w:autoSpaceDN/>
              <w:bidi w:val="0"/>
              <w:adjustRightInd/>
              <w:snapToGrid/>
              <w:spacing w:line="560" w:lineRule="exact"/>
              <w:ind w:left="0" w:leftChars="0"/>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14:paraId="49C248F2">
            <w:pPr>
              <w:pageBreakBefore w:val="0"/>
              <w:widowControl/>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14:paraId="633E901F">
            <w:pPr>
              <w:pageBreakBefore w:val="0"/>
              <w:widowControl/>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14:paraId="43127848">
            <w:pPr>
              <w:pageBreakBefore w:val="0"/>
              <w:widowControl/>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14:paraId="432A8710">
            <w:pPr>
              <w:pageBreakBefore w:val="0"/>
              <w:widowControl/>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14:paraId="2AED08AF">
            <w:pPr>
              <w:pageBreakBefore w:val="0"/>
              <w:widowControl/>
              <w:tabs>
                <w:tab w:val="left" w:pos="1333"/>
                <w:tab w:val="center" w:pos="3623"/>
              </w:tabs>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14:paraId="1060CF20">
            <w:pPr>
              <w:pageBreakBefore w:val="0"/>
              <w:widowControl/>
              <w:tabs>
                <w:tab w:val="left" w:pos="1333"/>
                <w:tab w:val="center" w:pos="3623"/>
              </w:tabs>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14:paraId="00CDFB21">
            <w:pPr>
              <w:pageBreakBefore w:val="0"/>
              <w:widowControl/>
              <w:tabs>
                <w:tab w:val="left" w:pos="1333"/>
                <w:tab w:val="center" w:pos="3623"/>
              </w:tabs>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14:paraId="4C8387EE">
            <w:pPr>
              <w:pageBreakBefore w:val="0"/>
              <w:widowControl/>
              <w:tabs>
                <w:tab w:val="left" w:pos="1333"/>
                <w:tab w:val="center" w:pos="3623"/>
              </w:tabs>
              <w:kinsoku/>
              <w:wordWrap/>
              <w:overflowPunct/>
              <w:topLinePunct w:val="0"/>
              <w:autoSpaceDE/>
              <w:autoSpaceDN/>
              <w:bidi w:val="0"/>
              <w:adjustRightInd/>
              <w:snapToGrid/>
              <w:spacing w:line="560" w:lineRule="exact"/>
              <w:ind w:left="0" w:leftChars="0"/>
              <w:jc w:val="center"/>
              <w:rPr>
                <w:b/>
                <w:bCs/>
                <w:color w:val="000000"/>
                <w:kern w:val="0"/>
                <w:sz w:val="22"/>
                <w:szCs w:val="22"/>
                <w:highlight w:val="none"/>
              </w:rPr>
            </w:pPr>
            <w:r>
              <w:rPr>
                <w:b/>
                <w:bCs/>
                <w:color w:val="000000"/>
                <w:kern w:val="0"/>
                <w:sz w:val="22"/>
                <w:szCs w:val="22"/>
                <w:highlight w:val="none"/>
              </w:rPr>
              <w:t>得分</w:t>
            </w:r>
          </w:p>
        </w:tc>
      </w:tr>
      <w:tr w14:paraId="286BD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0FE74A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决策　</w:t>
            </w:r>
          </w:p>
          <w:p w14:paraId="56FB896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　</w:t>
            </w:r>
          </w:p>
          <w:p w14:paraId="120A5E50">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　</w:t>
            </w:r>
          </w:p>
          <w:p w14:paraId="7B91FFB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4DA9883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14:paraId="72801C2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14:paraId="3E8B182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立项依据</w:t>
            </w:r>
          </w:p>
          <w:p w14:paraId="485093B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14:paraId="4701CAB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7127F19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2014AB6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64979CFE">
            <w:pPr>
              <w:pageBreakBefore w:val="0"/>
              <w:widowControl/>
              <w:kinsoku/>
              <w:wordWrap/>
              <w:overflowPunct/>
              <w:topLinePunct w:val="0"/>
              <w:autoSpaceDE/>
              <w:autoSpaceDN/>
              <w:bidi w:val="0"/>
              <w:adjustRightInd/>
              <w:snapToGrid/>
              <w:spacing w:line="560" w:lineRule="exact"/>
              <w:ind w:left="0" w:leftChars="0"/>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386EAA5B">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6B024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95D080C">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55AE060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continue"/>
            <w:shd w:val="clear" w:color="auto" w:fill="FFFFFF"/>
            <w:vAlign w:val="center"/>
          </w:tcPr>
          <w:p w14:paraId="4E42120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707" w:type="dxa"/>
            <w:shd w:val="clear" w:color="auto" w:fill="FFFFFF"/>
            <w:vAlign w:val="center"/>
          </w:tcPr>
          <w:p w14:paraId="2B071666">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立项程序</w:t>
            </w:r>
          </w:p>
          <w:p w14:paraId="144303E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14:paraId="04EA336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5F0BC55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1B32773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656BD77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6CCC4B5F">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5A027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E9B9D3B">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4712E16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restart"/>
            <w:shd w:val="clear" w:color="auto" w:fill="FFFFFF"/>
            <w:vAlign w:val="center"/>
          </w:tcPr>
          <w:p w14:paraId="2FDC773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14:paraId="6FEB0C9F">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绩效目标</w:t>
            </w:r>
          </w:p>
          <w:p w14:paraId="6FA305D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14:paraId="670C23E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6636775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5CB99C1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6CE490B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2055C4A">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6C0BA3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C94934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2B16D20F">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continue"/>
            <w:shd w:val="clear" w:color="auto" w:fill="FFFFFF"/>
            <w:vAlign w:val="center"/>
          </w:tcPr>
          <w:p w14:paraId="7D13041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707" w:type="dxa"/>
            <w:shd w:val="clear" w:color="auto" w:fill="FFFFFF"/>
            <w:vAlign w:val="center"/>
          </w:tcPr>
          <w:p w14:paraId="5669E77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绩效指标</w:t>
            </w:r>
          </w:p>
          <w:p w14:paraId="7F3810F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14:paraId="2F07AD0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14:paraId="4EFA7F1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47CE7DF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0E57444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9616B64">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143EA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20F0EDA">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2246E172">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restart"/>
            <w:shd w:val="clear" w:color="auto" w:fill="FFFFFF"/>
            <w:vAlign w:val="center"/>
          </w:tcPr>
          <w:p w14:paraId="3903CA2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14:paraId="3364F9C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预算编制</w:t>
            </w:r>
          </w:p>
          <w:p w14:paraId="5F10FC6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14:paraId="5C3F1846">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6ADF0B0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4A308B2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40DFB93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9AE167F">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1CFEED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A9CB68F">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60231F0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continue"/>
            <w:shd w:val="clear" w:color="auto" w:fill="FFFFFF"/>
            <w:vAlign w:val="center"/>
          </w:tcPr>
          <w:p w14:paraId="2029C1D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707" w:type="dxa"/>
            <w:shd w:val="clear" w:color="auto" w:fill="FFFFFF"/>
            <w:vAlign w:val="center"/>
          </w:tcPr>
          <w:p w14:paraId="0872A5E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资金分配</w:t>
            </w:r>
          </w:p>
          <w:p w14:paraId="5974C912">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14:paraId="23F9191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2EED337D">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6AE143F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285F9A62">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6CE4B3DB">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3D64A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5DE4E27">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过程</w:t>
            </w:r>
          </w:p>
          <w:p w14:paraId="3D113671">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65D2537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14:paraId="37DD202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5B555B7E">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14:paraId="377B5E86">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30BC8BF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151CC31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621990F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3316719">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1BDD8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6A58EBE">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376DD03A">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continue"/>
            <w:shd w:val="clear" w:color="auto" w:fill="FFFFFF"/>
            <w:vAlign w:val="center"/>
          </w:tcPr>
          <w:p w14:paraId="20A69E54">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707" w:type="dxa"/>
            <w:shd w:val="clear" w:color="auto" w:fill="FFFFFF"/>
            <w:vAlign w:val="center"/>
          </w:tcPr>
          <w:p w14:paraId="2D6EA5D2">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3FD68C1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4A3B3B0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223B47E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14:paraId="06D3D3F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39B5A272">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4D7BC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CE3F469">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39E1F91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shd w:val="clear" w:color="auto" w:fill="FFFFFF"/>
            <w:vAlign w:val="center"/>
          </w:tcPr>
          <w:p w14:paraId="0CC5D67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0BB3B73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资金使用</w:t>
            </w:r>
          </w:p>
          <w:p w14:paraId="7647A18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14:paraId="0A074BD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1E83A9E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0B61C5E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48F3A8B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928CE4F">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4499A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D7784C4">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65206DAB">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restart"/>
            <w:shd w:val="clear" w:color="auto" w:fill="FFFFFF"/>
            <w:vAlign w:val="center"/>
          </w:tcPr>
          <w:p w14:paraId="3F322A5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14:paraId="25A72CE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管理制度</w:t>
            </w:r>
          </w:p>
          <w:p w14:paraId="02AD791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14:paraId="0D4E552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2F452EE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355D7476">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2CF9C47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CD79D50">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2630C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E9859FE">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748EC5FD">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continue"/>
            <w:shd w:val="clear" w:color="auto" w:fill="FFFFFF"/>
            <w:vAlign w:val="center"/>
          </w:tcPr>
          <w:p w14:paraId="6E59591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707" w:type="dxa"/>
            <w:shd w:val="clear" w:color="auto" w:fill="FFFFFF"/>
            <w:vAlign w:val="center"/>
          </w:tcPr>
          <w:p w14:paraId="3D0C009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制度执行</w:t>
            </w:r>
          </w:p>
          <w:p w14:paraId="0DA1182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14:paraId="1A13AEB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3048A40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0A9DFB5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38BCC87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F3B4D50">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62E11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697C6DD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14:paraId="0270B62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kern w:val="0"/>
                <w:sz w:val="22"/>
                <w:szCs w:val="22"/>
                <w:highlight w:val="none"/>
              </w:rPr>
              <w:t>40</w:t>
            </w:r>
            <w:r>
              <w:rPr>
                <w:kern w:val="0"/>
                <w:sz w:val="22"/>
                <w:szCs w:val="22"/>
                <w:highlight w:val="none"/>
              </w:rPr>
              <w:t>分</w:t>
            </w:r>
          </w:p>
        </w:tc>
        <w:tc>
          <w:tcPr>
            <w:tcW w:w="1283" w:type="dxa"/>
            <w:shd w:val="clear" w:color="auto" w:fill="FFFFFF"/>
            <w:vAlign w:val="center"/>
          </w:tcPr>
          <w:p w14:paraId="08D1B0E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14:paraId="2A39136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14:paraId="6BB89EC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3D7113F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33F4BF4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2238C3A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FA6739C">
            <w:pPr>
              <w:pageBreakBefore w:val="0"/>
              <w:widowControl/>
              <w:kinsoku/>
              <w:wordWrap/>
              <w:overflowPunct/>
              <w:topLinePunct w:val="0"/>
              <w:autoSpaceDE/>
              <w:autoSpaceDN/>
              <w:bidi w:val="0"/>
              <w:adjustRightInd/>
              <w:snapToGrid/>
              <w:spacing w:line="560" w:lineRule="exact"/>
              <w:ind w:left="0" w:leftChars="0"/>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30074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4639CE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04925735">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shd w:val="clear" w:color="auto" w:fill="FFFFFF"/>
            <w:vAlign w:val="center"/>
          </w:tcPr>
          <w:p w14:paraId="142F4E7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14:paraId="529D5D4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14:paraId="4D6082C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65FE175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1919ABE6">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6B2D908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F1A0A1E">
            <w:pPr>
              <w:pageBreakBefore w:val="0"/>
              <w:widowControl/>
              <w:kinsoku/>
              <w:wordWrap/>
              <w:overflowPunct/>
              <w:topLinePunct w:val="0"/>
              <w:autoSpaceDE/>
              <w:autoSpaceDN/>
              <w:bidi w:val="0"/>
              <w:adjustRightInd/>
              <w:snapToGrid/>
              <w:spacing w:line="560" w:lineRule="exact"/>
              <w:ind w:left="0" w:leftChars="0"/>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5DEE93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C3763B9">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41D2E526">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shd w:val="clear" w:color="auto" w:fill="FFFFFF"/>
            <w:vAlign w:val="center"/>
          </w:tcPr>
          <w:p w14:paraId="406DBBD8">
            <w:pPr>
              <w:pageBreakBefore w:val="0"/>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14:paraId="229B574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14:paraId="1CEDB7D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375607E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4788340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6AB7175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4096507">
            <w:pPr>
              <w:pageBreakBefore w:val="0"/>
              <w:widowControl/>
              <w:kinsoku/>
              <w:wordWrap/>
              <w:overflowPunct/>
              <w:topLinePunct w:val="0"/>
              <w:autoSpaceDE/>
              <w:autoSpaceDN/>
              <w:bidi w:val="0"/>
              <w:adjustRightInd/>
              <w:snapToGrid/>
              <w:spacing w:line="560" w:lineRule="exact"/>
              <w:ind w:left="0" w:leftChars="0"/>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6F6D2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E07F09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3B3702B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shd w:val="clear" w:color="auto" w:fill="FFFFFF"/>
            <w:vAlign w:val="center"/>
          </w:tcPr>
          <w:p w14:paraId="153B085C">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14:paraId="186B584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14:paraId="324B036B">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4AED081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7F600B8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7F21D021">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48AD0B86">
            <w:pPr>
              <w:pageBreakBefore w:val="0"/>
              <w:widowControl/>
              <w:kinsoku/>
              <w:wordWrap/>
              <w:overflowPunct/>
              <w:topLinePunct w:val="0"/>
              <w:autoSpaceDE/>
              <w:autoSpaceDN/>
              <w:bidi w:val="0"/>
              <w:adjustRightInd/>
              <w:snapToGrid/>
              <w:spacing w:line="560" w:lineRule="exact"/>
              <w:ind w:left="0" w:leftChars="0"/>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1991F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57CE8C9">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14:paraId="38DA839D">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20</w:t>
            </w:r>
            <w:r>
              <w:rPr>
                <w:color w:val="000000"/>
                <w:kern w:val="0"/>
                <w:sz w:val="22"/>
                <w:szCs w:val="22"/>
                <w:highlight w:val="none"/>
              </w:rPr>
              <w:t>分</w:t>
            </w:r>
          </w:p>
        </w:tc>
        <w:tc>
          <w:tcPr>
            <w:tcW w:w="1283" w:type="dxa"/>
            <w:vMerge w:val="restart"/>
            <w:shd w:val="clear" w:color="auto" w:fill="FFFFFF"/>
            <w:vAlign w:val="center"/>
          </w:tcPr>
          <w:p w14:paraId="378AC34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14:paraId="506B611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实施效益</w:t>
            </w:r>
          </w:p>
          <w:p w14:paraId="4550B632">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14:paraId="73FCF6A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14:paraId="3C8552A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4E6A1344">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14:paraId="2378394A">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8B46ACB">
            <w:pPr>
              <w:pageBreakBefore w:val="0"/>
              <w:widowControl/>
              <w:kinsoku/>
              <w:wordWrap/>
              <w:overflowPunct/>
              <w:topLinePunct w:val="0"/>
              <w:autoSpaceDE/>
              <w:autoSpaceDN/>
              <w:bidi w:val="0"/>
              <w:adjustRightInd/>
              <w:snapToGrid/>
              <w:spacing w:line="560" w:lineRule="exact"/>
              <w:ind w:left="0" w:leftChars="0"/>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14:paraId="0835AD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825BB5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990" w:type="dxa"/>
            <w:vMerge w:val="continue"/>
            <w:shd w:val="clear" w:color="auto" w:fill="FFFFFF"/>
            <w:vAlign w:val="center"/>
          </w:tcPr>
          <w:p w14:paraId="17D2B318">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283" w:type="dxa"/>
            <w:vMerge w:val="continue"/>
            <w:shd w:val="clear" w:color="auto" w:fill="FFFFFF"/>
            <w:vAlign w:val="center"/>
          </w:tcPr>
          <w:p w14:paraId="633A18BE">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p>
        </w:tc>
        <w:tc>
          <w:tcPr>
            <w:tcW w:w="1707" w:type="dxa"/>
            <w:shd w:val="clear" w:color="auto" w:fill="FFFFFF"/>
            <w:vAlign w:val="center"/>
          </w:tcPr>
          <w:p w14:paraId="4E23F28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14:paraId="1E0B6A47">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14:paraId="4BC35E7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14:paraId="00EBD200">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67BC7193">
            <w:pPr>
              <w:pageBreakBefore w:val="0"/>
              <w:widowControl/>
              <w:kinsoku/>
              <w:wordWrap/>
              <w:overflowPunct/>
              <w:topLinePunct w:val="0"/>
              <w:autoSpaceDE/>
              <w:autoSpaceDN/>
              <w:bidi w:val="0"/>
              <w:adjustRightInd/>
              <w:snapToGrid/>
              <w:spacing w:line="560" w:lineRule="exact"/>
              <w:ind w:left="0" w:leftChars="0"/>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76A34BD">
            <w:pPr>
              <w:pageBreakBefore w:val="0"/>
              <w:widowControl/>
              <w:kinsoku/>
              <w:wordWrap/>
              <w:overflowPunct/>
              <w:topLinePunct w:val="0"/>
              <w:autoSpaceDE/>
              <w:autoSpaceDN/>
              <w:bidi w:val="0"/>
              <w:adjustRightInd/>
              <w:snapToGrid/>
              <w:spacing w:line="560" w:lineRule="exact"/>
              <w:ind w:left="0" w:leftChars="0"/>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14:paraId="7D8A5B89">
      <w:pPr>
        <w:spacing w:line="600" w:lineRule="exact"/>
        <w:ind w:firstLine="600" w:firstLineChars="200"/>
        <w:rPr>
          <w:rFonts w:ascii="黑体" w:hAnsi="黑体" w:eastAsia="黑体"/>
        </w:rPr>
      </w:pPr>
      <w:r>
        <w:rPr>
          <w:rFonts w:hint="eastAsia" w:ascii="黑体" w:hAnsi="黑体" w:eastAsia="黑体"/>
        </w:rPr>
        <w:t>四、绩效评价指标分析</w:t>
      </w:r>
    </w:p>
    <w:p w14:paraId="55A53019">
      <w:pPr>
        <w:pStyle w:val="4"/>
        <w:pageBreakBefore w:val="0"/>
        <w:kinsoku/>
        <w:wordWrap/>
        <w:overflowPunct/>
        <w:topLinePunct w:val="0"/>
        <w:autoSpaceDE/>
        <w:autoSpaceDN/>
        <w:bidi w:val="0"/>
        <w:adjustRightInd/>
        <w:snapToGrid/>
        <w:spacing w:before="0" w:after="0" w:line="560" w:lineRule="exact"/>
        <w:ind w:left="0" w:leftChars="0" w:firstLine="321" w:firstLineChars="100"/>
        <w:jc w:val="both"/>
        <w:rPr>
          <w:rFonts w:ascii="Times New Roman" w:hAnsi="Times New Roman" w:eastAsia="楷体_GB2312"/>
        </w:rPr>
      </w:pPr>
      <w:r>
        <w:rPr>
          <w:rFonts w:ascii="Times New Roman" w:hAnsi="Times New Roman" w:eastAsia="楷体_GB2312"/>
        </w:rPr>
        <w:t>（一）项目决策情况</w:t>
      </w:r>
    </w:p>
    <w:p w14:paraId="599AC697">
      <w:pPr>
        <w:pageBreakBefore w:val="0"/>
        <w:kinsoku/>
        <w:wordWrap/>
        <w:overflowPunct/>
        <w:topLinePunct w:val="0"/>
        <w:autoSpaceDE/>
        <w:autoSpaceDN/>
        <w:bidi w:val="0"/>
        <w:adjustRightInd/>
        <w:snapToGrid/>
        <w:spacing w:line="560" w:lineRule="exact"/>
        <w:ind w:left="0" w:leftChars="0"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w:t>
      </w:r>
      <w:r>
        <w:rPr>
          <w:rFonts w:hint="eastAsia" w:ascii="仿宋_GB2312" w:hAnsi="仿宋_GB2312" w:cs="仿宋_GB2312"/>
          <w:sz w:val="32"/>
          <w:szCs w:val="32"/>
          <w:lang w:eastAsia="zh-CN"/>
        </w:rPr>
        <w:t>、政府采购程序</w:t>
      </w:r>
      <w:r>
        <w:rPr>
          <w:rFonts w:hint="eastAsia" w:ascii="仿宋_GB2312" w:hAnsi="仿宋_GB2312" w:eastAsia="仿宋_GB2312" w:cs="仿宋_GB2312"/>
          <w:sz w:val="32"/>
          <w:szCs w:val="32"/>
        </w:rPr>
        <w:t>符合相关要求，所设定的绩效目标指标清晰、细化、可衡量，能反映和考核项目绩效目标的明细化情况。</w:t>
      </w:r>
    </w:p>
    <w:p w14:paraId="41FC1840">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项目过程情况</w:t>
      </w:r>
    </w:p>
    <w:p w14:paraId="1CEF237F">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6B0A0B2B">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项目产出</w:t>
      </w:r>
      <w:r>
        <w:rPr>
          <w:rFonts w:hint="eastAsia" w:ascii="仿宋_GB2312" w:hAnsi="仿宋_GB2312" w:cs="仿宋_GB2312"/>
          <w:sz w:val="32"/>
          <w:szCs w:val="32"/>
          <w:lang w:eastAsia="zh-CN"/>
        </w:rPr>
        <w:t>指标</w:t>
      </w:r>
      <w:r>
        <w:rPr>
          <w:rFonts w:hint="eastAsia" w:ascii="仿宋_GB2312" w:hAnsi="仿宋_GB2312" w:eastAsia="仿宋_GB2312" w:cs="仿宋_GB2312"/>
          <w:sz w:val="32"/>
          <w:szCs w:val="32"/>
        </w:rPr>
        <w:t>情况</w:t>
      </w:r>
    </w:p>
    <w:p w14:paraId="60C2CD4A">
      <w:pPr>
        <w:pageBreakBefore w:val="0"/>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数量指标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组团参加第二十三届中国国际工业博览会项目会议天数指标大于或等于3天，实际完成5天，完成率100%;人数指标，指标值为86人，实际完成86人，完成率100%。参加活动场次指标大于或等于1次，实际完成1次，完成率100%。参展企业指标13家，实际参展13家，完成率100%。</w:t>
      </w:r>
    </w:p>
    <w:p w14:paraId="14F0D2DD">
      <w:pPr>
        <w:pageBreakBefore w:val="0"/>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质量指标：</w:t>
      </w:r>
      <w:r>
        <w:rPr>
          <w:rFonts w:hint="eastAsia" w:ascii="仿宋_GB2312" w:hAnsi="仿宋_GB2312" w:eastAsia="仿宋_GB2312" w:cs="仿宋_GB2312"/>
          <w:sz w:val="32"/>
          <w:szCs w:val="32"/>
          <w:lang w:val="en-US" w:eastAsia="zh-CN"/>
        </w:rPr>
        <w:t>组团参加第二十三届中国国际工业博览会项目人员参展率指标，指标值为100%，实际完成100%，完成率100%；</w:t>
      </w:r>
    </w:p>
    <w:p w14:paraId="3D47416D">
      <w:pPr>
        <w:pageBreakBefore w:val="0"/>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时效指标：组团参加第二十三届中国国际工业博览会项目参展及时率指标，指标值为100%，实际完成100%，完成率100%</w:t>
      </w:r>
      <w:r>
        <w:rPr>
          <w:rFonts w:hint="eastAsia" w:ascii="仿宋_GB2312" w:hAnsi="仿宋_GB2312" w:cs="仿宋_GB2312"/>
          <w:sz w:val="32"/>
          <w:szCs w:val="32"/>
          <w:lang w:val="en-US" w:eastAsia="zh-CN"/>
        </w:rPr>
        <w:t>。</w:t>
      </w:r>
    </w:p>
    <w:p w14:paraId="28B4FBFA">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2.成本指标</w:t>
      </w:r>
    </w:p>
    <w:p w14:paraId="69844928">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经济成本指标：</w:t>
      </w:r>
      <w:r>
        <w:rPr>
          <w:rFonts w:hint="eastAsia" w:ascii="仿宋_GB2312" w:hAnsi="仿宋_GB2312" w:eastAsia="仿宋_GB2312" w:cs="仿宋_GB2312"/>
          <w:sz w:val="32"/>
          <w:szCs w:val="32"/>
          <w:lang w:val="en-US" w:eastAsia="zh-CN"/>
        </w:rPr>
        <w:t>组团参加第二十三届中国国际工业博览会支出指标，指标值为93.52万元，实际完成93.52万元，完成率100%，偏差率0%。</w:t>
      </w:r>
    </w:p>
    <w:p w14:paraId="64EA3762">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项目效益情况</w:t>
      </w:r>
    </w:p>
    <w:p w14:paraId="7F4C6501">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社会效益指标方面：</w:t>
      </w:r>
      <w:r>
        <w:rPr>
          <w:rFonts w:hint="eastAsia" w:ascii="仿宋_GB2312" w:hAnsi="仿宋_GB2312" w:eastAsia="仿宋_GB2312" w:cs="仿宋_GB2312"/>
          <w:sz w:val="32"/>
          <w:szCs w:val="32"/>
          <w:lang w:val="en-US" w:eastAsia="zh-CN"/>
        </w:rPr>
        <w:t>提高指导产业集聚和产业链发展，实际完成有效提高，完成率100%，偏差率0%。</w:t>
      </w:r>
    </w:p>
    <w:p w14:paraId="7D118E68">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满意度指标方面：</w:t>
      </w:r>
      <w:r>
        <w:rPr>
          <w:rFonts w:hint="eastAsia" w:ascii="仿宋_GB2312" w:hAnsi="仿宋_GB2312" w:eastAsia="仿宋_GB2312" w:cs="仿宋_GB2312"/>
          <w:sz w:val="32"/>
          <w:szCs w:val="32"/>
          <w:lang w:val="en-US" w:eastAsia="zh-CN"/>
        </w:rPr>
        <w:t>组团参加第二十三届中国国际工业博览会参展企业满意度指标，指标值为95%，实际完成100%，完成率105%，偏差率5%，偏差原因是人员满意度高。</w:t>
      </w:r>
    </w:p>
    <w:p w14:paraId="59BA6DFC">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14:paraId="697DBEDA">
      <w:pPr>
        <w:pageBreakBefore w:val="0"/>
        <w:kinsoku/>
        <w:wordWrap/>
        <w:overflowPunct/>
        <w:topLinePunct w:val="0"/>
        <w:autoSpaceDE/>
        <w:autoSpaceDN/>
        <w:bidi w:val="0"/>
        <w:adjustRightInd/>
        <w:snapToGrid/>
        <w:spacing w:line="560" w:lineRule="exact"/>
        <w:ind w:left="0" w:leftChars="0" w:firstLine="627" w:firstLineChars="200"/>
        <w:rPr>
          <w:rFonts w:eastAsia="楷体"/>
          <w:b/>
          <w:spacing w:val="-4"/>
          <w:sz w:val="32"/>
          <w:szCs w:val="32"/>
        </w:rPr>
      </w:pPr>
      <w:r>
        <w:rPr>
          <w:rFonts w:eastAsia="楷体"/>
          <w:b/>
          <w:spacing w:val="-4"/>
          <w:sz w:val="32"/>
          <w:szCs w:val="32"/>
        </w:rPr>
        <w:t>（一）主要经验及做法</w:t>
      </w:r>
    </w:p>
    <w:p w14:paraId="5F614501">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为确保项目顺利进行，提前做好项目</w:t>
      </w:r>
      <w:r>
        <w:rPr>
          <w:rFonts w:hint="eastAsia" w:eastAsia="仿宋_GB2312"/>
          <w:sz w:val="32"/>
          <w:szCs w:val="32"/>
          <w:lang w:eastAsia="zh-CN"/>
        </w:rPr>
        <w:t>方案</w:t>
      </w:r>
      <w:r>
        <w:rPr>
          <w:rFonts w:eastAsia="仿宋_GB2312"/>
          <w:sz w:val="32"/>
          <w:szCs w:val="32"/>
        </w:rPr>
        <w:t>，</w:t>
      </w:r>
      <w:r>
        <w:rPr>
          <w:rFonts w:hint="eastAsia"/>
          <w:sz w:val="32"/>
          <w:szCs w:val="32"/>
          <w:lang w:eastAsia="zh-CN"/>
        </w:rPr>
        <w:t>按照方案</w:t>
      </w:r>
      <w:r>
        <w:rPr>
          <w:rFonts w:eastAsia="仿宋_GB2312"/>
          <w:sz w:val="32"/>
          <w:szCs w:val="32"/>
        </w:rPr>
        <w:t>在项目实施过程中做好定期监督检查，</w:t>
      </w:r>
      <w:r>
        <w:rPr>
          <w:rFonts w:hint="eastAsia" w:eastAsia="仿宋_GB2312"/>
          <w:sz w:val="32"/>
          <w:szCs w:val="32"/>
          <w:lang w:eastAsia="zh-CN"/>
        </w:rPr>
        <w:t>及时规范项目作证材料，</w:t>
      </w:r>
      <w:r>
        <w:rPr>
          <w:rFonts w:eastAsia="仿宋_GB2312"/>
          <w:sz w:val="32"/>
          <w:szCs w:val="32"/>
        </w:rPr>
        <w:t>在项目资金使用过程中，严格落实把关，按照项目资金使用范围做好审核工作，让项目资金落于实处。在项目完成后，做好受益群众民意调查及项目防范工作。</w:t>
      </w:r>
    </w:p>
    <w:p w14:paraId="270396B6">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lang w:eastAsia="zh-CN"/>
        </w:rPr>
        <w:t>。</w:t>
      </w:r>
      <w:r>
        <w:rPr>
          <w:rFonts w:ascii="Times New Roman" w:hAnsi="Times New Roman" w:eastAsia="仿宋_GB2312"/>
          <w:b w:val="0"/>
          <w:bCs w:val="0"/>
          <w:kern w:val="2"/>
        </w:rPr>
        <w:t>财政、纪检、监察等职能部门全面参与专项资金事前、事中和事后全过程的监管</w:t>
      </w:r>
      <w:r>
        <w:rPr>
          <w:rFonts w:hint="eastAsia" w:ascii="Times New Roman" w:hAnsi="Times New Roman" w:eastAsia="仿宋_GB2312"/>
          <w:b w:val="0"/>
          <w:bCs w:val="0"/>
          <w:kern w:val="2"/>
          <w:lang w:eastAsia="zh-CN"/>
        </w:rPr>
        <w:t>，</w:t>
      </w:r>
      <w:r>
        <w:rPr>
          <w:rFonts w:ascii="Times New Roman" w:hAnsi="Times New Roman" w:eastAsia="仿宋_GB2312"/>
          <w:b w:val="0"/>
          <w:bCs w:val="0"/>
          <w:kern w:val="2"/>
        </w:rPr>
        <w:t>形成多环节全过程的监督管理格局，尽量早发现问题，早解决问题。</w:t>
      </w:r>
    </w:p>
    <w:p w14:paraId="777539CF">
      <w:pPr>
        <w:keepNext/>
        <w:keepLines/>
        <w:pageBreakBefore w:val="0"/>
        <w:numPr>
          <w:ilvl w:val="0"/>
          <w:numId w:val="5"/>
        </w:numPr>
        <w:kinsoku/>
        <w:wordWrap/>
        <w:overflowPunct/>
        <w:topLinePunct w:val="0"/>
        <w:autoSpaceDE/>
        <w:autoSpaceDN/>
        <w:bidi w:val="0"/>
        <w:adjustRightInd/>
        <w:snapToGrid/>
        <w:spacing w:line="560" w:lineRule="exact"/>
        <w:ind w:left="0" w:leftChars="0" w:firstLine="643" w:firstLineChars="200"/>
        <w:rPr>
          <w:rFonts w:eastAsia="楷体_GB2312"/>
          <w:b/>
          <w:bCs/>
          <w:sz w:val="32"/>
          <w:szCs w:val="32"/>
        </w:rPr>
      </w:pPr>
      <w:r>
        <w:rPr>
          <w:rFonts w:eastAsia="楷体_GB2312"/>
          <w:b/>
          <w:bCs/>
          <w:sz w:val="32"/>
          <w:szCs w:val="32"/>
        </w:rPr>
        <w:t>存在的问题及原因分析</w:t>
      </w:r>
    </w:p>
    <w:p w14:paraId="3ADCEAE1">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val="en-US" w:eastAsia="zh-CN"/>
        </w:rPr>
        <w:t>无</w:t>
      </w:r>
    </w:p>
    <w:p w14:paraId="5387EC03">
      <w:pPr>
        <w:numPr>
          <w:ilvl w:val="0"/>
          <w:numId w:val="0"/>
        </w:numPr>
        <w:spacing w:line="600" w:lineRule="exact"/>
        <w:ind w:leftChars="200"/>
        <w:rPr>
          <w:rFonts w:hint="eastAsia" w:ascii="黑体" w:hAnsi="黑体" w:eastAsia="黑体"/>
        </w:rPr>
      </w:pPr>
      <w:r>
        <w:rPr>
          <w:rFonts w:hint="eastAsia" w:ascii="黑体" w:hAnsi="黑体" w:eastAsia="黑体"/>
          <w:lang w:eastAsia="zh-CN"/>
        </w:rPr>
        <w:t>六、</w:t>
      </w:r>
      <w:r>
        <w:rPr>
          <w:rFonts w:hint="eastAsia" w:ascii="黑体" w:hAnsi="黑体" w:eastAsia="黑体"/>
        </w:rPr>
        <w:t>有关建议</w:t>
      </w:r>
    </w:p>
    <w:p w14:paraId="008000ED">
      <w:pPr>
        <w:pStyle w:val="4"/>
        <w:pageBreakBefore w:val="0"/>
        <w:kinsoku/>
        <w:wordWrap/>
        <w:overflowPunct/>
        <w:topLinePunct w:val="0"/>
        <w:autoSpaceDE/>
        <w:autoSpaceDN/>
        <w:bidi w:val="0"/>
        <w:adjustRightInd/>
        <w:snapToGrid/>
        <w:spacing w:before="0" w:after="0" w:line="560" w:lineRule="exact"/>
        <w:ind w:left="0" w:leftChars="0" w:firstLine="640" w:firstLineChars="200"/>
        <w:jc w:val="both"/>
        <w:rPr>
          <w:rFonts w:hint="eastAsia" w:ascii="Times New Roman" w:hAnsi="Times New Roman" w:eastAsia="仿宋_GB2312"/>
          <w:b w:val="0"/>
          <w:bCs w:val="0"/>
          <w:kern w:val="2"/>
          <w:lang w:eastAsia="zh-CN"/>
        </w:rPr>
      </w:pPr>
      <w:r>
        <w:rPr>
          <w:rFonts w:hint="eastAsia" w:ascii="Times New Roman" w:hAnsi="Times New Roman" w:eastAsia="仿宋_GB2312"/>
          <w:b w:val="0"/>
          <w:bCs w:val="0"/>
          <w:kern w:val="2"/>
          <w:lang w:eastAsia="zh-CN"/>
        </w:rPr>
        <w:t>无</w:t>
      </w:r>
    </w:p>
    <w:p w14:paraId="629A92A6"/>
    <w:p w14:paraId="464B9425">
      <w:pPr>
        <w:numPr>
          <w:ilvl w:val="0"/>
          <w:numId w:val="0"/>
        </w:numPr>
        <w:spacing w:line="600" w:lineRule="exact"/>
        <w:ind w:leftChars="200"/>
        <w:rPr>
          <w:rFonts w:hint="eastAsia" w:ascii="黑体" w:hAnsi="黑体" w:eastAsia="黑体"/>
        </w:rPr>
      </w:pPr>
      <w:r>
        <w:rPr>
          <w:rFonts w:hint="eastAsia" w:ascii="黑体" w:hAnsi="黑体" w:eastAsia="黑体"/>
          <w:lang w:eastAsia="zh-CN"/>
        </w:rPr>
        <w:t>七、</w:t>
      </w:r>
      <w:r>
        <w:rPr>
          <w:rFonts w:hint="eastAsia" w:ascii="黑体" w:hAnsi="黑体" w:eastAsia="黑体"/>
        </w:rPr>
        <w:t>其他需要说明的问题</w:t>
      </w:r>
    </w:p>
    <w:p w14:paraId="7E7F9CDB">
      <w:pPr>
        <w:pStyle w:val="4"/>
        <w:widowControl/>
        <w:numPr>
          <w:ilvl w:val="0"/>
          <w:numId w:val="0"/>
        </w:numPr>
        <w:spacing w:before="240" w:after="60"/>
        <w:ind w:firstLine="640" w:firstLineChars="200"/>
        <w:jc w:val="left"/>
        <w:outlineLvl w:val="0"/>
        <w:rPr>
          <w:rFonts w:hint="eastAsia" w:ascii="Times New Roman" w:hAnsi="Times New Roman" w:eastAsia="仿宋_GB2312"/>
          <w:b w:val="0"/>
          <w:bCs w:val="0"/>
          <w:kern w:val="2"/>
          <w:lang w:eastAsia="zh-CN"/>
        </w:rPr>
      </w:pPr>
      <w:r>
        <w:rPr>
          <w:rFonts w:hint="eastAsia" w:ascii="Times New Roman" w:hAnsi="Times New Roman" w:eastAsia="仿宋_GB2312"/>
          <w:b w:val="0"/>
          <w:bCs w:val="0"/>
          <w:kern w:val="2"/>
          <w:lang w:eastAsia="zh-CN"/>
        </w:rPr>
        <w:t>无</w:t>
      </w:r>
    </w:p>
    <w:p w14:paraId="3D03C24E">
      <w:pPr>
        <w:rPr>
          <w:rFonts w:hint="eastAsia" w:ascii="Times New Roman" w:hAnsi="Times New Roman" w:eastAsia="仿宋_GB2312"/>
          <w:b w:val="0"/>
          <w:bCs w:val="0"/>
          <w:kern w:val="2"/>
          <w:lang w:eastAsia="zh-CN"/>
        </w:rPr>
      </w:pPr>
    </w:p>
    <w:p w14:paraId="369DC270">
      <w:pPr>
        <w:pStyle w:val="4"/>
        <w:rPr>
          <w:rFonts w:ascii="Times New Roman" w:hAnsi="Times New Roman" w:eastAsia="仿宋_GB2312"/>
          <w:b w:val="0"/>
          <w:bCs w:val="0"/>
          <w:color w:val="000000"/>
          <w:spacing w:val="17"/>
        </w:rPr>
      </w:pPr>
    </w:p>
    <w:p w14:paraId="715C8421">
      <w:pPr>
        <w:pStyle w:val="4"/>
        <w:rPr>
          <w:rFonts w:ascii="Times New Roman" w:hAnsi="Times New Roman" w:eastAsia="仿宋_GB2312"/>
          <w:b w:val="0"/>
          <w:bCs w:val="0"/>
          <w:color w:val="000000"/>
          <w:spacing w:val="17"/>
        </w:rPr>
      </w:pPr>
    </w:p>
    <w:p w14:paraId="01AE3416">
      <w:pPr>
        <w:pStyle w:val="4"/>
        <w:rPr>
          <w:rFonts w:ascii="Times New Roman" w:hAnsi="Times New Roman" w:eastAsia="仿宋_GB2312"/>
          <w:b w:val="0"/>
          <w:bCs w:val="0"/>
          <w:color w:val="000000"/>
          <w:spacing w:val="17"/>
        </w:rPr>
      </w:pPr>
    </w:p>
    <w:p w14:paraId="4E6967FD">
      <w:pPr>
        <w:rPr>
          <w:rFonts w:hint="eastAsia"/>
          <w:lang w:eastAsia="zh-CN"/>
        </w:rPr>
      </w:pPr>
      <w:bookmarkStart w:id="1" w:name="_GoBack"/>
      <w:bookmarkEnd w:id="1"/>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altName w:val="Arial Unicode MS"/>
    <w:panose1 w:val="02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FFFEC3FF"/>
    <w:multiLevelType w:val="singleLevel"/>
    <w:tmpl w:val="FFFEC3F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38F0C646"/>
    <w:multiLevelType w:val="singleLevel"/>
    <w:tmpl w:val="38F0C646"/>
    <w:lvl w:ilvl="0" w:tentative="0">
      <w:start w:val="1"/>
      <w:numFmt w:val="decimal"/>
      <w:suff w:val="nothing"/>
      <w:lvlText w:val="%1、"/>
      <w:lvlJc w:val="left"/>
    </w:lvl>
  </w:abstractNum>
  <w:abstractNum w:abstractNumId="4">
    <w:nsid w:val="7FF7A3DC"/>
    <w:multiLevelType w:val="singleLevel"/>
    <w:tmpl w:val="7FF7A3DC"/>
    <w:lvl w:ilvl="0" w:tentative="0">
      <w:start w:val="2"/>
      <w:numFmt w:val="chineseCounting"/>
      <w:suff w:val="nothing"/>
      <w:lvlText w:val="（%1）"/>
      <w:lvlJc w:val="left"/>
      <w:rPr>
        <w:rFonts w:hint="eastAsia"/>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6FD4082"/>
    <w:rsid w:val="1F0B55D3"/>
    <w:rsid w:val="1F77D452"/>
    <w:rsid w:val="1FEEEBD8"/>
    <w:rsid w:val="37EE5071"/>
    <w:rsid w:val="3F7F7EF6"/>
    <w:rsid w:val="45EC0627"/>
    <w:rsid w:val="5F2E5FCF"/>
    <w:rsid w:val="6ECEA384"/>
    <w:rsid w:val="757D2A04"/>
    <w:rsid w:val="7938463A"/>
    <w:rsid w:val="7D7FD0AC"/>
    <w:rsid w:val="7D9D81CE"/>
    <w:rsid w:val="7E57A767"/>
    <w:rsid w:val="8DEF8D5F"/>
    <w:rsid w:val="B6FD3A87"/>
    <w:rsid w:val="BEFF478D"/>
    <w:rsid w:val="CDFF7356"/>
    <w:rsid w:val="DAFF60AA"/>
    <w:rsid w:val="DFFD9266"/>
    <w:rsid w:val="F16DC106"/>
    <w:rsid w:val="F53F1B4F"/>
    <w:rsid w:val="F75BD6D0"/>
    <w:rsid w:val="FFFD6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80" w:lineRule="exact"/>
    </w:pPr>
    <w:rPr>
      <w:rFonts w:ascii="宋体" w:hAnsi="宋体" w:eastAsia="仿宋" w:cs="宋体"/>
      <w:sz w:val="32"/>
      <w:szCs w:val="31"/>
      <w:lang w:val="zh-CN" w:bidi="zh-CN"/>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7">
    <w:name w:val="Strong"/>
    <w:basedOn w:val="6"/>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6536</Words>
  <Characters>6876</Characters>
  <Lines>0</Lines>
  <Paragraphs>0</Paragraphs>
  <TotalTime>2</TotalTime>
  <ScaleCrop>false</ScaleCrop>
  <LinksUpToDate>false</LinksUpToDate>
  <CharactersWithSpaces>6908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2024-03-05T21:11:00Z</dcterms:created>
  <dc:creator>Administrator</dc:creator>
  <cp:lastModifiedBy>岁月无痕</cp:lastModifiedBy>
  <cp:lastPrinted>2024-03-06T03:32:00Z</cp:lastPrinted>
  <dcterms:modified xsi:type="dcterms:W3CDTF">2024-08-09T08:34:28Z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4CBA51F098A84EE1BF0E059B495C134A</vt:lpwstr>
  </property>
</Properties>
</file>