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4536E">
      <w:pPr>
        <w:spacing w:line="540" w:lineRule="exact"/>
        <w:jc w:val="left"/>
        <w:rPr>
          <w:rFonts w:hint="eastAsia" w:ascii="黑体" w:hAnsi="黑体" w:eastAsia="黑体" w:cs="黑体"/>
          <w:b w:val="0"/>
          <w:bCs/>
          <w:kern w:val="0"/>
          <w:sz w:val="32"/>
          <w:szCs w:val="32"/>
          <w:lang w:val="en-US" w:eastAsia="zh-CN"/>
        </w:rPr>
      </w:pPr>
    </w:p>
    <w:p w14:paraId="0D0D1A56">
      <w:pPr>
        <w:spacing w:line="540" w:lineRule="exact"/>
        <w:rPr>
          <w:rFonts w:eastAsia="华文中宋"/>
          <w:b/>
          <w:kern w:val="0"/>
          <w:sz w:val="72"/>
          <w:szCs w:val="72"/>
        </w:rPr>
      </w:pPr>
    </w:p>
    <w:p w14:paraId="559C678A">
      <w:pPr>
        <w:spacing w:line="540" w:lineRule="exact"/>
        <w:jc w:val="center"/>
        <w:rPr>
          <w:rFonts w:eastAsia="华文中宋"/>
          <w:b/>
          <w:kern w:val="0"/>
          <w:sz w:val="52"/>
          <w:szCs w:val="52"/>
        </w:rPr>
      </w:pPr>
    </w:p>
    <w:p w14:paraId="40200360">
      <w:pPr>
        <w:spacing w:line="540" w:lineRule="exact"/>
        <w:jc w:val="center"/>
        <w:rPr>
          <w:rFonts w:eastAsia="华文中宋"/>
          <w:b/>
          <w:kern w:val="0"/>
          <w:sz w:val="52"/>
          <w:szCs w:val="52"/>
        </w:rPr>
      </w:pPr>
    </w:p>
    <w:p w14:paraId="1691E8B5">
      <w:pPr>
        <w:spacing w:line="540" w:lineRule="exact"/>
        <w:jc w:val="center"/>
        <w:rPr>
          <w:rFonts w:hint="eastAsia" w:eastAsia="方正小标宋_GBK"/>
          <w:kern w:val="0"/>
          <w:sz w:val="48"/>
          <w:szCs w:val="48"/>
          <w:highlight w:val="none"/>
        </w:rPr>
      </w:pPr>
      <w:r>
        <w:rPr>
          <w:rFonts w:hint="eastAsia" w:eastAsia="方正小标宋_GBK"/>
          <w:kern w:val="0"/>
          <w:sz w:val="48"/>
          <w:szCs w:val="48"/>
        </w:rPr>
        <w:t>202</w:t>
      </w:r>
      <w:r>
        <w:rPr>
          <w:rFonts w:hint="eastAsia" w:eastAsia="方正小标宋_GBK"/>
          <w:kern w:val="0"/>
          <w:sz w:val="48"/>
          <w:szCs w:val="48"/>
          <w:lang w:val="en-US" w:eastAsia="zh-CN"/>
        </w:rPr>
        <w:t>3</w:t>
      </w:r>
      <w:r>
        <w:rPr>
          <w:rFonts w:hint="eastAsia" w:eastAsia="方正小标宋_GBK"/>
          <w:kern w:val="0"/>
          <w:sz w:val="48"/>
          <w:szCs w:val="48"/>
        </w:rPr>
        <w:t>年自治区无</w:t>
      </w:r>
      <w:r>
        <w:rPr>
          <w:rFonts w:hint="eastAsia" w:eastAsia="方正小标宋_GBK"/>
          <w:kern w:val="0"/>
          <w:sz w:val="48"/>
          <w:szCs w:val="48"/>
          <w:highlight w:val="none"/>
        </w:rPr>
        <w:t>线电安全保障及</w:t>
      </w:r>
    </w:p>
    <w:p w14:paraId="1B64E4B8">
      <w:pPr>
        <w:spacing w:line="540" w:lineRule="exact"/>
        <w:jc w:val="center"/>
        <w:rPr>
          <w:rFonts w:eastAsia="方正小标宋_GBK"/>
          <w:kern w:val="0"/>
          <w:sz w:val="48"/>
          <w:szCs w:val="48"/>
          <w:highlight w:val="none"/>
        </w:rPr>
      </w:pPr>
      <w:r>
        <w:rPr>
          <w:rFonts w:hint="eastAsia" w:eastAsia="方正小标宋_GBK"/>
          <w:kern w:val="0"/>
          <w:sz w:val="48"/>
          <w:szCs w:val="48"/>
          <w:highlight w:val="none"/>
        </w:rPr>
        <w:t>事业发展专项经费</w:t>
      </w:r>
      <w:r>
        <w:rPr>
          <w:rFonts w:eastAsia="方正小标宋_GBK"/>
          <w:kern w:val="0"/>
          <w:sz w:val="48"/>
          <w:szCs w:val="48"/>
          <w:highlight w:val="none"/>
        </w:rPr>
        <w:t>资金项目</w:t>
      </w:r>
    </w:p>
    <w:p w14:paraId="0D7ACC5F">
      <w:pPr>
        <w:spacing w:line="540" w:lineRule="exact"/>
        <w:jc w:val="center"/>
        <w:rPr>
          <w:rFonts w:eastAsia="方正小标宋_GBK"/>
          <w:kern w:val="0"/>
          <w:sz w:val="48"/>
          <w:szCs w:val="48"/>
          <w:highlight w:val="none"/>
        </w:rPr>
      </w:pPr>
      <w:r>
        <w:rPr>
          <w:rFonts w:eastAsia="方正小标宋_GBK"/>
          <w:kern w:val="0"/>
          <w:sz w:val="48"/>
          <w:szCs w:val="48"/>
          <w:highlight w:val="none"/>
        </w:rPr>
        <w:t>支出绩效评价报告</w:t>
      </w:r>
    </w:p>
    <w:p w14:paraId="2F3409A2">
      <w:pPr>
        <w:spacing w:line="540" w:lineRule="exact"/>
        <w:jc w:val="center"/>
        <w:rPr>
          <w:rFonts w:eastAsia="华文中宋"/>
          <w:b/>
          <w:kern w:val="0"/>
          <w:sz w:val="52"/>
          <w:szCs w:val="52"/>
          <w:highlight w:val="none"/>
        </w:rPr>
      </w:pPr>
    </w:p>
    <w:p w14:paraId="5442AB0B">
      <w:pPr>
        <w:spacing w:line="540" w:lineRule="exact"/>
        <w:jc w:val="center"/>
        <w:rPr>
          <w:rFonts w:eastAsia="仿宋_GB2312"/>
          <w:kern w:val="0"/>
          <w:sz w:val="36"/>
          <w:szCs w:val="36"/>
          <w:highlight w:val="none"/>
        </w:rPr>
      </w:pPr>
      <w:r>
        <w:rPr>
          <w:rFonts w:eastAsia="仿宋_GB2312"/>
          <w:kern w:val="0"/>
          <w:sz w:val="36"/>
          <w:szCs w:val="36"/>
          <w:highlight w:val="none"/>
        </w:rPr>
        <w:t>（ 202</w:t>
      </w:r>
      <w:r>
        <w:rPr>
          <w:rFonts w:hint="eastAsia" w:eastAsia="仿宋_GB2312"/>
          <w:kern w:val="0"/>
          <w:sz w:val="36"/>
          <w:szCs w:val="36"/>
          <w:highlight w:val="none"/>
          <w:lang w:val="en-US" w:eastAsia="zh-CN"/>
        </w:rPr>
        <w:t>3</w:t>
      </w:r>
      <w:r>
        <w:rPr>
          <w:rFonts w:eastAsia="仿宋_GB2312"/>
          <w:kern w:val="0"/>
          <w:sz w:val="36"/>
          <w:szCs w:val="36"/>
          <w:highlight w:val="none"/>
        </w:rPr>
        <w:t>年度）</w:t>
      </w:r>
    </w:p>
    <w:p w14:paraId="3EF31D34">
      <w:pPr>
        <w:spacing w:line="540" w:lineRule="exact"/>
        <w:jc w:val="center"/>
        <w:rPr>
          <w:rFonts w:eastAsia="仿宋_GB2312"/>
          <w:kern w:val="0"/>
          <w:sz w:val="30"/>
          <w:szCs w:val="30"/>
          <w:highlight w:val="none"/>
        </w:rPr>
      </w:pPr>
    </w:p>
    <w:p w14:paraId="2F932142">
      <w:pPr>
        <w:spacing w:line="540" w:lineRule="exact"/>
        <w:jc w:val="center"/>
        <w:rPr>
          <w:rFonts w:eastAsia="仿宋_GB2312"/>
          <w:kern w:val="0"/>
          <w:sz w:val="30"/>
          <w:szCs w:val="30"/>
          <w:highlight w:val="none"/>
        </w:rPr>
      </w:pPr>
    </w:p>
    <w:p w14:paraId="0C73E4F0">
      <w:pPr>
        <w:spacing w:line="540" w:lineRule="exact"/>
        <w:jc w:val="center"/>
        <w:rPr>
          <w:rFonts w:eastAsia="仿宋_GB2312"/>
          <w:kern w:val="0"/>
          <w:sz w:val="30"/>
          <w:szCs w:val="30"/>
          <w:highlight w:val="none"/>
        </w:rPr>
      </w:pPr>
    </w:p>
    <w:p w14:paraId="77DC3046">
      <w:pPr>
        <w:spacing w:line="540" w:lineRule="exact"/>
        <w:jc w:val="center"/>
        <w:rPr>
          <w:rFonts w:eastAsia="仿宋_GB2312"/>
          <w:kern w:val="0"/>
          <w:sz w:val="30"/>
          <w:szCs w:val="30"/>
          <w:highlight w:val="none"/>
        </w:rPr>
      </w:pPr>
    </w:p>
    <w:p w14:paraId="3EDABCA9">
      <w:pPr>
        <w:spacing w:line="540" w:lineRule="exact"/>
        <w:rPr>
          <w:rFonts w:eastAsia="仿宋_GB2312"/>
          <w:kern w:val="0"/>
          <w:sz w:val="30"/>
          <w:szCs w:val="30"/>
          <w:highlight w:val="none"/>
        </w:rPr>
      </w:pPr>
    </w:p>
    <w:p w14:paraId="1EA6B283">
      <w:pPr>
        <w:spacing w:line="700" w:lineRule="exact"/>
        <w:ind w:firstLine="1440" w:firstLineChars="400"/>
        <w:jc w:val="left"/>
        <w:rPr>
          <w:rFonts w:hint="eastAsia"/>
          <w:highlight w:val="none"/>
        </w:rPr>
      </w:pPr>
      <w:r>
        <w:rPr>
          <w:rFonts w:eastAsia="仿宋_GB2312"/>
          <w:kern w:val="0"/>
          <w:sz w:val="36"/>
          <w:szCs w:val="36"/>
          <w:highlight w:val="none"/>
        </w:rPr>
        <w:t>项目名称：</w:t>
      </w:r>
      <w:r>
        <w:rPr>
          <w:rFonts w:hint="eastAsia" w:eastAsia="仿宋_GB2312"/>
          <w:kern w:val="0"/>
          <w:sz w:val="36"/>
          <w:szCs w:val="36"/>
          <w:highlight w:val="none"/>
        </w:rPr>
        <w:t>2023年自治区无线电安全保障及</w:t>
      </w:r>
    </w:p>
    <w:p w14:paraId="2D849B18">
      <w:pPr>
        <w:spacing w:line="700" w:lineRule="exact"/>
        <w:ind w:firstLine="1440" w:firstLineChars="400"/>
        <w:jc w:val="left"/>
        <w:rPr>
          <w:rFonts w:eastAsia="仿宋_GB2312"/>
          <w:kern w:val="0"/>
          <w:sz w:val="36"/>
          <w:szCs w:val="36"/>
          <w:highlight w:val="none"/>
        </w:rPr>
      </w:pPr>
      <w:r>
        <w:rPr>
          <w:rFonts w:hint="eastAsia" w:eastAsia="仿宋_GB2312"/>
          <w:kern w:val="0"/>
          <w:sz w:val="36"/>
          <w:szCs w:val="36"/>
          <w:highlight w:val="none"/>
          <w:lang w:val="en-US" w:eastAsia="zh-CN"/>
        </w:rPr>
        <w:t xml:space="preserve">          </w:t>
      </w:r>
      <w:r>
        <w:rPr>
          <w:rFonts w:hint="eastAsia" w:eastAsia="仿宋_GB2312"/>
          <w:kern w:val="0"/>
          <w:sz w:val="36"/>
          <w:szCs w:val="36"/>
          <w:highlight w:val="none"/>
        </w:rPr>
        <w:t>事业发展专项经费资金项目</w:t>
      </w:r>
    </w:p>
    <w:p w14:paraId="0E176E04">
      <w:pP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实施单位（公章）：</w:t>
      </w:r>
      <w:r>
        <w:rPr>
          <w:rFonts w:hint="eastAsia" w:eastAsia="仿宋_GB2312"/>
          <w:kern w:val="0"/>
          <w:sz w:val="36"/>
          <w:szCs w:val="36"/>
          <w:highlight w:val="none"/>
        </w:rPr>
        <w:t>自治区无线电管理局</w:t>
      </w:r>
    </w:p>
    <w:p w14:paraId="09B6D897">
      <w:pPr>
        <w:spacing w:line="700" w:lineRule="exact"/>
        <w:ind w:firstLine="1440" w:firstLineChars="400"/>
        <w:jc w:val="left"/>
        <w:rPr>
          <w:rFonts w:hint="eastAsia" w:eastAsia="仿宋_GB2312"/>
          <w:kern w:val="0"/>
          <w:sz w:val="36"/>
          <w:szCs w:val="36"/>
          <w:highlight w:val="none"/>
        </w:rPr>
      </w:pPr>
      <w:r>
        <w:rPr>
          <w:rFonts w:eastAsia="仿宋_GB2312"/>
          <w:kern w:val="0"/>
          <w:sz w:val="36"/>
          <w:szCs w:val="36"/>
          <w:highlight w:val="none"/>
        </w:rPr>
        <w:t>主管部门（公章）：</w:t>
      </w:r>
      <w:r>
        <w:rPr>
          <w:rFonts w:hint="eastAsia" w:eastAsia="仿宋_GB2312"/>
          <w:kern w:val="0"/>
          <w:sz w:val="36"/>
          <w:szCs w:val="36"/>
          <w:highlight w:val="none"/>
        </w:rPr>
        <w:t>新疆维吾尔自治区工和</w:t>
      </w:r>
    </w:p>
    <w:p w14:paraId="0607A1A8">
      <w:pPr>
        <w:spacing w:line="700" w:lineRule="exact"/>
        <w:ind w:firstLine="1440" w:firstLineChars="400"/>
        <w:jc w:val="left"/>
        <w:rPr>
          <w:rFonts w:eastAsia="仿宋_GB2312"/>
          <w:kern w:val="0"/>
          <w:sz w:val="36"/>
          <w:szCs w:val="36"/>
          <w:highlight w:val="none"/>
        </w:rPr>
      </w:pPr>
      <w:r>
        <w:rPr>
          <w:rFonts w:hint="eastAsia" w:eastAsia="仿宋_GB2312"/>
          <w:kern w:val="0"/>
          <w:sz w:val="36"/>
          <w:szCs w:val="36"/>
          <w:highlight w:val="none"/>
          <w:lang w:val="en-US" w:eastAsia="zh-CN"/>
        </w:rPr>
        <w:t xml:space="preserve">                  </w:t>
      </w:r>
      <w:r>
        <w:rPr>
          <w:rFonts w:hint="eastAsia" w:eastAsia="仿宋_GB2312"/>
          <w:kern w:val="0"/>
          <w:sz w:val="36"/>
          <w:szCs w:val="36"/>
          <w:highlight w:val="none"/>
        </w:rPr>
        <w:t>信息化厅</w:t>
      </w:r>
    </w:p>
    <w:p w14:paraId="4ED123E6">
      <w:pP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项目负责人（签章）：</w:t>
      </w:r>
      <w:r>
        <w:rPr>
          <w:rFonts w:hint="eastAsia" w:eastAsia="仿宋_GB2312"/>
          <w:kern w:val="0"/>
          <w:sz w:val="36"/>
          <w:szCs w:val="36"/>
          <w:highlight w:val="none"/>
          <w:lang w:val="en-US" w:eastAsia="zh-CN"/>
        </w:rPr>
        <w:t xml:space="preserve">王瑞强  </w:t>
      </w:r>
    </w:p>
    <w:p w14:paraId="61391CDC">
      <w:pP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填报时间：</w:t>
      </w:r>
      <w:r>
        <w:rPr>
          <w:rFonts w:hint="eastAsia" w:eastAsia="仿宋_GB2312"/>
          <w:kern w:val="0"/>
          <w:sz w:val="36"/>
          <w:szCs w:val="36"/>
          <w:highlight w:val="none"/>
          <w:lang w:val="en-US" w:eastAsia="zh-CN"/>
        </w:rPr>
        <w:t>2024</w:t>
      </w:r>
      <w:r>
        <w:rPr>
          <w:rFonts w:eastAsia="仿宋_GB2312"/>
          <w:kern w:val="0"/>
          <w:sz w:val="36"/>
          <w:szCs w:val="36"/>
          <w:highlight w:val="none"/>
        </w:rPr>
        <w:t>年</w:t>
      </w:r>
      <w:r>
        <w:rPr>
          <w:rFonts w:hint="eastAsia" w:eastAsia="仿宋_GB2312"/>
          <w:kern w:val="0"/>
          <w:sz w:val="36"/>
          <w:szCs w:val="36"/>
          <w:highlight w:val="none"/>
          <w:lang w:val="en-US" w:eastAsia="zh-CN"/>
        </w:rPr>
        <w:t>3</w:t>
      </w:r>
      <w:r>
        <w:rPr>
          <w:rFonts w:eastAsia="仿宋_GB2312"/>
          <w:kern w:val="0"/>
          <w:sz w:val="36"/>
          <w:szCs w:val="36"/>
          <w:highlight w:val="none"/>
        </w:rPr>
        <w:t>月</w:t>
      </w:r>
      <w:r>
        <w:rPr>
          <w:rFonts w:hint="eastAsia" w:eastAsia="仿宋_GB2312"/>
          <w:kern w:val="0"/>
          <w:sz w:val="36"/>
          <w:szCs w:val="36"/>
          <w:highlight w:val="none"/>
          <w:lang w:val="en-US" w:eastAsia="zh-CN"/>
        </w:rPr>
        <w:t>14</w:t>
      </w:r>
      <w:r>
        <w:rPr>
          <w:rFonts w:eastAsia="仿宋_GB2312"/>
          <w:kern w:val="0"/>
          <w:sz w:val="36"/>
          <w:szCs w:val="36"/>
          <w:highlight w:val="none"/>
        </w:rPr>
        <w:t>日</w:t>
      </w:r>
    </w:p>
    <w:p w14:paraId="76F01164">
      <w:pPr>
        <w:spacing w:line="540" w:lineRule="exact"/>
        <w:jc w:val="center"/>
        <w:rPr>
          <w:rFonts w:eastAsia="仿宋_GB2312"/>
          <w:kern w:val="0"/>
          <w:sz w:val="30"/>
          <w:szCs w:val="30"/>
          <w:highlight w:val="none"/>
        </w:rPr>
      </w:pPr>
    </w:p>
    <w:p w14:paraId="64CED2DB">
      <w:pPr>
        <w:spacing w:line="540" w:lineRule="exact"/>
        <w:rPr>
          <w:rStyle w:val="23"/>
          <w:rFonts w:eastAsia="黑体"/>
          <w:b w:val="0"/>
          <w:spacing w:val="-4"/>
          <w:sz w:val="32"/>
          <w:szCs w:val="32"/>
          <w:highlight w:val="none"/>
        </w:rPr>
      </w:pPr>
    </w:p>
    <w:p w14:paraId="61125F1F">
      <w:pPr>
        <w:spacing w:line="600" w:lineRule="exact"/>
        <w:rPr>
          <w:rFonts w:eastAsia="黑体"/>
          <w:bCs/>
          <w:sz w:val="32"/>
          <w:szCs w:val="32"/>
          <w:highlight w:val="none"/>
        </w:rPr>
      </w:pPr>
      <w:r>
        <w:rPr>
          <w:rFonts w:eastAsia="黑体"/>
          <w:bCs/>
          <w:sz w:val="32"/>
          <w:szCs w:val="32"/>
          <w:highlight w:val="none"/>
        </w:rPr>
        <w:t>一、基本情况</w:t>
      </w:r>
    </w:p>
    <w:p w14:paraId="2F185C2B">
      <w:pPr>
        <w:spacing w:line="600" w:lineRule="exact"/>
        <w:ind w:firstLine="641"/>
        <w:rPr>
          <w:rFonts w:eastAsia="楷体_GB2312"/>
          <w:b/>
          <w:bCs/>
          <w:sz w:val="32"/>
          <w:szCs w:val="32"/>
          <w:highlight w:val="none"/>
        </w:rPr>
      </w:pPr>
      <w:r>
        <w:rPr>
          <w:rFonts w:eastAsia="楷体_GB2312"/>
          <w:b/>
          <w:bCs/>
          <w:sz w:val="32"/>
          <w:szCs w:val="32"/>
          <w:highlight w:val="none"/>
        </w:rPr>
        <w:t>（一）项目概况</w:t>
      </w:r>
    </w:p>
    <w:p w14:paraId="7C5F7947">
      <w:pPr>
        <w:spacing w:line="600" w:lineRule="exact"/>
        <w:ind w:firstLine="641"/>
        <w:rPr>
          <w:rFonts w:eastAsia="仿宋_GB2312"/>
          <w:b/>
          <w:bCs/>
          <w:sz w:val="32"/>
          <w:szCs w:val="32"/>
          <w:highlight w:val="none"/>
        </w:rPr>
      </w:pPr>
      <w:r>
        <w:rPr>
          <w:rFonts w:eastAsia="仿宋_GB2312"/>
          <w:b/>
          <w:bCs/>
          <w:sz w:val="32"/>
          <w:szCs w:val="32"/>
          <w:highlight w:val="none"/>
        </w:rPr>
        <w:t>1、项目背景</w:t>
      </w:r>
    </w:p>
    <w:p w14:paraId="11A0DA81">
      <w:pPr>
        <w:spacing w:line="540" w:lineRule="exact"/>
        <w:ind w:firstLine="624" w:firstLineChars="200"/>
        <w:rPr>
          <w:rStyle w:val="23"/>
          <w:rFonts w:eastAsia="黑体"/>
          <w:bCs w:val="0"/>
          <w:spacing w:val="-4"/>
          <w:sz w:val="32"/>
          <w:szCs w:val="32"/>
          <w:highlight w:val="none"/>
        </w:rPr>
      </w:pPr>
      <w:r>
        <w:rPr>
          <w:rStyle w:val="23"/>
          <w:rFonts w:hint="eastAsia" w:ascii="仿宋_GB2312" w:hAnsi="仿宋_GB2312" w:eastAsia="仿宋_GB2312" w:cs="仿宋_GB2312"/>
          <w:b w:val="0"/>
          <w:spacing w:val="-4"/>
          <w:sz w:val="32"/>
          <w:szCs w:val="32"/>
          <w:highlight w:val="none"/>
        </w:rPr>
        <w:t>总体国家安全观是习近平新时代中国特色社会主义思想的重要组成部分，无线电安全事关人民安全、政治安全和国家利益，事关经济发展、国防建设和社会稳定</w:t>
      </w:r>
      <w:r>
        <w:rPr>
          <w:rStyle w:val="23"/>
          <w:rFonts w:hint="eastAsia" w:ascii="仿宋_GB2312" w:hAnsi="仿宋_GB2312" w:eastAsia="仿宋_GB2312" w:cs="仿宋_GB2312"/>
          <w:b w:val="0"/>
          <w:spacing w:val="-4"/>
          <w:sz w:val="32"/>
          <w:szCs w:val="32"/>
          <w:highlight w:val="none"/>
          <w:lang w:eastAsia="zh-CN"/>
        </w:rPr>
        <w:t>，</w:t>
      </w:r>
      <w:r>
        <w:rPr>
          <w:rStyle w:val="23"/>
          <w:rFonts w:hint="eastAsia" w:ascii="仿宋_GB2312" w:hAnsi="仿宋_GB2312" w:eastAsia="仿宋_GB2312" w:cs="仿宋_GB2312"/>
          <w:b w:val="0"/>
          <w:spacing w:val="-4"/>
          <w:sz w:val="32"/>
          <w:szCs w:val="32"/>
          <w:highlight w:val="none"/>
          <w:lang w:val="en-US" w:eastAsia="zh-CN"/>
        </w:rPr>
        <w:t>是总体国家安全观不可或缺的一部分</w:t>
      </w:r>
      <w:r>
        <w:rPr>
          <w:rStyle w:val="23"/>
          <w:rFonts w:hint="eastAsia" w:ascii="仿宋_GB2312" w:hAnsi="仿宋_GB2312" w:eastAsia="仿宋_GB2312" w:cs="仿宋_GB2312"/>
          <w:b w:val="0"/>
          <w:spacing w:val="-4"/>
          <w:sz w:val="32"/>
          <w:szCs w:val="32"/>
          <w:highlight w:val="none"/>
          <w:lang w:eastAsia="zh-CN"/>
        </w:rPr>
        <w:t>。</w:t>
      </w:r>
      <w:r>
        <w:rPr>
          <w:rStyle w:val="23"/>
          <w:rFonts w:hint="eastAsia" w:ascii="仿宋_GB2312" w:hAnsi="仿宋_GB2312" w:eastAsia="仿宋_GB2312" w:cs="仿宋_GB2312"/>
          <w:b w:val="0"/>
          <w:spacing w:val="-4"/>
          <w:sz w:val="32"/>
          <w:szCs w:val="32"/>
          <w:highlight w:val="none"/>
          <w:lang w:val="en-US" w:eastAsia="zh-CN"/>
        </w:rPr>
        <w:t>为</w:t>
      </w:r>
      <w:r>
        <w:rPr>
          <w:rStyle w:val="23"/>
          <w:rFonts w:hint="eastAsia" w:ascii="仿宋_GB2312" w:hAnsi="仿宋_GB2312" w:eastAsia="仿宋_GB2312" w:cs="仿宋_GB2312"/>
          <w:b w:val="0"/>
          <w:bCs w:val="0"/>
          <w:spacing w:val="-4"/>
          <w:sz w:val="32"/>
          <w:szCs w:val="32"/>
          <w:highlight w:val="none"/>
          <w:lang w:val="en-US" w:eastAsia="zh-CN"/>
        </w:rPr>
        <w:t>促进</w:t>
      </w:r>
      <w:r>
        <w:rPr>
          <w:rFonts w:hint="eastAsia" w:ascii="仿宋_GB2312" w:hAnsi="仿宋_GB2312" w:eastAsia="仿宋_GB2312" w:cs="仿宋_GB2312"/>
          <w:bCs/>
          <w:color w:val="auto"/>
          <w:spacing w:val="-4"/>
          <w:kern w:val="2"/>
          <w:sz w:val="32"/>
          <w:szCs w:val="32"/>
          <w:highlight w:val="none"/>
          <w:lang w:val="en-US" w:eastAsia="zh-CN" w:bidi="ar-SA"/>
        </w:rPr>
        <w:t>无线电事业发展，</w:t>
      </w:r>
      <w:r>
        <w:rPr>
          <w:rStyle w:val="23"/>
          <w:rFonts w:hint="eastAsia" w:ascii="仿宋_GB2312" w:hAnsi="仿宋_GB2312" w:eastAsia="仿宋_GB2312" w:cs="仿宋_GB2312"/>
          <w:b w:val="0"/>
          <w:bCs w:val="0"/>
          <w:spacing w:val="-4"/>
          <w:sz w:val="32"/>
          <w:szCs w:val="32"/>
          <w:highlight w:val="none"/>
          <w:lang w:val="en-US" w:eastAsia="zh-CN"/>
        </w:rPr>
        <w:t>根据《关于批复自治区本级2022年部门预算的通知》（新财预〔2022〕1号）文件要求，自治区财政厅向我厅下达了2023年</w:t>
      </w:r>
      <w:r>
        <w:rPr>
          <w:rFonts w:hint="eastAsia" w:ascii="仿宋_GB2312" w:hAnsi="仿宋_GB2312" w:eastAsia="仿宋_GB2312" w:cs="仿宋_GB2312"/>
          <w:bCs/>
          <w:color w:val="auto"/>
          <w:spacing w:val="-4"/>
          <w:kern w:val="2"/>
          <w:sz w:val="32"/>
          <w:szCs w:val="32"/>
          <w:highlight w:val="none"/>
          <w:lang w:val="en-US" w:eastAsia="zh-CN" w:bidi="ar-SA"/>
        </w:rPr>
        <w:t>自治区无线电安全保障及事业发展专项经费，以</w:t>
      </w:r>
      <w:r>
        <w:rPr>
          <w:rStyle w:val="23"/>
          <w:rFonts w:hint="eastAsia" w:ascii="仿宋_GB2312" w:hAnsi="仿宋_GB2312" w:eastAsia="仿宋_GB2312" w:cs="仿宋_GB2312"/>
          <w:b w:val="0"/>
          <w:bCs w:val="0"/>
          <w:spacing w:val="-4"/>
          <w:sz w:val="32"/>
          <w:szCs w:val="32"/>
          <w:highlight w:val="none"/>
          <w:lang w:val="en-US" w:eastAsia="zh-CN"/>
        </w:rPr>
        <w:t>弥补我区无线电管理专项事业费的不足，确保无线电管理各项工作的正常开展，服务新疆反恐维稳安全保障和经济社会发展大局。</w:t>
      </w:r>
    </w:p>
    <w:p w14:paraId="19E0C260">
      <w:pPr>
        <w:pStyle w:val="17"/>
        <w:numPr>
          <w:ilvl w:val="0"/>
          <w:numId w:val="1"/>
        </w:numPr>
        <w:spacing w:before="0" w:after="0" w:line="60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项目主要内容</w:t>
      </w:r>
      <w:r>
        <w:rPr>
          <w:rFonts w:hint="eastAsia" w:ascii="Times New Roman" w:hAnsi="Times New Roman" w:eastAsia="仿宋_GB2312"/>
          <w:kern w:val="2"/>
          <w:highlight w:val="none"/>
          <w:lang w:eastAsia="zh-CN"/>
        </w:rPr>
        <w:t>及实施情况</w:t>
      </w:r>
    </w:p>
    <w:p w14:paraId="35EA7CA7">
      <w:pPr>
        <w:shd w:val="clear"/>
        <w:spacing w:line="540" w:lineRule="exact"/>
        <w:ind w:firstLine="627" w:firstLineChars="200"/>
        <w:rPr>
          <w:highlight w:val="none"/>
        </w:rPr>
      </w:pPr>
      <w:r>
        <w:rPr>
          <w:rStyle w:val="23"/>
          <w:rFonts w:hint="eastAsia" w:ascii="仿宋_GB2312" w:hAnsi="仿宋_GB2312" w:eastAsia="仿宋_GB2312" w:cs="仿宋_GB2312"/>
          <w:b/>
          <w:bCs w:val="0"/>
          <w:spacing w:val="-4"/>
          <w:sz w:val="32"/>
          <w:szCs w:val="32"/>
          <w:highlight w:val="none"/>
          <w:lang w:eastAsia="zh-CN"/>
        </w:rPr>
        <w:t>项目主要内容：</w:t>
      </w:r>
      <w:r>
        <w:rPr>
          <w:rStyle w:val="23"/>
          <w:rFonts w:hint="eastAsia" w:ascii="仿宋_GB2312" w:hAnsi="仿宋_GB2312" w:eastAsia="仿宋_GB2312" w:cs="仿宋_GB2312"/>
          <w:b w:val="0"/>
          <w:spacing w:val="-4"/>
          <w:sz w:val="32"/>
          <w:szCs w:val="32"/>
          <w:highlight w:val="none"/>
        </w:rPr>
        <w:t>根据</w:t>
      </w:r>
      <w:r>
        <w:rPr>
          <w:rStyle w:val="23"/>
          <w:rFonts w:hint="eastAsia" w:ascii="仿宋_GB2312" w:hAnsi="仿宋_GB2312" w:eastAsia="仿宋_GB2312" w:cs="仿宋_GB2312"/>
          <w:b w:val="0"/>
          <w:spacing w:val="-4"/>
          <w:sz w:val="32"/>
          <w:szCs w:val="32"/>
          <w:highlight w:val="none"/>
          <w:lang w:eastAsia="zh-CN"/>
        </w:rPr>
        <w:t>202</w:t>
      </w:r>
      <w:r>
        <w:rPr>
          <w:rStyle w:val="23"/>
          <w:rFonts w:hint="eastAsia" w:ascii="仿宋_GB2312" w:hAnsi="仿宋_GB2312" w:eastAsia="仿宋_GB2312" w:cs="仿宋_GB2312"/>
          <w:b w:val="0"/>
          <w:spacing w:val="-4"/>
          <w:sz w:val="32"/>
          <w:szCs w:val="32"/>
          <w:highlight w:val="none"/>
          <w:lang w:val="en-US" w:eastAsia="zh-CN"/>
        </w:rPr>
        <w:t>3</w:t>
      </w:r>
      <w:r>
        <w:rPr>
          <w:rStyle w:val="23"/>
          <w:rFonts w:hint="eastAsia" w:ascii="仿宋_GB2312" w:hAnsi="仿宋_GB2312" w:eastAsia="仿宋_GB2312" w:cs="仿宋_GB2312"/>
          <w:b w:val="0"/>
          <w:spacing w:val="-4"/>
          <w:sz w:val="32"/>
          <w:szCs w:val="32"/>
          <w:highlight w:val="none"/>
        </w:rPr>
        <w:t>年</w:t>
      </w:r>
      <w:r>
        <w:rPr>
          <w:rStyle w:val="23"/>
          <w:rFonts w:hint="eastAsia" w:ascii="仿宋_GB2312" w:hAnsi="仿宋_GB2312" w:eastAsia="仿宋_GB2312" w:cs="仿宋_GB2312"/>
          <w:b w:val="0"/>
          <w:spacing w:val="-4"/>
          <w:sz w:val="32"/>
          <w:szCs w:val="32"/>
          <w:highlight w:val="none"/>
          <w:lang w:eastAsia="zh-CN"/>
        </w:rPr>
        <w:t>自治区</w:t>
      </w:r>
      <w:r>
        <w:rPr>
          <w:rStyle w:val="23"/>
          <w:rFonts w:hint="eastAsia" w:ascii="仿宋_GB2312" w:hAnsi="仿宋_GB2312" w:eastAsia="仿宋_GB2312" w:cs="仿宋_GB2312"/>
          <w:b w:val="0"/>
          <w:spacing w:val="-4"/>
          <w:sz w:val="32"/>
          <w:szCs w:val="32"/>
          <w:highlight w:val="none"/>
        </w:rPr>
        <w:t>无线电安全保障工作总体要求，</w:t>
      </w:r>
      <w:r>
        <w:rPr>
          <w:rStyle w:val="23"/>
          <w:rFonts w:hint="eastAsia" w:ascii="仿宋_GB2312" w:hAnsi="仿宋_GB2312" w:eastAsia="仿宋_GB2312" w:cs="仿宋_GB2312"/>
          <w:b w:val="0"/>
          <w:spacing w:val="-4"/>
          <w:sz w:val="32"/>
          <w:szCs w:val="32"/>
          <w:highlight w:val="none"/>
          <w:lang w:eastAsia="zh-CN"/>
        </w:rPr>
        <w:t>结合</w:t>
      </w:r>
      <w:r>
        <w:rPr>
          <w:rStyle w:val="23"/>
          <w:rFonts w:hint="eastAsia" w:ascii="仿宋_GB2312" w:hAnsi="仿宋_GB2312" w:eastAsia="仿宋_GB2312" w:cs="仿宋_GB2312"/>
          <w:b w:val="0"/>
          <w:spacing w:val="-4"/>
          <w:sz w:val="32"/>
          <w:szCs w:val="32"/>
          <w:highlight w:val="none"/>
          <w:lang w:val="en-US" w:eastAsia="zh-CN"/>
        </w:rPr>
        <w:t>我区无线电管理</w:t>
      </w:r>
      <w:r>
        <w:rPr>
          <w:rStyle w:val="23"/>
          <w:rFonts w:hint="eastAsia" w:ascii="仿宋_GB2312" w:hAnsi="仿宋_GB2312" w:eastAsia="仿宋_GB2312" w:cs="仿宋_GB2312"/>
          <w:b w:val="0"/>
          <w:spacing w:val="-4"/>
          <w:sz w:val="32"/>
          <w:szCs w:val="32"/>
          <w:highlight w:val="none"/>
          <w:lang w:eastAsia="zh-CN"/>
        </w:rPr>
        <w:t>工作计划，</w:t>
      </w:r>
      <w:r>
        <w:rPr>
          <w:rStyle w:val="23"/>
          <w:rFonts w:hint="eastAsia" w:ascii="仿宋_GB2312" w:hAnsi="仿宋_GB2312" w:eastAsia="仿宋_GB2312" w:cs="仿宋_GB2312"/>
          <w:b w:val="0"/>
          <w:bCs w:val="0"/>
          <w:spacing w:val="-4"/>
          <w:sz w:val="32"/>
          <w:szCs w:val="32"/>
          <w:highlight w:val="none"/>
          <w:lang w:val="en-US" w:eastAsia="zh-CN"/>
        </w:rPr>
        <w:t>我厅申报</w:t>
      </w:r>
      <w:r>
        <w:rPr>
          <w:rFonts w:hint="eastAsia" w:ascii="仿宋_GB2312" w:hAnsi="仿宋_GB2312" w:eastAsia="仿宋_GB2312" w:cs="仿宋_GB2312"/>
          <w:bCs/>
          <w:color w:val="auto"/>
          <w:spacing w:val="-4"/>
          <w:kern w:val="2"/>
          <w:sz w:val="32"/>
          <w:szCs w:val="32"/>
          <w:highlight w:val="none"/>
          <w:lang w:val="en-US" w:eastAsia="zh-CN" w:bidi="ar-SA"/>
        </w:rPr>
        <w:t>自治区无线电安全保障及事业发展专项经费</w:t>
      </w:r>
      <w:r>
        <w:rPr>
          <w:rStyle w:val="23"/>
          <w:rFonts w:hint="eastAsia" w:ascii="仿宋_GB2312" w:hAnsi="仿宋_GB2312" w:eastAsia="仿宋_GB2312" w:cs="仿宋_GB2312"/>
          <w:b w:val="0"/>
          <w:bCs w:val="0"/>
          <w:spacing w:val="-4"/>
          <w:sz w:val="32"/>
          <w:szCs w:val="32"/>
          <w:highlight w:val="none"/>
          <w:lang w:val="en-US" w:eastAsia="zh-CN"/>
        </w:rPr>
        <w:t>预算690万元，</w:t>
      </w:r>
      <w:r>
        <w:rPr>
          <w:rStyle w:val="23"/>
          <w:rFonts w:hint="eastAsia" w:ascii="仿宋_GB2312" w:hAnsi="仿宋_GB2312" w:eastAsia="仿宋_GB2312" w:cs="仿宋_GB2312"/>
          <w:b w:val="0"/>
          <w:spacing w:val="-4"/>
          <w:sz w:val="32"/>
          <w:szCs w:val="32"/>
          <w:highlight w:val="none"/>
          <w:lang w:val="en-US" w:eastAsia="zh-CN"/>
        </w:rPr>
        <w:t>主要用于</w:t>
      </w:r>
      <w:r>
        <w:rPr>
          <w:rStyle w:val="23"/>
          <w:rFonts w:hint="eastAsia" w:ascii="仿宋_GB2312" w:hAnsi="仿宋_GB2312" w:eastAsia="仿宋_GB2312" w:cs="仿宋_GB2312"/>
          <w:b w:val="0"/>
          <w:spacing w:val="-4"/>
          <w:sz w:val="32"/>
          <w:szCs w:val="32"/>
          <w:highlight w:val="none"/>
          <w:lang w:eastAsia="zh-CN"/>
        </w:rPr>
        <w:t>无线电技术支撑服务</w:t>
      </w:r>
      <w:r>
        <w:rPr>
          <w:rStyle w:val="23"/>
          <w:rFonts w:hint="eastAsia" w:ascii="仿宋_GB2312" w:hAnsi="仿宋_GB2312" w:eastAsia="仿宋_GB2312" w:cs="仿宋_GB2312"/>
          <w:b w:val="0"/>
          <w:bCs w:val="0"/>
          <w:spacing w:val="-4"/>
          <w:sz w:val="32"/>
          <w:szCs w:val="32"/>
          <w:highlight w:val="none"/>
          <w:lang w:val="en-US" w:eastAsia="zh-CN"/>
        </w:rPr>
        <w:t>，无线电监管设施维护以及无线电业务工作支出等，保障无线电管理工作的顺利开展</w:t>
      </w:r>
      <w:r>
        <w:rPr>
          <w:rStyle w:val="23"/>
          <w:rFonts w:hint="eastAsia" w:ascii="仿宋_GB2312" w:hAnsi="仿宋_GB2312" w:eastAsia="仿宋_GB2312" w:cs="仿宋_GB2312"/>
          <w:b w:val="0"/>
          <w:spacing w:val="-4"/>
          <w:sz w:val="32"/>
          <w:szCs w:val="32"/>
          <w:highlight w:val="none"/>
          <w:lang w:val="en-US" w:eastAsia="zh-CN"/>
        </w:rPr>
        <w:t>。</w:t>
      </w:r>
    </w:p>
    <w:p w14:paraId="01E4F412">
      <w:pPr>
        <w:shd w:val="clear"/>
        <w:spacing w:line="600" w:lineRule="exact"/>
        <w:ind w:firstLine="643" w:firstLineChars="200"/>
        <w:rPr>
          <w:highlight w:val="none"/>
        </w:rPr>
      </w:pPr>
      <w:r>
        <w:rPr>
          <w:rFonts w:eastAsia="仿宋_GB2312"/>
          <w:b/>
          <w:bCs/>
          <w:sz w:val="32"/>
          <w:szCs w:val="32"/>
          <w:highlight w:val="none"/>
        </w:rPr>
        <w:t>项目实施情况：</w:t>
      </w:r>
      <w:r>
        <w:rPr>
          <w:rFonts w:eastAsia="仿宋_GB2312"/>
          <w:sz w:val="32"/>
          <w:szCs w:val="32"/>
          <w:highlight w:val="none"/>
        </w:rPr>
        <w:t>项目目前已经完成实际设立的目标，项目在实施过程中严格按照目标设立的各阶段任务进行开展工作，在前期立项过程中严格把质量关，建立安全防护机制，保证项目实施各阶段安全顺利进行。</w:t>
      </w:r>
    </w:p>
    <w:p w14:paraId="1504A5D5">
      <w:pPr>
        <w:shd w:val="clear"/>
        <w:spacing w:line="600" w:lineRule="exact"/>
        <w:ind w:firstLine="640" w:firstLineChars="200"/>
        <w:rPr>
          <w:rFonts w:eastAsia="仿宋_GB2312"/>
          <w:sz w:val="32"/>
          <w:szCs w:val="32"/>
          <w:highlight w:val="none"/>
        </w:rPr>
      </w:pPr>
      <w:r>
        <w:rPr>
          <w:rFonts w:eastAsia="仿宋_GB2312"/>
          <w:sz w:val="32"/>
          <w:szCs w:val="32"/>
          <w:highlight w:val="none"/>
        </w:rPr>
        <w:t>本项目总投资</w:t>
      </w:r>
      <w:r>
        <w:rPr>
          <w:rFonts w:hint="eastAsia" w:eastAsia="仿宋_GB2312"/>
          <w:sz w:val="32"/>
          <w:szCs w:val="32"/>
          <w:highlight w:val="none"/>
          <w:lang w:val="en-US" w:eastAsia="zh-CN"/>
        </w:rPr>
        <w:t>690</w:t>
      </w:r>
      <w:r>
        <w:rPr>
          <w:rFonts w:eastAsia="仿宋_GB2312"/>
          <w:sz w:val="32"/>
          <w:szCs w:val="32"/>
          <w:highlight w:val="none"/>
        </w:rPr>
        <w:t>万元，其中：财政本级资金</w:t>
      </w:r>
      <w:r>
        <w:rPr>
          <w:rFonts w:hint="eastAsia" w:eastAsia="仿宋_GB2312"/>
          <w:sz w:val="32"/>
          <w:szCs w:val="32"/>
          <w:highlight w:val="none"/>
          <w:lang w:val="en-US" w:eastAsia="zh-CN"/>
        </w:rPr>
        <w:t>690</w:t>
      </w:r>
      <w:r>
        <w:rPr>
          <w:rFonts w:eastAsia="仿宋_GB2312"/>
          <w:sz w:val="32"/>
          <w:szCs w:val="32"/>
          <w:highlight w:val="none"/>
        </w:rPr>
        <w:t>万元。项目实际支出</w:t>
      </w:r>
      <w:r>
        <w:rPr>
          <w:rFonts w:hint="eastAsia" w:eastAsia="仿宋_GB2312"/>
          <w:sz w:val="32"/>
          <w:szCs w:val="32"/>
          <w:highlight w:val="none"/>
          <w:lang w:val="en-US" w:eastAsia="zh-CN"/>
        </w:rPr>
        <w:t>690</w:t>
      </w:r>
      <w:r>
        <w:rPr>
          <w:rFonts w:eastAsia="仿宋_GB2312"/>
          <w:sz w:val="32"/>
          <w:szCs w:val="32"/>
          <w:highlight w:val="none"/>
        </w:rPr>
        <w:t>万元，支出率为100%。</w:t>
      </w:r>
    </w:p>
    <w:p w14:paraId="7B77F43F">
      <w:pPr>
        <w:shd w:val="clear"/>
        <w:spacing w:line="60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14:paraId="7F70744E">
      <w:pPr>
        <w:shd w:val="clear"/>
        <w:spacing w:line="600" w:lineRule="exact"/>
        <w:ind w:firstLine="640" w:firstLineChars="200"/>
        <w:rPr>
          <w:rFonts w:eastAsia="仿宋_GB2312"/>
          <w:sz w:val="20"/>
          <w:szCs w:val="20"/>
          <w:highlight w:val="none"/>
        </w:rPr>
      </w:pPr>
      <w:r>
        <w:rPr>
          <w:rFonts w:eastAsia="仿宋_GB2312"/>
          <w:sz w:val="32"/>
          <w:szCs w:val="32"/>
          <w:highlight w:val="none"/>
        </w:rPr>
        <w:t>（1）资金安排</w:t>
      </w:r>
    </w:p>
    <w:p w14:paraId="450CE9AA">
      <w:pPr>
        <w:shd w:val="clear"/>
        <w:spacing w:line="600" w:lineRule="exact"/>
        <w:ind w:firstLine="640" w:firstLineChars="200"/>
        <w:rPr>
          <w:rFonts w:eastAsia="仿宋_GB2312"/>
          <w:sz w:val="32"/>
          <w:szCs w:val="32"/>
          <w:highlight w:val="none"/>
        </w:rPr>
      </w:pPr>
      <w:r>
        <w:rPr>
          <w:rFonts w:eastAsia="仿宋_GB2312"/>
          <w:sz w:val="32"/>
          <w:szCs w:val="32"/>
          <w:highlight w:val="none"/>
        </w:rPr>
        <w:t>项目总投资</w:t>
      </w:r>
      <w:r>
        <w:rPr>
          <w:rFonts w:hint="eastAsia" w:eastAsia="仿宋_GB2312"/>
          <w:sz w:val="32"/>
          <w:szCs w:val="32"/>
          <w:highlight w:val="none"/>
          <w:lang w:val="en-US" w:eastAsia="zh-CN"/>
        </w:rPr>
        <w:t>690</w:t>
      </w:r>
      <w:r>
        <w:rPr>
          <w:rFonts w:eastAsia="仿宋_GB2312"/>
          <w:sz w:val="32"/>
          <w:szCs w:val="32"/>
          <w:highlight w:val="none"/>
        </w:rPr>
        <w:t>万元，按照单位财务制度等相关规定，资金支出符合</w:t>
      </w:r>
      <w:r>
        <w:rPr>
          <w:rFonts w:hint="eastAsia" w:eastAsia="仿宋_GB2312"/>
          <w:sz w:val="32"/>
          <w:szCs w:val="32"/>
          <w:highlight w:val="none"/>
        </w:rPr>
        <w:t>2023年自治区无线电安全保障及事业发展专项经费资金</w:t>
      </w:r>
      <w:r>
        <w:rPr>
          <w:rFonts w:eastAsia="仿宋_GB2312"/>
          <w:sz w:val="32"/>
          <w:szCs w:val="32"/>
          <w:highlight w:val="none"/>
        </w:rPr>
        <w:t>费用范围，做到了专款专用。在项目资金拨付和使用过程中，为确保项目资金的安全性，提高项目资金使用效率，严格遵循</w:t>
      </w:r>
      <w:r>
        <w:rPr>
          <w:rFonts w:hint="eastAsia" w:eastAsia="仿宋_GB2312"/>
          <w:sz w:val="32"/>
          <w:szCs w:val="32"/>
          <w:highlight w:val="none"/>
          <w:lang w:val="en-US" w:eastAsia="zh-CN"/>
        </w:rPr>
        <w:t>2</w:t>
      </w:r>
      <w:r>
        <w:rPr>
          <w:rFonts w:hint="eastAsia" w:eastAsia="仿宋_GB2312"/>
          <w:sz w:val="32"/>
          <w:szCs w:val="32"/>
          <w:highlight w:val="none"/>
        </w:rPr>
        <w:t>023年自治区无线电安全保障及事业发展专项经费资金</w:t>
      </w:r>
      <w:r>
        <w:rPr>
          <w:rFonts w:eastAsia="仿宋_GB2312"/>
          <w:sz w:val="32"/>
          <w:szCs w:val="32"/>
          <w:highlight w:val="none"/>
        </w:rPr>
        <w:t>的拨付程序，认真审核项目实施各阶段的相关材料和手续，根据项目实施进展情况拨付资金。</w:t>
      </w:r>
    </w:p>
    <w:p w14:paraId="0B99332D">
      <w:pPr>
        <w:shd w:val="clear"/>
        <w:spacing w:line="600" w:lineRule="exact"/>
        <w:ind w:firstLine="640" w:firstLineChars="200"/>
        <w:rPr>
          <w:rFonts w:eastAsia="仿宋_GB2312"/>
          <w:sz w:val="32"/>
          <w:szCs w:val="32"/>
          <w:highlight w:val="none"/>
        </w:rPr>
      </w:pPr>
      <w:r>
        <w:rPr>
          <w:rFonts w:eastAsia="仿宋_GB2312"/>
          <w:sz w:val="32"/>
          <w:szCs w:val="32"/>
          <w:highlight w:val="none"/>
        </w:rPr>
        <w:t>（2）预算资金来源及使用情况</w:t>
      </w:r>
      <w:bookmarkStart w:id="0" w:name="page10"/>
      <w:bookmarkEnd w:id="0"/>
    </w:p>
    <w:p w14:paraId="49A6797B">
      <w:pPr>
        <w:pStyle w:val="17"/>
        <w:shd w:val="clear"/>
        <w:spacing w:before="0" w:after="0" w:line="600" w:lineRule="exact"/>
        <w:ind w:firstLine="640" w:firstLineChars="200"/>
        <w:jc w:val="both"/>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项目预算资金来源于</w:t>
      </w:r>
      <w:r>
        <w:rPr>
          <w:rFonts w:hint="eastAsia" w:ascii="Times New Roman" w:hAnsi="Times New Roman" w:eastAsia="仿宋_GB2312"/>
          <w:b w:val="0"/>
          <w:bCs w:val="0"/>
          <w:kern w:val="2"/>
          <w:highlight w:val="none"/>
        </w:rPr>
        <w:t>一般公共预算拨款</w:t>
      </w:r>
      <w:r>
        <w:rPr>
          <w:rFonts w:ascii="Times New Roman" w:hAnsi="Times New Roman" w:eastAsia="仿宋_GB2312"/>
          <w:b w:val="0"/>
          <w:bCs w:val="0"/>
          <w:kern w:val="2"/>
          <w:highlight w:val="none"/>
        </w:rPr>
        <w:t>，项目资金到位</w:t>
      </w:r>
      <w:r>
        <w:rPr>
          <w:rFonts w:hint="eastAsia" w:ascii="Times New Roman" w:hAnsi="Times New Roman" w:eastAsia="仿宋_GB2312"/>
          <w:b w:val="0"/>
          <w:bCs w:val="0"/>
          <w:kern w:val="2"/>
          <w:highlight w:val="none"/>
          <w:lang w:val="en-US" w:eastAsia="zh-CN"/>
        </w:rPr>
        <w:t>690</w:t>
      </w:r>
      <w:r>
        <w:rPr>
          <w:rFonts w:ascii="Times New Roman" w:hAnsi="Times New Roman" w:eastAsia="仿宋_GB2312"/>
          <w:b w:val="0"/>
          <w:bCs w:val="0"/>
          <w:kern w:val="2"/>
          <w:highlight w:val="none"/>
        </w:rPr>
        <w:t>万元，</w:t>
      </w:r>
      <w:r>
        <w:rPr>
          <w:rFonts w:hint="eastAsia" w:ascii="Times New Roman" w:hAnsi="Times New Roman" w:eastAsia="仿宋_GB2312"/>
          <w:b w:val="0"/>
          <w:bCs w:val="0"/>
          <w:kern w:val="2"/>
          <w:highlight w:val="none"/>
        </w:rPr>
        <w:t>全年执行</w:t>
      </w:r>
      <w:r>
        <w:rPr>
          <w:rFonts w:hint="eastAsia" w:ascii="Times New Roman" w:hAnsi="Times New Roman" w:eastAsia="仿宋_GB2312"/>
          <w:b w:val="0"/>
          <w:bCs w:val="0"/>
          <w:kern w:val="2"/>
          <w:highlight w:val="none"/>
          <w:lang w:val="en-US" w:eastAsia="zh-CN"/>
        </w:rPr>
        <w:t>690</w:t>
      </w:r>
      <w:r>
        <w:rPr>
          <w:rFonts w:hint="eastAsia" w:ascii="Times New Roman" w:hAnsi="Times New Roman" w:eastAsia="仿宋_GB2312"/>
          <w:b w:val="0"/>
          <w:bCs w:val="0"/>
          <w:kern w:val="2"/>
          <w:highlight w:val="none"/>
        </w:rPr>
        <w:t>万元，预算执行率为</w:t>
      </w:r>
      <w:r>
        <w:rPr>
          <w:rFonts w:hint="eastAsia" w:ascii="Times New Roman" w:hAnsi="Times New Roman" w:eastAsia="仿宋_GB2312"/>
          <w:b w:val="0"/>
          <w:bCs w:val="0"/>
          <w:kern w:val="2"/>
          <w:highlight w:val="none"/>
          <w:lang w:val="en-US" w:eastAsia="zh-CN"/>
        </w:rPr>
        <w:t>100</w:t>
      </w:r>
      <w:r>
        <w:rPr>
          <w:rFonts w:ascii="Times New Roman" w:hAnsi="Times New Roman" w:eastAsia="仿宋_GB2312"/>
          <w:b w:val="0"/>
          <w:bCs w:val="0"/>
          <w:kern w:val="2"/>
          <w:highlight w:val="none"/>
        </w:rPr>
        <w:t>%,</w:t>
      </w:r>
      <w:r>
        <w:rPr>
          <w:rFonts w:hint="eastAsia" w:ascii="Times New Roman" w:hAnsi="Times New Roman" w:eastAsia="仿宋_GB2312"/>
          <w:b w:val="0"/>
          <w:bCs w:val="0"/>
          <w:kern w:val="2"/>
          <w:highlight w:val="none"/>
        </w:rPr>
        <w:t>主要</w:t>
      </w:r>
      <w:r>
        <w:rPr>
          <w:rFonts w:ascii="Times New Roman" w:hAnsi="Times New Roman" w:eastAsia="仿宋_GB2312"/>
          <w:b w:val="0"/>
          <w:bCs w:val="0"/>
          <w:kern w:val="2"/>
          <w:highlight w:val="none"/>
        </w:rPr>
        <w:t>用于支付项目实施进程中的各项费用。</w:t>
      </w:r>
    </w:p>
    <w:p w14:paraId="0E49F67F">
      <w:pPr>
        <w:shd w:val="clear"/>
        <w:spacing w:line="60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14:paraId="0B572094">
      <w:pPr>
        <w:shd w:val="clear"/>
        <w:spacing w:line="600" w:lineRule="exact"/>
        <w:ind w:firstLine="640" w:firstLineChars="200"/>
        <w:rPr>
          <w:rFonts w:eastAsia="仿宋_GB2312"/>
          <w:sz w:val="32"/>
          <w:szCs w:val="32"/>
          <w:highlight w:val="none"/>
        </w:rPr>
      </w:pPr>
      <w:r>
        <w:rPr>
          <w:rFonts w:eastAsia="仿宋_GB2312"/>
          <w:sz w:val="32"/>
          <w:szCs w:val="32"/>
          <w:highlight w:val="none"/>
        </w:rPr>
        <w:t>1、总体目标</w:t>
      </w:r>
    </w:p>
    <w:p w14:paraId="77AC8B85">
      <w:pPr>
        <w:pStyle w:val="17"/>
        <w:shd w:val="clear"/>
        <w:spacing w:before="0" w:after="0" w:line="600" w:lineRule="exact"/>
        <w:ind w:firstLine="640" w:firstLineChars="200"/>
        <w:jc w:val="both"/>
        <w:rPr>
          <w:rFonts w:hint="eastAsia"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rPr>
        <w:t>围绕“管频谱资源、管无线电台（站）、管空中电波秩序，服务经济社会发展、服务国防建设、服务党政机关，突出做好重点无线电安全保障工作”的宗旨，稳步推进无线电设备设施运行维护、重大活动无线电安全保障、航空及铁路无线电频率保护以及无线电干扰查处、无线电频率协调、考试保障等各项无线电专项监管工作的开展，年度投资计划执行良好，保障项目质量和效益，有效控制投资概算，助力经济高质量发展，维护社会稳定和长治久安。</w:t>
      </w:r>
    </w:p>
    <w:p w14:paraId="6249C416">
      <w:pPr>
        <w:shd w:val="clear"/>
        <w:spacing w:line="600" w:lineRule="exact"/>
        <w:ind w:firstLine="640" w:firstLineChars="200"/>
        <w:rPr>
          <w:highlight w:val="none"/>
        </w:rPr>
      </w:pPr>
      <w:r>
        <w:rPr>
          <w:rFonts w:eastAsia="仿宋_GB2312"/>
          <w:sz w:val="32"/>
          <w:szCs w:val="32"/>
          <w:highlight w:val="none"/>
        </w:rPr>
        <w:t>2、阶段性目标</w:t>
      </w:r>
    </w:p>
    <w:p w14:paraId="77467487">
      <w:pPr>
        <w:shd w:val="clear"/>
        <w:spacing w:line="600" w:lineRule="exact"/>
        <w:ind w:firstLine="640" w:firstLineChars="200"/>
        <w:rPr>
          <w:rFonts w:eastAsia="仿宋_GB2312"/>
          <w:sz w:val="32"/>
          <w:szCs w:val="32"/>
          <w:highlight w:val="none"/>
        </w:rPr>
      </w:pPr>
      <w:r>
        <w:rPr>
          <w:rFonts w:eastAsia="仿宋_GB2312"/>
          <w:sz w:val="32"/>
          <w:szCs w:val="32"/>
          <w:highlight w:val="none"/>
        </w:rPr>
        <w:t>（1）前期准备：通过制定项目实施方案，经项目负责人审核通过后，有序开展后续工作。</w:t>
      </w:r>
    </w:p>
    <w:p w14:paraId="582126A8">
      <w:pPr>
        <w:shd w:val="clear"/>
        <w:spacing w:line="600" w:lineRule="exact"/>
        <w:ind w:firstLine="640" w:firstLineChars="200"/>
        <w:rPr>
          <w:rFonts w:eastAsia="仿宋_GB2312"/>
          <w:sz w:val="32"/>
          <w:szCs w:val="32"/>
          <w:highlight w:val="none"/>
        </w:rPr>
      </w:pPr>
      <w:r>
        <w:rPr>
          <w:rFonts w:eastAsia="仿宋_GB2312"/>
          <w:sz w:val="32"/>
          <w:szCs w:val="32"/>
          <w:highlight w:val="none"/>
        </w:rPr>
        <w:t>（2）组织实施：资金一到位，立即根据项目要求实施项目。项目责任人按照项目实施方案要求逐一进行项目部署安排，提高项目质量及效率性。</w:t>
      </w:r>
    </w:p>
    <w:p w14:paraId="6F90EDE1">
      <w:pPr>
        <w:shd w:val="clear"/>
        <w:spacing w:line="600" w:lineRule="exact"/>
        <w:ind w:firstLine="640" w:firstLineChars="200"/>
        <w:rPr>
          <w:rFonts w:eastAsia="黑体"/>
          <w:sz w:val="32"/>
          <w:szCs w:val="32"/>
          <w:highlight w:val="none"/>
        </w:rPr>
      </w:pPr>
      <w:r>
        <w:rPr>
          <w:rFonts w:eastAsia="黑体"/>
          <w:sz w:val="32"/>
          <w:szCs w:val="32"/>
          <w:highlight w:val="none"/>
        </w:rPr>
        <w:t>二、绩效评价工作开展情况</w:t>
      </w:r>
    </w:p>
    <w:p w14:paraId="3B711CC0">
      <w:pPr>
        <w:shd w:val="clear"/>
        <w:spacing w:line="60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14:paraId="1BB0A9B0">
      <w:pPr>
        <w:pStyle w:val="17"/>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1、绩效评价的目的</w:t>
      </w:r>
    </w:p>
    <w:p w14:paraId="67838E5F">
      <w:pPr>
        <w:shd w:val="clear"/>
        <w:spacing w:line="600" w:lineRule="exact"/>
        <w:ind w:firstLine="640" w:firstLineChars="200"/>
        <w:rPr>
          <w:rFonts w:eastAsia="仿宋_GB2312"/>
          <w:sz w:val="32"/>
          <w:szCs w:val="32"/>
          <w:highlight w:val="none"/>
        </w:rPr>
      </w:pPr>
      <w:r>
        <w:rPr>
          <w:rFonts w:eastAsia="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2A559C0E">
      <w:pPr>
        <w:numPr>
          <w:ilvl w:val="0"/>
          <w:numId w:val="2"/>
        </w:numPr>
        <w:shd w:val="clear"/>
        <w:spacing w:line="600" w:lineRule="exact"/>
        <w:ind w:firstLine="640" w:firstLineChars="200"/>
        <w:rPr>
          <w:rFonts w:eastAsia="仿宋_GB2312"/>
          <w:sz w:val="32"/>
          <w:szCs w:val="32"/>
          <w:highlight w:val="none"/>
        </w:rPr>
      </w:pPr>
      <w:r>
        <w:rPr>
          <w:rFonts w:eastAsia="仿宋_GB2312"/>
          <w:sz w:val="32"/>
          <w:szCs w:val="32"/>
          <w:highlight w:val="none"/>
        </w:rPr>
        <w:t>项目在实施前向项目负责人提供财政支出绩效方面的资金管理信息，促进项目支出严格按照资金管理规定进行。</w:t>
      </w:r>
    </w:p>
    <w:p w14:paraId="15E307C2">
      <w:pPr>
        <w:shd w:val="clear"/>
        <w:spacing w:line="600" w:lineRule="exact"/>
        <w:ind w:firstLine="640" w:firstLineChars="200"/>
        <w:rPr>
          <w:rFonts w:eastAsia="仿宋_GB2312"/>
          <w:sz w:val="32"/>
          <w:szCs w:val="32"/>
          <w:highlight w:val="none"/>
        </w:rPr>
      </w:pPr>
      <w:r>
        <w:rPr>
          <w:rFonts w:eastAsia="仿宋_GB2312"/>
          <w:sz w:val="32"/>
          <w:szCs w:val="32"/>
          <w:highlight w:val="none"/>
        </w:rPr>
        <w:t>（2）项目绩效管理财政支出运行提供及时、有效的信息。</w:t>
      </w:r>
    </w:p>
    <w:p w14:paraId="38B3197B">
      <w:pPr>
        <w:shd w:val="clear"/>
        <w:spacing w:line="600" w:lineRule="exact"/>
        <w:ind w:firstLine="640" w:firstLineChars="200"/>
        <w:rPr>
          <w:rFonts w:eastAsia="仿宋_GB2312"/>
          <w:sz w:val="32"/>
          <w:szCs w:val="32"/>
          <w:highlight w:val="none"/>
        </w:rPr>
      </w:pPr>
      <w:r>
        <w:rPr>
          <w:rFonts w:eastAsia="仿宋_GB2312"/>
          <w:sz w:val="32"/>
          <w:szCs w:val="32"/>
          <w:highlight w:val="none"/>
        </w:rPr>
        <w:t>综合来看，通过开展有效的财政支出绩效评价管理，达到改进预算管理、控制节约成本，提高预算资金使用效益的目的。</w:t>
      </w:r>
    </w:p>
    <w:p w14:paraId="404D2507">
      <w:pPr>
        <w:pStyle w:val="17"/>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14:paraId="273E23B6">
      <w:pPr>
        <w:shd w:val="clear"/>
        <w:spacing w:line="576"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2023年自治区无线电安全保障及事业发展专项经费资金项目所包含的全部项目建设内容。</w:t>
      </w:r>
    </w:p>
    <w:p w14:paraId="3556BE42">
      <w:pPr>
        <w:pStyle w:val="17"/>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14:paraId="2C50A6D1">
      <w:pPr>
        <w:shd w:val="clear"/>
        <w:spacing w:line="576" w:lineRule="exact"/>
        <w:ind w:firstLine="640" w:firstLineChars="200"/>
        <w:rPr>
          <w:rFonts w:ascii="仿宋_GB2312" w:hAnsi="仿宋_GB2312" w:eastAsia="仿宋_GB2312" w:cs="仿宋_GB2312"/>
          <w:sz w:val="32"/>
          <w:szCs w:val="32"/>
          <w:highlight w:val="none"/>
        </w:rPr>
      </w:pPr>
      <w:r>
        <w:rPr>
          <w:rFonts w:hint="eastAsia" w:eastAsia="仿宋_GB2312"/>
          <w:sz w:val="32"/>
          <w:szCs w:val="32"/>
          <w:highlight w:val="none"/>
        </w:rPr>
        <w:t>2023年自治区无线电安全保障及事业发展专项经费资金</w:t>
      </w:r>
      <w:r>
        <w:rPr>
          <w:rFonts w:hint="eastAsia" w:ascii="仿宋_GB2312" w:hAnsi="仿宋_GB2312" w:eastAsia="仿宋_GB2312" w:cs="仿宋_GB2312"/>
          <w:sz w:val="32"/>
          <w:szCs w:val="32"/>
          <w:highlight w:val="none"/>
        </w:rPr>
        <w:t>项目的决策、过程、产出、效益等。</w:t>
      </w:r>
    </w:p>
    <w:p w14:paraId="36F7C4F5">
      <w:pPr>
        <w:shd w:val="clear"/>
        <w:spacing w:line="600" w:lineRule="exact"/>
        <w:ind w:firstLine="643" w:firstLineChars="200"/>
        <w:rPr>
          <w:highlight w:val="none"/>
        </w:rPr>
      </w:pPr>
      <w:r>
        <w:rPr>
          <w:rFonts w:eastAsia="楷体_GB2312"/>
          <w:b/>
          <w:bCs/>
          <w:sz w:val="32"/>
          <w:szCs w:val="32"/>
          <w:highlight w:val="none"/>
        </w:rPr>
        <w:t>（二）绩效评价原则、评价指标体系（详情见表1）、评价方法、评价标准。</w:t>
      </w:r>
    </w:p>
    <w:p w14:paraId="3F4ED7D5">
      <w:pPr>
        <w:pStyle w:val="17"/>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14:paraId="1C863E56">
      <w:pPr>
        <w:shd w:val="clea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14:paraId="1B684590">
      <w:pPr>
        <w:pStyle w:val="17"/>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（1）科学公正。绩效评价应当运用科学合理的方法，按照规范的程序，对项目绩效进行客观、公正的反映。</w:t>
      </w:r>
    </w:p>
    <w:p w14:paraId="6245D868">
      <w:pPr>
        <w:pStyle w:val="17"/>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1E20A00E">
      <w:pPr>
        <w:pStyle w:val="17"/>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14:paraId="44907564">
      <w:pPr>
        <w:pStyle w:val="17"/>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14:paraId="4C4AFD91">
      <w:pPr>
        <w:pStyle w:val="17"/>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14:paraId="36853E0D">
      <w:pPr>
        <w:shd w:val="clear"/>
        <w:spacing w:line="60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757CEBA8">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14:paraId="5C0CC42F">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75116A58">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14:paraId="598ABEEF">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确定各个指标相对于项目总体绩效的权重分值。在绩效评价指标体系中，项目决策权重为5分，项目过程权重为5分，项目产出权重为50分，项目效益权重为40分。</w:t>
      </w:r>
    </w:p>
    <w:p w14:paraId="7233856D">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14:paraId="0DBAA282">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0FE9DA1E">
      <w:pPr>
        <w:pStyle w:val="17"/>
        <w:shd w:val="clear"/>
        <w:spacing w:before="0" w:after="0" w:line="60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00102587">
      <w:pPr>
        <w:pStyle w:val="17"/>
        <w:widowControl w:val="0"/>
        <w:shd w:val="clear"/>
        <w:spacing w:before="0" w:after="0" w:line="60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14:paraId="1E45854E">
      <w:pPr>
        <w:pStyle w:val="17"/>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14:paraId="55048AB5">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7C7C3E9A">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2D222691">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14:paraId="53A76916">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14:paraId="0D88DCF1">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14:paraId="18C12647">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14:paraId="305E6DCE">
      <w:pPr>
        <w:pStyle w:val="17"/>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14:paraId="2EDD10F9">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绩效评价标准通常包括计划标准、行业标准、历史标准等，用于对绩效指标完成情况进行比较。本次评价主要采用了计划标准和行业标准。</w:t>
      </w:r>
    </w:p>
    <w:p w14:paraId="67F7C390">
      <w:pPr>
        <w:pStyle w:val="17"/>
        <w:numPr>
          <w:ilvl w:val="0"/>
          <w:numId w:val="3"/>
        </w:numPr>
        <w:shd w:val="clear"/>
        <w:spacing w:before="0" w:after="0" w:line="600" w:lineRule="exact"/>
        <w:ind w:firstLine="711" w:firstLineChars="200"/>
        <w:jc w:val="both"/>
        <w:rPr>
          <w:rFonts w:ascii="楷体" w:hAnsi="楷体" w:eastAsia="楷体" w:cs="楷体"/>
          <w:color w:val="000000"/>
          <w:spacing w:val="17"/>
          <w:highlight w:val="none"/>
        </w:rPr>
      </w:pPr>
      <w:r>
        <w:rPr>
          <w:rFonts w:hint="eastAsia" w:ascii="楷体" w:hAnsi="楷体" w:eastAsia="楷体" w:cs="楷体"/>
          <w:color w:val="000000"/>
          <w:spacing w:val="17"/>
          <w:highlight w:val="none"/>
        </w:rPr>
        <w:t>绩效评价工作过程</w:t>
      </w:r>
    </w:p>
    <w:p w14:paraId="1E04E707">
      <w:pPr>
        <w:numPr>
          <w:ilvl w:val="0"/>
          <w:numId w:val="4"/>
        </w:numPr>
        <w:shd w:val="clear"/>
        <w:spacing w:line="600" w:lineRule="exact"/>
        <w:ind w:firstLine="640" w:firstLineChars="200"/>
        <w:rPr>
          <w:rFonts w:eastAsia="仿宋_GB2312"/>
          <w:bCs/>
          <w:sz w:val="32"/>
          <w:szCs w:val="32"/>
          <w:highlight w:val="none"/>
        </w:rPr>
      </w:pP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5243B931">
      <w:pPr>
        <w:numPr>
          <w:ilvl w:val="0"/>
          <w:numId w:val="4"/>
        </w:numPr>
        <w:shd w:val="clear"/>
        <w:spacing w:line="600" w:lineRule="exact"/>
        <w:ind w:firstLine="640" w:firstLineChars="200"/>
        <w:rPr>
          <w:rFonts w:eastAsia="仿宋_GB2312"/>
          <w:bCs/>
          <w:sz w:val="32"/>
          <w:szCs w:val="32"/>
          <w:highlight w:val="none"/>
        </w:rPr>
      </w:pP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7D2D14F1">
      <w:pPr>
        <w:numPr>
          <w:ilvl w:val="0"/>
          <w:numId w:val="4"/>
        </w:numPr>
        <w:shd w:val="clear"/>
        <w:spacing w:line="600" w:lineRule="exact"/>
        <w:ind w:firstLine="640" w:firstLineChars="200"/>
        <w:rPr>
          <w:sz w:val="32"/>
          <w:szCs w:val="32"/>
          <w:highlight w:val="none"/>
        </w:rPr>
      </w:pPr>
      <w:r>
        <w:rPr>
          <w:rFonts w:hint="eastAsia"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3696855E">
      <w:pPr>
        <w:numPr>
          <w:ilvl w:val="0"/>
          <w:numId w:val="5"/>
        </w:numPr>
        <w:shd w:val="clear"/>
        <w:spacing w:line="600" w:lineRule="exact"/>
        <w:ind w:firstLine="640" w:firstLineChars="200"/>
        <w:rPr>
          <w:rFonts w:eastAsia="黑体"/>
          <w:sz w:val="32"/>
          <w:szCs w:val="32"/>
          <w:highlight w:val="none"/>
        </w:rPr>
      </w:pPr>
      <w:r>
        <w:rPr>
          <w:rFonts w:eastAsia="黑体"/>
          <w:sz w:val="32"/>
          <w:szCs w:val="32"/>
          <w:highlight w:val="none"/>
        </w:rPr>
        <w:t>综合评价情况及评价结论（附相关评分表）</w:t>
      </w:r>
    </w:p>
    <w:p w14:paraId="169477AE">
      <w:pPr>
        <w:pStyle w:val="17"/>
        <w:widowControl w:val="0"/>
        <w:shd w:val="clear"/>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highlight w:val="none"/>
        </w:rPr>
        <w:t>对</w:t>
      </w:r>
      <w:r>
        <w:rPr>
          <w:rFonts w:hint="eastAsia" w:ascii="Times New Roman" w:hAnsi="Times New Roman" w:eastAsia="仿宋_GB2312"/>
          <w:b w:val="0"/>
          <w:bCs w:val="0"/>
          <w:highlight w:val="none"/>
          <w:lang w:val="en-US" w:eastAsia="zh-CN"/>
        </w:rPr>
        <w:t>2</w:t>
      </w:r>
      <w:r>
        <w:rPr>
          <w:rFonts w:hint="eastAsia" w:ascii="Times New Roman" w:hAnsi="Times New Roman" w:eastAsia="仿宋_GB2312"/>
          <w:b w:val="0"/>
          <w:bCs w:val="0"/>
          <w:highlight w:val="none"/>
        </w:rPr>
        <w:t>023年自治区无线电安全保障及事业发展专项经费资金</w:t>
      </w:r>
      <w:r>
        <w:rPr>
          <w:rFonts w:ascii="Times New Roman" w:hAnsi="Times New Roman" w:eastAsia="仿宋_GB2312"/>
          <w:b w:val="0"/>
          <w:bCs w:val="0"/>
          <w:highlight w:val="none"/>
        </w:rPr>
        <w:t xml:space="preserve">项目进行客观评价，最终评分结果：总得分为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 xml:space="preserve">分，得分为 </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14:paraId="229B171E">
      <w:pPr>
        <w:shd w:val="clear"/>
        <w:rPr>
          <w:rFonts w:ascii="Times New Roman" w:hAnsi="Times New Roman" w:eastAsia="仿宋_GB2312"/>
          <w:b w:val="0"/>
          <w:bCs w:val="0"/>
        </w:rPr>
      </w:pPr>
    </w:p>
    <w:p w14:paraId="2BFBFF1D">
      <w:pPr>
        <w:pStyle w:val="2"/>
        <w:shd w:val="clear"/>
        <w:rPr>
          <w:rFonts w:ascii="Times New Roman" w:hAnsi="Times New Roman" w:eastAsia="仿宋_GB2312"/>
          <w:b w:val="0"/>
          <w:bCs w:val="0"/>
        </w:rPr>
      </w:pPr>
    </w:p>
    <w:p w14:paraId="3CA38370">
      <w:pPr>
        <w:pStyle w:val="2"/>
        <w:shd w:val="clear"/>
        <w:rPr>
          <w:rFonts w:ascii="Times New Roman" w:hAnsi="Times New Roman" w:eastAsia="仿宋_GB2312"/>
          <w:b w:val="0"/>
          <w:bCs w:val="0"/>
        </w:rPr>
      </w:pPr>
    </w:p>
    <w:p w14:paraId="50030F27">
      <w:pPr>
        <w:pStyle w:val="2"/>
        <w:shd w:val="clear"/>
        <w:rPr>
          <w:rFonts w:ascii="Times New Roman" w:hAnsi="Times New Roman" w:eastAsia="仿宋_GB2312"/>
          <w:b w:val="0"/>
          <w:bCs w:val="0"/>
        </w:rPr>
      </w:pPr>
    </w:p>
    <w:p w14:paraId="5A70817F">
      <w:pPr>
        <w:pStyle w:val="2"/>
        <w:shd w:val="clear"/>
        <w:rPr>
          <w:rFonts w:ascii="Times New Roman" w:hAnsi="Times New Roman" w:eastAsia="仿宋_GB2312"/>
          <w:b w:val="0"/>
          <w:bCs w:val="0"/>
        </w:rPr>
      </w:pPr>
    </w:p>
    <w:p w14:paraId="53A6CBB6">
      <w:pPr>
        <w:pStyle w:val="2"/>
        <w:shd w:val="clear"/>
        <w:rPr>
          <w:rFonts w:ascii="Times New Roman" w:hAnsi="Times New Roman" w:eastAsia="仿宋_GB2312"/>
          <w:b w:val="0"/>
          <w:bCs w:val="0"/>
        </w:rPr>
      </w:pPr>
    </w:p>
    <w:p w14:paraId="4943C9DD">
      <w:pPr>
        <w:pStyle w:val="2"/>
        <w:shd w:val="clear"/>
        <w:rPr>
          <w:rFonts w:ascii="Times New Roman" w:hAnsi="Times New Roman" w:eastAsia="仿宋_GB2312"/>
          <w:b w:val="0"/>
          <w:bCs w:val="0"/>
        </w:rPr>
      </w:pPr>
    </w:p>
    <w:p w14:paraId="12FA2087">
      <w:pPr>
        <w:pStyle w:val="2"/>
        <w:shd w:val="clear"/>
        <w:rPr>
          <w:rFonts w:ascii="Times New Roman" w:hAnsi="Times New Roman" w:eastAsia="仿宋_GB2312"/>
          <w:b w:val="0"/>
          <w:bCs w:val="0"/>
        </w:rPr>
      </w:pPr>
    </w:p>
    <w:p w14:paraId="1C187238">
      <w:pPr>
        <w:pStyle w:val="2"/>
        <w:shd w:val="clear"/>
        <w:rPr>
          <w:rFonts w:ascii="Times New Roman" w:hAnsi="Times New Roman" w:eastAsia="仿宋_GB2312"/>
          <w:b w:val="0"/>
          <w:bCs w:val="0"/>
        </w:rPr>
      </w:pPr>
    </w:p>
    <w:p w14:paraId="600869E3">
      <w:pPr>
        <w:pStyle w:val="17"/>
        <w:shd w:val="clear"/>
        <w:rPr>
          <w:rFonts w:ascii="Times New Roman" w:hAnsi="Times New Roman" w:eastAsia="仿宋_GB2312"/>
          <w:sz w:val="30"/>
          <w:szCs w:val="30"/>
        </w:rPr>
      </w:pPr>
      <w:r>
        <w:rPr>
          <w:rFonts w:ascii="Times New Roman" w:hAnsi="Times New Roman" w:eastAsia="仿宋_GB2312"/>
          <w:sz w:val="30"/>
          <w:szCs w:val="30"/>
        </w:rPr>
        <w:t>表1综合评分表</w:t>
      </w:r>
    </w:p>
    <w:p w14:paraId="769039CE">
      <w:pPr>
        <w:shd w:val="clear"/>
      </w:pPr>
    </w:p>
    <w:p w14:paraId="3808C0DA">
      <w:pPr>
        <w:shd w:val="clear"/>
      </w:pPr>
    </w:p>
    <w:tbl>
      <w:tblPr>
        <w:tblStyle w:val="20"/>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5BC09C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324FD32F">
            <w:pPr>
              <w:widowControl/>
              <w:shd w:val="clear"/>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14:paraId="525889BB">
            <w:pPr>
              <w:widowControl/>
              <w:shd w:val="clear"/>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14:paraId="0048B22F">
            <w:pPr>
              <w:widowControl/>
              <w:shd w:val="clear"/>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14:paraId="6A5EA414">
            <w:pPr>
              <w:widowControl/>
              <w:shd w:val="clear"/>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14:paraId="32676E88">
            <w:pPr>
              <w:widowControl/>
              <w:shd w:val="clear"/>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14:paraId="6FAC99D8">
            <w:pPr>
              <w:widowControl/>
              <w:shd w:val="clear"/>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14:paraId="0D60B066">
            <w:pPr>
              <w:widowControl/>
              <w:shd w:val="clear"/>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14:paraId="65E18E15">
            <w:pPr>
              <w:widowControl/>
              <w:shd w:val="clear"/>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14:paraId="654D3848">
            <w:pPr>
              <w:widowControl/>
              <w:shd w:val="clear"/>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14:paraId="2FBF1D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5B9747D5">
            <w:pPr>
              <w:widowControl/>
              <w:shd w:val="clear"/>
              <w:spacing w:line="0" w:lineRule="atLeast"/>
              <w:jc w:val="center"/>
              <w:rPr>
                <w:color w:val="000000"/>
                <w:kern w:val="0"/>
                <w:sz w:val="22"/>
                <w:szCs w:val="22"/>
              </w:rPr>
            </w:pPr>
            <w:bookmarkStart w:id="2" w:name="_GoBack" w:colFirst="4" w:colLast="8"/>
            <w:r>
              <w:rPr>
                <w:color w:val="000000"/>
                <w:kern w:val="0"/>
                <w:sz w:val="22"/>
                <w:szCs w:val="22"/>
              </w:rPr>
              <w:t>决策　</w:t>
            </w:r>
          </w:p>
          <w:p w14:paraId="23DD7AFF">
            <w:pPr>
              <w:widowControl/>
              <w:shd w:val="clear"/>
              <w:spacing w:line="0" w:lineRule="atLeast"/>
              <w:jc w:val="center"/>
              <w:rPr>
                <w:color w:val="000000"/>
                <w:kern w:val="0"/>
                <w:sz w:val="22"/>
                <w:szCs w:val="22"/>
              </w:rPr>
            </w:pPr>
            <w:r>
              <w:rPr>
                <w:color w:val="000000"/>
                <w:kern w:val="0"/>
                <w:sz w:val="22"/>
                <w:szCs w:val="22"/>
              </w:rPr>
              <w:t>　</w:t>
            </w:r>
          </w:p>
          <w:p w14:paraId="407A163F">
            <w:pPr>
              <w:shd w:val="clear"/>
              <w:spacing w:line="0" w:lineRule="atLeast"/>
              <w:jc w:val="center"/>
              <w:rPr>
                <w:color w:val="000000"/>
                <w:kern w:val="0"/>
                <w:sz w:val="22"/>
                <w:szCs w:val="22"/>
              </w:rPr>
            </w:pPr>
            <w:r>
              <w:rPr>
                <w:color w:val="000000"/>
                <w:kern w:val="0"/>
                <w:sz w:val="22"/>
                <w:szCs w:val="22"/>
              </w:rPr>
              <w:t>　</w:t>
            </w:r>
          </w:p>
          <w:p w14:paraId="2F9FAF1D">
            <w:pPr>
              <w:widowControl/>
              <w:shd w:val="clea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14:paraId="1CC9E659">
            <w:pPr>
              <w:widowControl/>
              <w:shd w:val="clear"/>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14:paraId="632BCC9C">
            <w:pPr>
              <w:widowControl/>
              <w:shd w:val="clear"/>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14:paraId="21E6C1EC">
            <w:pPr>
              <w:widowControl/>
              <w:shd w:val="clear"/>
              <w:spacing w:line="0" w:lineRule="atLeast"/>
              <w:jc w:val="center"/>
              <w:rPr>
                <w:color w:val="000000"/>
                <w:kern w:val="0"/>
                <w:sz w:val="22"/>
                <w:szCs w:val="22"/>
              </w:rPr>
            </w:pPr>
            <w:r>
              <w:rPr>
                <w:color w:val="000000"/>
                <w:kern w:val="0"/>
                <w:sz w:val="22"/>
                <w:szCs w:val="22"/>
              </w:rPr>
              <w:t>立项依据</w:t>
            </w:r>
          </w:p>
          <w:p w14:paraId="60BEF294">
            <w:pPr>
              <w:widowControl/>
              <w:shd w:val="clear"/>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14:paraId="7FAF9AE6">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14:paraId="126072DB">
            <w:pPr>
              <w:widowControl/>
              <w:shd w:val="clear"/>
              <w:spacing w:line="0" w:lineRule="atLeast"/>
              <w:jc w:val="center"/>
              <w:rPr>
                <w:color w:val="000000"/>
                <w:kern w:val="0"/>
                <w:sz w:val="22"/>
                <w:szCs w:val="22"/>
                <w:highlight w:val="none"/>
              </w:rPr>
            </w:pPr>
            <w:r>
              <w:rPr>
                <w:color w:val="000000"/>
                <w:kern w:val="0"/>
                <w:sz w:val="22"/>
                <w:szCs w:val="22"/>
                <w:highlight w:val="none"/>
              </w:rPr>
              <w:t>充分</w:t>
            </w:r>
          </w:p>
        </w:tc>
        <w:tc>
          <w:tcPr>
            <w:tcW w:w="924" w:type="dxa"/>
            <w:shd w:val="clear" w:color="auto" w:fill="FFFFFF"/>
            <w:vAlign w:val="center"/>
          </w:tcPr>
          <w:p w14:paraId="09BEB6C1">
            <w:pPr>
              <w:widowControl/>
              <w:shd w:val="clear"/>
              <w:spacing w:line="0" w:lineRule="atLeast"/>
              <w:jc w:val="center"/>
              <w:rPr>
                <w:color w:val="000000"/>
                <w:kern w:val="0"/>
                <w:sz w:val="22"/>
                <w:szCs w:val="22"/>
                <w:highlight w:val="none"/>
              </w:rPr>
            </w:pPr>
            <w:r>
              <w:rPr>
                <w:color w:val="000000"/>
                <w:kern w:val="0"/>
                <w:sz w:val="22"/>
                <w:szCs w:val="22"/>
                <w:highlight w:val="none"/>
              </w:rPr>
              <w:t>充分</w:t>
            </w:r>
          </w:p>
        </w:tc>
        <w:tc>
          <w:tcPr>
            <w:tcW w:w="1215" w:type="dxa"/>
            <w:shd w:val="clear" w:color="auto" w:fill="FFFFFF"/>
            <w:vAlign w:val="center"/>
          </w:tcPr>
          <w:p w14:paraId="65F26D8F">
            <w:pPr>
              <w:widowControl/>
              <w:shd w:val="clear"/>
              <w:spacing w:line="0" w:lineRule="atLeast"/>
              <w:jc w:val="center"/>
              <w:rPr>
                <w:rFonts w:hint="eastAsia"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960" w:type="dxa"/>
            <w:shd w:val="clear" w:color="auto" w:fill="FFFFFF"/>
            <w:vAlign w:val="center"/>
          </w:tcPr>
          <w:p w14:paraId="6C8F424E">
            <w:pPr>
              <w:widowControl/>
              <w:shd w:val="clear"/>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4E7F89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F9DEF34">
            <w:pPr>
              <w:shd w:val="clear"/>
              <w:spacing w:line="0" w:lineRule="atLeast"/>
              <w:jc w:val="center"/>
              <w:rPr>
                <w:color w:val="000000"/>
                <w:kern w:val="0"/>
                <w:sz w:val="22"/>
                <w:szCs w:val="22"/>
              </w:rPr>
            </w:pPr>
          </w:p>
        </w:tc>
        <w:tc>
          <w:tcPr>
            <w:tcW w:w="990" w:type="dxa"/>
            <w:vMerge w:val="continue"/>
            <w:shd w:val="clear" w:color="auto" w:fill="FFFFFF"/>
            <w:vAlign w:val="center"/>
          </w:tcPr>
          <w:p w14:paraId="592499EE">
            <w:pPr>
              <w:widowControl/>
              <w:shd w:val="clear"/>
              <w:spacing w:line="0" w:lineRule="atLeast"/>
              <w:jc w:val="center"/>
              <w:rPr>
                <w:color w:val="000000"/>
                <w:kern w:val="0"/>
                <w:sz w:val="22"/>
                <w:szCs w:val="22"/>
              </w:rPr>
            </w:pPr>
          </w:p>
        </w:tc>
        <w:tc>
          <w:tcPr>
            <w:tcW w:w="1283" w:type="dxa"/>
            <w:vMerge w:val="continue"/>
            <w:shd w:val="clear" w:color="auto" w:fill="FFFFFF"/>
            <w:vAlign w:val="center"/>
          </w:tcPr>
          <w:p w14:paraId="7AEA51FC">
            <w:pPr>
              <w:widowControl/>
              <w:shd w:val="clear"/>
              <w:spacing w:line="0" w:lineRule="atLeast"/>
              <w:jc w:val="center"/>
              <w:rPr>
                <w:color w:val="000000"/>
                <w:kern w:val="0"/>
                <w:sz w:val="22"/>
                <w:szCs w:val="22"/>
              </w:rPr>
            </w:pPr>
          </w:p>
        </w:tc>
        <w:tc>
          <w:tcPr>
            <w:tcW w:w="1707" w:type="dxa"/>
            <w:shd w:val="clear" w:color="auto" w:fill="FFFFFF"/>
            <w:vAlign w:val="center"/>
          </w:tcPr>
          <w:p w14:paraId="2C79562D">
            <w:pPr>
              <w:widowControl/>
              <w:shd w:val="clear"/>
              <w:spacing w:line="0" w:lineRule="atLeast"/>
              <w:jc w:val="center"/>
              <w:rPr>
                <w:color w:val="000000"/>
                <w:kern w:val="0"/>
                <w:sz w:val="22"/>
                <w:szCs w:val="22"/>
              </w:rPr>
            </w:pPr>
            <w:r>
              <w:rPr>
                <w:color w:val="000000"/>
                <w:kern w:val="0"/>
                <w:sz w:val="22"/>
                <w:szCs w:val="22"/>
              </w:rPr>
              <w:t>立项程序</w:t>
            </w:r>
          </w:p>
          <w:p w14:paraId="7C551B8D">
            <w:pPr>
              <w:widowControl/>
              <w:shd w:val="clear"/>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14:paraId="4E6F78D4">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14:paraId="35ACB974">
            <w:pPr>
              <w:widowControl/>
              <w:shd w:val="clear"/>
              <w:spacing w:line="0" w:lineRule="atLeast"/>
              <w:jc w:val="center"/>
              <w:rPr>
                <w:color w:val="000000"/>
                <w:kern w:val="0"/>
                <w:sz w:val="22"/>
                <w:szCs w:val="22"/>
                <w:highlight w:val="none"/>
              </w:rPr>
            </w:pPr>
            <w:r>
              <w:rPr>
                <w:color w:val="000000"/>
                <w:kern w:val="0"/>
                <w:sz w:val="22"/>
                <w:szCs w:val="22"/>
                <w:highlight w:val="none"/>
              </w:rPr>
              <w:t>规范</w:t>
            </w:r>
          </w:p>
        </w:tc>
        <w:tc>
          <w:tcPr>
            <w:tcW w:w="924" w:type="dxa"/>
            <w:shd w:val="clear" w:color="auto" w:fill="FFFFFF"/>
            <w:vAlign w:val="center"/>
          </w:tcPr>
          <w:p w14:paraId="4C500004">
            <w:pPr>
              <w:widowControl/>
              <w:shd w:val="clear"/>
              <w:spacing w:line="0" w:lineRule="atLeast"/>
              <w:jc w:val="center"/>
              <w:rPr>
                <w:color w:val="000000"/>
                <w:kern w:val="0"/>
                <w:sz w:val="22"/>
                <w:szCs w:val="22"/>
                <w:highlight w:val="none"/>
              </w:rPr>
            </w:pPr>
            <w:r>
              <w:rPr>
                <w:color w:val="000000"/>
                <w:kern w:val="0"/>
                <w:sz w:val="22"/>
                <w:szCs w:val="22"/>
                <w:highlight w:val="none"/>
              </w:rPr>
              <w:t>规范</w:t>
            </w:r>
          </w:p>
        </w:tc>
        <w:tc>
          <w:tcPr>
            <w:tcW w:w="1215" w:type="dxa"/>
            <w:shd w:val="clear" w:color="auto" w:fill="FFFFFF"/>
            <w:vAlign w:val="center"/>
          </w:tcPr>
          <w:p w14:paraId="52D2E2DA">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3729B506">
            <w:pPr>
              <w:widowControl/>
              <w:shd w:val="clear"/>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348897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BA74101">
            <w:pPr>
              <w:shd w:val="clear"/>
              <w:spacing w:line="0" w:lineRule="atLeast"/>
              <w:jc w:val="center"/>
              <w:rPr>
                <w:color w:val="000000"/>
                <w:kern w:val="0"/>
                <w:sz w:val="22"/>
                <w:szCs w:val="22"/>
              </w:rPr>
            </w:pPr>
          </w:p>
        </w:tc>
        <w:tc>
          <w:tcPr>
            <w:tcW w:w="990" w:type="dxa"/>
            <w:vMerge w:val="continue"/>
            <w:shd w:val="clear" w:color="auto" w:fill="FFFFFF"/>
            <w:vAlign w:val="center"/>
          </w:tcPr>
          <w:p w14:paraId="266F76CF">
            <w:pPr>
              <w:widowControl/>
              <w:shd w:val="clear"/>
              <w:spacing w:line="0" w:lineRule="atLeast"/>
              <w:jc w:val="center"/>
              <w:rPr>
                <w:color w:val="000000"/>
                <w:kern w:val="0"/>
                <w:sz w:val="22"/>
                <w:szCs w:val="22"/>
              </w:rPr>
            </w:pPr>
          </w:p>
        </w:tc>
        <w:tc>
          <w:tcPr>
            <w:tcW w:w="1283" w:type="dxa"/>
            <w:vMerge w:val="restart"/>
            <w:shd w:val="clear" w:color="auto" w:fill="FFFFFF"/>
            <w:vAlign w:val="center"/>
          </w:tcPr>
          <w:p w14:paraId="2C82BF66">
            <w:pPr>
              <w:widowControl/>
              <w:shd w:val="clear"/>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14:paraId="0496B049">
            <w:pPr>
              <w:widowControl/>
              <w:shd w:val="clear"/>
              <w:spacing w:line="0" w:lineRule="atLeast"/>
              <w:jc w:val="center"/>
              <w:rPr>
                <w:color w:val="000000"/>
                <w:kern w:val="0"/>
                <w:sz w:val="22"/>
                <w:szCs w:val="22"/>
              </w:rPr>
            </w:pPr>
            <w:r>
              <w:rPr>
                <w:color w:val="000000"/>
                <w:kern w:val="0"/>
                <w:sz w:val="22"/>
                <w:szCs w:val="22"/>
              </w:rPr>
              <w:t>绩效目标</w:t>
            </w:r>
          </w:p>
          <w:p w14:paraId="597ABFB2">
            <w:pPr>
              <w:widowControl/>
              <w:shd w:val="clear"/>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14:paraId="0A2219DD">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60D43C2E">
            <w:pPr>
              <w:widowControl/>
              <w:shd w:val="clear"/>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000000" w:fill="FFFFFF"/>
            <w:vAlign w:val="center"/>
          </w:tcPr>
          <w:p w14:paraId="15202BBE">
            <w:pPr>
              <w:widowControl/>
              <w:shd w:val="clear"/>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000000" w:fill="FFFFFF"/>
            <w:vAlign w:val="center"/>
          </w:tcPr>
          <w:p w14:paraId="01CC57C3">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5CCD8D05">
            <w:pPr>
              <w:widowControl/>
              <w:shd w:val="clear"/>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35B152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CB49AB7">
            <w:pPr>
              <w:widowControl/>
              <w:shd w:val="clear"/>
              <w:spacing w:line="0" w:lineRule="atLeast"/>
              <w:jc w:val="center"/>
              <w:rPr>
                <w:color w:val="000000"/>
                <w:kern w:val="0"/>
                <w:sz w:val="22"/>
                <w:szCs w:val="22"/>
              </w:rPr>
            </w:pPr>
          </w:p>
        </w:tc>
        <w:tc>
          <w:tcPr>
            <w:tcW w:w="990" w:type="dxa"/>
            <w:vMerge w:val="continue"/>
            <w:shd w:val="clear" w:color="auto" w:fill="FFFFFF"/>
            <w:vAlign w:val="center"/>
          </w:tcPr>
          <w:p w14:paraId="2B881286">
            <w:pPr>
              <w:widowControl/>
              <w:shd w:val="clear"/>
              <w:spacing w:line="0" w:lineRule="atLeast"/>
              <w:jc w:val="center"/>
              <w:rPr>
                <w:color w:val="000000"/>
                <w:kern w:val="0"/>
                <w:sz w:val="22"/>
                <w:szCs w:val="22"/>
              </w:rPr>
            </w:pPr>
          </w:p>
        </w:tc>
        <w:tc>
          <w:tcPr>
            <w:tcW w:w="1283" w:type="dxa"/>
            <w:vMerge w:val="continue"/>
            <w:shd w:val="clear" w:color="auto" w:fill="FFFFFF"/>
            <w:vAlign w:val="center"/>
          </w:tcPr>
          <w:p w14:paraId="2CB5B7D2">
            <w:pPr>
              <w:widowControl/>
              <w:shd w:val="clear"/>
              <w:spacing w:line="0" w:lineRule="atLeast"/>
              <w:jc w:val="center"/>
              <w:rPr>
                <w:color w:val="000000"/>
                <w:kern w:val="0"/>
                <w:sz w:val="22"/>
                <w:szCs w:val="22"/>
              </w:rPr>
            </w:pPr>
          </w:p>
        </w:tc>
        <w:tc>
          <w:tcPr>
            <w:tcW w:w="1707" w:type="dxa"/>
            <w:shd w:val="clear" w:color="auto" w:fill="FFFFFF"/>
            <w:vAlign w:val="center"/>
          </w:tcPr>
          <w:p w14:paraId="65607674">
            <w:pPr>
              <w:widowControl/>
              <w:shd w:val="clear"/>
              <w:spacing w:line="0" w:lineRule="atLeast"/>
              <w:jc w:val="center"/>
              <w:rPr>
                <w:color w:val="000000"/>
                <w:kern w:val="0"/>
                <w:sz w:val="22"/>
                <w:szCs w:val="22"/>
              </w:rPr>
            </w:pPr>
            <w:r>
              <w:rPr>
                <w:color w:val="000000"/>
                <w:kern w:val="0"/>
                <w:sz w:val="22"/>
                <w:szCs w:val="22"/>
              </w:rPr>
              <w:t>绩效指标</w:t>
            </w:r>
          </w:p>
          <w:p w14:paraId="2D2B9E5B">
            <w:pPr>
              <w:widowControl/>
              <w:shd w:val="clear"/>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14:paraId="2B1F3758">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000000" w:fill="FFFFFF"/>
            <w:vAlign w:val="center"/>
          </w:tcPr>
          <w:p w14:paraId="4F93EFCB">
            <w:pPr>
              <w:widowControl/>
              <w:shd w:val="clear"/>
              <w:spacing w:line="0" w:lineRule="atLeast"/>
              <w:jc w:val="center"/>
              <w:rPr>
                <w:color w:val="000000"/>
                <w:kern w:val="0"/>
                <w:sz w:val="22"/>
                <w:szCs w:val="22"/>
                <w:highlight w:val="none"/>
              </w:rPr>
            </w:pPr>
            <w:r>
              <w:rPr>
                <w:color w:val="000000"/>
                <w:kern w:val="0"/>
                <w:sz w:val="22"/>
                <w:szCs w:val="22"/>
                <w:highlight w:val="none"/>
              </w:rPr>
              <w:t>明确</w:t>
            </w:r>
          </w:p>
        </w:tc>
        <w:tc>
          <w:tcPr>
            <w:tcW w:w="924" w:type="dxa"/>
            <w:shd w:val="clear" w:color="000000" w:fill="FFFFFF"/>
            <w:vAlign w:val="center"/>
          </w:tcPr>
          <w:p w14:paraId="56C59346">
            <w:pPr>
              <w:widowControl/>
              <w:shd w:val="clear"/>
              <w:spacing w:line="0" w:lineRule="atLeast"/>
              <w:jc w:val="center"/>
              <w:rPr>
                <w:color w:val="000000"/>
                <w:kern w:val="0"/>
                <w:sz w:val="22"/>
                <w:szCs w:val="22"/>
                <w:highlight w:val="none"/>
              </w:rPr>
            </w:pPr>
            <w:r>
              <w:rPr>
                <w:color w:val="000000"/>
                <w:kern w:val="0"/>
                <w:sz w:val="22"/>
                <w:szCs w:val="22"/>
                <w:highlight w:val="none"/>
              </w:rPr>
              <w:t>明确</w:t>
            </w:r>
          </w:p>
        </w:tc>
        <w:tc>
          <w:tcPr>
            <w:tcW w:w="1215" w:type="dxa"/>
            <w:shd w:val="clear" w:color="000000" w:fill="FFFFFF"/>
            <w:vAlign w:val="center"/>
          </w:tcPr>
          <w:p w14:paraId="02965124">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3E3F9117">
            <w:pPr>
              <w:widowControl/>
              <w:shd w:val="clear"/>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7393E1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220A938">
            <w:pPr>
              <w:shd w:val="clear"/>
              <w:spacing w:line="0" w:lineRule="atLeast"/>
              <w:jc w:val="center"/>
              <w:rPr>
                <w:color w:val="000000"/>
                <w:kern w:val="0"/>
                <w:sz w:val="22"/>
                <w:szCs w:val="22"/>
              </w:rPr>
            </w:pPr>
          </w:p>
        </w:tc>
        <w:tc>
          <w:tcPr>
            <w:tcW w:w="990" w:type="dxa"/>
            <w:vMerge w:val="continue"/>
            <w:shd w:val="clear" w:color="auto" w:fill="FFFFFF"/>
            <w:vAlign w:val="center"/>
          </w:tcPr>
          <w:p w14:paraId="4D518205">
            <w:pPr>
              <w:shd w:val="clear"/>
              <w:spacing w:line="0" w:lineRule="atLeast"/>
              <w:jc w:val="center"/>
              <w:rPr>
                <w:color w:val="000000"/>
                <w:kern w:val="0"/>
                <w:sz w:val="22"/>
                <w:szCs w:val="22"/>
              </w:rPr>
            </w:pPr>
          </w:p>
        </w:tc>
        <w:tc>
          <w:tcPr>
            <w:tcW w:w="1283" w:type="dxa"/>
            <w:vMerge w:val="restart"/>
            <w:shd w:val="clear" w:color="auto" w:fill="FFFFFF"/>
            <w:vAlign w:val="center"/>
          </w:tcPr>
          <w:p w14:paraId="77D82AF1">
            <w:pPr>
              <w:widowControl/>
              <w:shd w:val="clear"/>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14:paraId="2783DC6D">
            <w:pPr>
              <w:widowControl/>
              <w:shd w:val="clear"/>
              <w:spacing w:line="0" w:lineRule="atLeast"/>
              <w:jc w:val="center"/>
              <w:rPr>
                <w:color w:val="000000"/>
                <w:kern w:val="0"/>
                <w:sz w:val="22"/>
                <w:szCs w:val="22"/>
              </w:rPr>
            </w:pPr>
            <w:r>
              <w:rPr>
                <w:color w:val="000000"/>
                <w:kern w:val="0"/>
                <w:sz w:val="22"/>
                <w:szCs w:val="22"/>
              </w:rPr>
              <w:t>预算编制</w:t>
            </w:r>
          </w:p>
          <w:p w14:paraId="44E3141F">
            <w:pPr>
              <w:widowControl/>
              <w:shd w:val="clear"/>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14:paraId="085CCE1E">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auto" w:fill="FFFFFF"/>
            <w:vAlign w:val="center"/>
          </w:tcPr>
          <w:p w14:paraId="1E1355A9">
            <w:pPr>
              <w:widowControl/>
              <w:shd w:val="clear"/>
              <w:spacing w:line="0" w:lineRule="atLeast"/>
              <w:jc w:val="center"/>
              <w:rPr>
                <w:color w:val="000000"/>
                <w:kern w:val="0"/>
                <w:sz w:val="22"/>
                <w:szCs w:val="22"/>
                <w:highlight w:val="none"/>
              </w:rPr>
            </w:pPr>
            <w:r>
              <w:rPr>
                <w:color w:val="000000"/>
                <w:kern w:val="0"/>
                <w:sz w:val="22"/>
                <w:szCs w:val="22"/>
                <w:highlight w:val="none"/>
              </w:rPr>
              <w:t>科学</w:t>
            </w:r>
          </w:p>
        </w:tc>
        <w:tc>
          <w:tcPr>
            <w:tcW w:w="924" w:type="dxa"/>
            <w:shd w:val="clear" w:color="auto" w:fill="FFFFFF"/>
            <w:vAlign w:val="center"/>
          </w:tcPr>
          <w:p w14:paraId="43B77FE2">
            <w:pPr>
              <w:widowControl/>
              <w:shd w:val="clear"/>
              <w:spacing w:line="0" w:lineRule="atLeast"/>
              <w:jc w:val="center"/>
              <w:rPr>
                <w:color w:val="000000"/>
                <w:kern w:val="0"/>
                <w:sz w:val="22"/>
                <w:szCs w:val="22"/>
                <w:highlight w:val="none"/>
              </w:rPr>
            </w:pPr>
            <w:r>
              <w:rPr>
                <w:color w:val="000000"/>
                <w:kern w:val="0"/>
                <w:sz w:val="22"/>
                <w:szCs w:val="22"/>
                <w:highlight w:val="none"/>
              </w:rPr>
              <w:t>科学</w:t>
            </w:r>
          </w:p>
        </w:tc>
        <w:tc>
          <w:tcPr>
            <w:tcW w:w="1215" w:type="dxa"/>
            <w:shd w:val="clear" w:color="auto" w:fill="FFFFFF"/>
            <w:vAlign w:val="center"/>
          </w:tcPr>
          <w:p w14:paraId="303160DA">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265EDE13">
            <w:pPr>
              <w:widowControl/>
              <w:shd w:val="clear"/>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2D6B61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5F4E17F">
            <w:pPr>
              <w:widowControl/>
              <w:shd w:val="clear"/>
              <w:spacing w:line="0" w:lineRule="atLeast"/>
              <w:jc w:val="center"/>
              <w:rPr>
                <w:color w:val="000000"/>
                <w:kern w:val="0"/>
                <w:sz w:val="22"/>
                <w:szCs w:val="22"/>
              </w:rPr>
            </w:pPr>
          </w:p>
        </w:tc>
        <w:tc>
          <w:tcPr>
            <w:tcW w:w="990" w:type="dxa"/>
            <w:vMerge w:val="continue"/>
            <w:shd w:val="clear" w:color="auto" w:fill="FFFFFF"/>
            <w:vAlign w:val="center"/>
          </w:tcPr>
          <w:p w14:paraId="7CAD45F4">
            <w:pPr>
              <w:widowControl/>
              <w:shd w:val="clear"/>
              <w:spacing w:line="0" w:lineRule="atLeast"/>
              <w:jc w:val="center"/>
              <w:rPr>
                <w:color w:val="000000"/>
                <w:kern w:val="0"/>
                <w:sz w:val="22"/>
                <w:szCs w:val="22"/>
              </w:rPr>
            </w:pPr>
          </w:p>
        </w:tc>
        <w:tc>
          <w:tcPr>
            <w:tcW w:w="1283" w:type="dxa"/>
            <w:vMerge w:val="continue"/>
            <w:shd w:val="clear" w:color="auto" w:fill="FFFFFF"/>
            <w:vAlign w:val="center"/>
          </w:tcPr>
          <w:p w14:paraId="48FCC6FC">
            <w:pPr>
              <w:widowControl/>
              <w:shd w:val="clear"/>
              <w:spacing w:line="0" w:lineRule="atLeast"/>
              <w:jc w:val="center"/>
              <w:rPr>
                <w:color w:val="000000"/>
                <w:kern w:val="0"/>
                <w:sz w:val="22"/>
                <w:szCs w:val="22"/>
              </w:rPr>
            </w:pPr>
          </w:p>
        </w:tc>
        <w:tc>
          <w:tcPr>
            <w:tcW w:w="1707" w:type="dxa"/>
            <w:shd w:val="clear" w:color="auto" w:fill="FFFFFF"/>
            <w:vAlign w:val="center"/>
          </w:tcPr>
          <w:p w14:paraId="16CDB718">
            <w:pPr>
              <w:widowControl/>
              <w:shd w:val="clear"/>
              <w:spacing w:line="0" w:lineRule="atLeast"/>
              <w:jc w:val="center"/>
              <w:rPr>
                <w:color w:val="000000"/>
                <w:kern w:val="0"/>
                <w:sz w:val="22"/>
                <w:szCs w:val="22"/>
              </w:rPr>
            </w:pPr>
            <w:r>
              <w:rPr>
                <w:color w:val="000000"/>
                <w:kern w:val="0"/>
                <w:sz w:val="22"/>
                <w:szCs w:val="22"/>
              </w:rPr>
              <w:t>资金分配</w:t>
            </w:r>
          </w:p>
          <w:p w14:paraId="642EFCBD">
            <w:pPr>
              <w:widowControl/>
              <w:shd w:val="clear"/>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14:paraId="763F22E3">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14:paraId="35CCE1AF">
            <w:pPr>
              <w:widowControl/>
              <w:shd w:val="clear"/>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auto" w:fill="FFFFFF"/>
            <w:vAlign w:val="center"/>
          </w:tcPr>
          <w:p w14:paraId="5999E024">
            <w:pPr>
              <w:widowControl/>
              <w:shd w:val="clear"/>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auto" w:fill="FFFFFF"/>
            <w:vAlign w:val="center"/>
          </w:tcPr>
          <w:p w14:paraId="76B66F76">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491413C9">
            <w:pPr>
              <w:widowControl/>
              <w:shd w:val="clear"/>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36BF93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37DCDDC7">
            <w:pPr>
              <w:shd w:val="clear"/>
              <w:spacing w:line="0" w:lineRule="atLeast"/>
              <w:jc w:val="center"/>
              <w:rPr>
                <w:color w:val="000000"/>
                <w:kern w:val="0"/>
                <w:sz w:val="22"/>
                <w:szCs w:val="22"/>
              </w:rPr>
            </w:pPr>
            <w:r>
              <w:rPr>
                <w:color w:val="000000"/>
                <w:kern w:val="0"/>
                <w:sz w:val="22"/>
                <w:szCs w:val="22"/>
              </w:rPr>
              <w:t>过程</w:t>
            </w:r>
          </w:p>
          <w:p w14:paraId="3AF30FC8">
            <w:pPr>
              <w:shd w:val="clea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14:paraId="0E5E9E22">
            <w:pPr>
              <w:widowControl/>
              <w:shd w:val="clear"/>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14:paraId="61346582">
            <w:pPr>
              <w:widowControl/>
              <w:shd w:val="clear"/>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14:paraId="2D57577B">
            <w:pPr>
              <w:widowControl/>
              <w:shd w:val="clear"/>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14:paraId="18378B86">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0D083BF9">
            <w:pPr>
              <w:widowControl/>
              <w:shd w:val="clear"/>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786903B8">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14:paraId="1F3FE8E1">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01CBEE34">
            <w:pPr>
              <w:widowControl/>
              <w:shd w:val="clear"/>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4AAFC3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66CC8C3">
            <w:pPr>
              <w:shd w:val="clear"/>
              <w:spacing w:line="0" w:lineRule="atLeast"/>
              <w:jc w:val="center"/>
              <w:rPr>
                <w:color w:val="000000"/>
                <w:kern w:val="0"/>
                <w:sz w:val="22"/>
                <w:szCs w:val="22"/>
              </w:rPr>
            </w:pPr>
          </w:p>
        </w:tc>
        <w:tc>
          <w:tcPr>
            <w:tcW w:w="990" w:type="dxa"/>
            <w:vMerge w:val="continue"/>
            <w:shd w:val="clear" w:color="auto" w:fill="FFFFFF"/>
            <w:vAlign w:val="center"/>
          </w:tcPr>
          <w:p w14:paraId="49662E23">
            <w:pPr>
              <w:shd w:val="clear"/>
              <w:spacing w:line="0" w:lineRule="atLeast"/>
              <w:jc w:val="center"/>
              <w:rPr>
                <w:color w:val="000000"/>
                <w:kern w:val="0"/>
                <w:sz w:val="22"/>
                <w:szCs w:val="22"/>
              </w:rPr>
            </w:pPr>
          </w:p>
        </w:tc>
        <w:tc>
          <w:tcPr>
            <w:tcW w:w="1283" w:type="dxa"/>
            <w:vMerge w:val="continue"/>
            <w:shd w:val="clear" w:color="auto" w:fill="FFFFFF"/>
            <w:vAlign w:val="center"/>
          </w:tcPr>
          <w:p w14:paraId="51288D67">
            <w:pPr>
              <w:shd w:val="clear"/>
              <w:spacing w:line="0" w:lineRule="atLeast"/>
              <w:jc w:val="center"/>
              <w:rPr>
                <w:color w:val="000000"/>
                <w:kern w:val="0"/>
                <w:sz w:val="22"/>
                <w:szCs w:val="22"/>
              </w:rPr>
            </w:pPr>
          </w:p>
        </w:tc>
        <w:tc>
          <w:tcPr>
            <w:tcW w:w="1707" w:type="dxa"/>
            <w:shd w:val="clear" w:color="auto" w:fill="FFFFFF"/>
            <w:vAlign w:val="center"/>
          </w:tcPr>
          <w:p w14:paraId="4B830E45">
            <w:pPr>
              <w:widowControl/>
              <w:shd w:val="clear"/>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14:paraId="77B73E0A">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auto" w:fill="FFFFFF"/>
            <w:vAlign w:val="center"/>
          </w:tcPr>
          <w:p w14:paraId="23E767EE">
            <w:pPr>
              <w:widowControl/>
              <w:shd w:val="clear"/>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auto" w:fill="FFFFFF"/>
            <w:vAlign w:val="center"/>
          </w:tcPr>
          <w:p w14:paraId="23559D52">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auto" w:fill="FFFFFF"/>
            <w:vAlign w:val="center"/>
          </w:tcPr>
          <w:p w14:paraId="20796F61">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7FD13534">
            <w:pPr>
              <w:widowControl/>
              <w:shd w:val="clear"/>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226569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FFC1A6C">
            <w:pPr>
              <w:shd w:val="clear"/>
              <w:spacing w:line="0" w:lineRule="atLeast"/>
              <w:jc w:val="center"/>
              <w:rPr>
                <w:color w:val="000000"/>
                <w:kern w:val="0"/>
                <w:sz w:val="22"/>
                <w:szCs w:val="22"/>
              </w:rPr>
            </w:pPr>
          </w:p>
        </w:tc>
        <w:tc>
          <w:tcPr>
            <w:tcW w:w="990" w:type="dxa"/>
            <w:vMerge w:val="continue"/>
            <w:shd w:val="clear" w:color="auto" w:fill="FFFFFF"/>
            <w:vAlign w:val="center"/>
          </w:tcPr>
          <w:p w14:paraId="1B7487C8">
            <w:pPr>
              <w:widowControl/>
              <w:shd w:val="clear"/>
              <w:spacing w:line="0" w:lineRule="atLeast"/>
              <w:jc w:val="center"/>
              <w:rPr>
                <w:color w:val="000000"/>
                <w:kern w:val="0"/>
                <w:sz w:val="22"/>
                <w:szCs w:val="22"/>
              </w:rPr>
            </w:pPr>
          </w:p>
        </w:tc>
        <w:tc>
          <w:tcPr>
            <w:tcW w:w="1283" w:type="dxa"/>
            <w:shd w:val="clear" w:color="auto" w:fill="FFFFFF"/>
            <w:vAlign w:val="center"/>
          </w:tcPr>
          <w:p w14:paraId="79041E87">
            <w:pPr>
              <w:widowControl/>
              <w:shd w:val="clear"/>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14:paraId="2996D0B8">
            <w:pPr>
              <w:widowControl/>
              <w:shd w:val="clear"/>
              <w:spacing w:line="0" w:lineRule="atLeast"/>
              <w:jc w:val="center"/>
              <w:rPr>
                <w:color w:val="000000"/>
                <w:kern w:val="0"/>
                <w:sz w:val="22"/>
                <w:szCs w:val="22"/>
              </w:rPr>
            </w:pPr>
            <w:r>
              <w:rPr>
                <w:color w:val="000000"/>
                <w:kern w:val="0"/>
                <w:sz w:val="22"/>
                <w:szCs w:val="22"/>
              </w:rPr>
              <w:t>资金使用</w:t>
            </w:r>
          </w:p>
          <w:p w14:paraId="0A11C576">
            <w:pPr>
              <w:widowControl/>
              <w:shd w:val="clear"/>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14:paraId="43A72E13">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32786D4D">
            <w:pPr>
              <w:widowControl/>
              <w:shd w:val="clear"/>
              <w:spacing w:line="0" w:lineRule="atLeast"/>
              <w:jc w:val="center"/>
              <w:rPr>
                <w:color w:val="000000"/>
                <w:kern w:val="0"/>
                <w:sz w:val="22"/>
                <w:szCs w:val="22"/>
                <w:highlight w:val="none"/>
              </w:rPr>
            </w:pPr>
            <w:r>
              <w:rPr>
                <w:color w:val="000000"/>
                <w:kern w:val="0"/>
                <w:sz w:val="22"/>
                <w:szCs w:val="22"/>
                <w:highlight w:val="none"/>
              </w:rPr>
              <w:t>合格</w:t>
            </w:r>
          </w:p>
        </w:tc>
        <w:tc>
          <w:tcPr>
            <w:tcW w:w="924" w:type="dxa"/>
            <w:shd w:val="clear" w:color="000000" w:fill="FFFFFF"/>
            <w:vAlign w:val="center"/>
          </w:tcPr>
          <w:p w14:paraId="06E43C7D">
            <w:pPr>
              <w:widowControl/>
              <w:shd w:val="clear"/>
              <w:spacing w:line="0" w:lineRule="atLeast"/>
              <w:jc w:val="center"/>
              <w:rPr>
                <w:color w:val="000000"/>
                <w:kern w:val="0"/>
                <w:sz w:val="22"/>
                <w:szCs w:val="22"/>
                <w:highlight w:val="none"/>
              </w:rPr>
            </w:pPr>
            <w:r>
              <w:rPr>
                <w:color w:val="000000"/>
                <w:kern w:val="0"/>
                <w:sz w:val="22"/>
                <w:szCs w:val="22"/>
                <w:highlight w:val="none"/>
              </w:rPr>
              <w:t>合格</w:t>
            </w:r>
          </w:p>
        </w:tc>
        <w:tc>
          <w:tcPr>
            <w:tcW w:w="1215" w:type="dxa"/>
            <w:shd w:val="clear" w:color="000000" w:fill="FFFFFF"/>
            <w:vAlign w:val="center"/>
          </w:tcPr>
          <w:p w14:paraId="48241855">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462693DF">
            <w:pPr>
              <w:widowControl/>
              <w:shd w:val="clear"/>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59C9E4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74BCC4C">
            <w:pPr>
              <w:shd w:val="clear"/>
              <w:spacing w:line="0" w:lineRule="atLeast"/>
              <w:jc w:val="center"/>
              <w:rPr>
                <w:color w:val="000000"/>
                <w:kern w:val="0"/>
                <w:sz w:val="22"/>
                <w:szCs w:val="22"/>
              </w:rPr>
            </w:pPr>
          </w:p>
        </w:tc>
        <w:tc>
          <w:tcPr>
            <w:tcW w:w="990" w:type="dxa"/>
            <w:vMerge w:val="continue"/>
            <w:shd w:val="clear" w:color="auto" w:fill="FFFFFF"/>
            <w:vAlign w:val="center"/>
          </w:tcPr>
          <w:p w14:paraId="1FE76A4E">
            <w:pPr>
              <w:shd w:val="clear"/>
              <w:spacing w:line="0" w:lineRule="atLeast"/>
              <w:jc w:val="center"/>
              <w:rPr>
                <w:color w:val="000000"/>
                <w:kern w:val="0"/>
                <w:sz w:val="22"/>
                <w:szCs w:val="22"/>
              </w:rPr>
            </w:pPr>
          </w:p>
        </w:tc>
        <w:tc>
          <w:tcPr>
            <w:tcW w:w="1283" w:type="dxa"/>
            <w:vMerge w:val="restart"/>
            <w:shd w:val="clear" w:color="auto" w:fill="FFFFFF"/>
            <w:vAlign w:val="center"/>
          </w:tcPr>
          <w:p w14:paraId="434499D7">
            <w:pPr>
              <w:widowControl/>
              <w:shd w:val="clear"/>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14:paraId="21F1F957">
            <w:pPr>
              <w:widowControl/>
              <w:shd w:val="clear"/>
              <w:spacing w:line="0" w:lineRule="atLeast"/>
              <w:jc w:val="center"/>
              <w:rPr>
                <w:color w:val="000000"/>
                <w:kern w:val="0"/>
                <w:sz w:val="22"/>
                <w:szCs w:val="22"/>
              </w:rPr>
            </w:pPr>
            <w:r>
              <w:rPr>
                <w:color w:val="000000"/>
                <w:kern w:val="0"/>
                <w:sz w:val="22"/>
                <w:szCs w:val="22"/>
              </w:rPr>
              <w:t>管理制度</w:t>
            </w:r>
          </w:p>
          <w:p w14:paraId="6A2F5AA8">
            <w:pPr>
              <w:widowControl/>
              <w:shd w:val="clear"/>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14:paraId="15744FD7">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4FD33BD7">
            <w:pPr>
              <w:widowControl/>
              <w:shd w:val="clear"/>
              <w:spacing w:line="0" w:lineRule="atLeast"/>
              <w:jc w:val="center"/>
              <w:rPr>
                <w:color w:val="000000"/>
                <w:kern w:val="0"/>
                <w:sz w:val="22"/>
                <w:szCs w:val="22"/>
                <w:highlight w:val="none"/>
              </w:rPr>
            </w:pPr>
            <w:r>
              <w:rPr>
                <w:color w:val="000000"/>
                <w:kern w:val="0"/>
                <w:sz w:val="22"/>
                <w:szCs w:val="22"/>
                <w:highlight w:val="none"/>
              </w:rPr>
              <w:t>健全</w:t>
            </w:r>
          </w:p>
        </w:tc>
        <w:tc>
          <w:tcPr>
            <w:tcW w:w="924" w:type="dxa"/>
            <w:shd w:val="clear" w:color="000000" w:fill="FFFFFF"/>
            <w:vAlign w:val="center"/>
          </w:tcPr>
          <w:p w14:paraId="0665A0CF">
            <w:pPr>
              <w:widowControl/>
              <w:shd w:val="clear"/>
              <w:spacing w:line="0" w:lineRule="atLeast"/>
              <w:jc w:val="center"/>
              <w:rPr>
                <w:color w:val="000000"/>
                <w:kern w:val="0"/>
                <w:sz w:val="22"/>
                <w:szCs w:val="22"/>
                <w:highlight w:val="none"/>
              </w:rPr>
            </w:pPr>
            <w:r>
              <w:rPr>
                <w:color w:val="000000"/>
                <w:kern w:val="0"/>
                <w:sz w:val="22"/>
                <w:szCs w:val="22"/>
                <w:highlight w:val="none"/>
              </w:rPr>
              <w:t>健全</w:t>
            </w:r>
          </w:p>
        </w:tc>
        <w:tc>
          <w:tcPr>
            <w:tcW w:w="1215" w:type="dxa"/>
            <w:shd w:val="clear" w:color="000000" w:fill="FFFFFF"/>
            <w:vAlign w:val="center"/>
          </w:tcPr>
          <w:p w14:paraId="22F4D348">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31E2A929">
            <w:pPr>
              <w:widowControl/>
              <w:shd w:val="clear"/>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314DBA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2528FC8">
            <w:pPr>
              <w:widowControl/>
              <w:shd w:val="clear"/>
              <w:spacing w:line="0" w:lineRule="atLeast"/>
              <w:jc w:val="center"/>
              <w:rPr>
                <w:color w:val="000000"/>
                <w:kern w:val="0"/>
                <w:sz w:val="22"/>
                <w:szCs w:val="22"/>
              </w:rPr>
            </w:pPr>
          </w:p>
        </w:tc>
        <w:tc>
          <w:tcPr>
            <w:tcW w:w="990" w:type="dxa"/>
            <w:vMerge w:val="continue"/>
            <w:shd w:val="clear" w:color="auto" w:fill="FFFFFF"/>
            <w:vAlign w:val="center"/>
          </w:tcPr>
          <w:p w14:paraId="62241BE9">
            <w:pPr>
              <w:widowControl/>
              <w:shd w:val="clear"/>
              <w:spacing w:line="0" w:lineRule="atLeast"/>
              <w:jc w:val="center"/>
              <w:rPr>
                <w:color w:val="000000"/>
                <w:kern w:val="0"/>
                <w:sz w:val="22"/>
                <w:szCs w:val="22"/>
              </w:rPr>
            </w:pPr>
          </w:p>
        </w:tc>
        <w:tc>
          <w:tcPr>
            <w:tcW w:w="1283" w:type="dxa"/>
            <w:vMerge w:val="continue"/>
            <w:shd w:val="clear" w:color="auto" w:fill="FFFFFF"/>
            <w:vAlign w:val="center"/>
          </w:tcPr>
          <w:p w14:paraId="6E9B0F39">
            <w:pPr>
              <w:widowControl/>
              <w:shd w:val="clear"/>
              <w:spacing w:line="0" w:lineRule="atLeast"/>
              <w:jc w:val="center"/>
              <w:rPr>
                <w:color w:val="000000"/>
                <w:kern w:val="0"/>
                <w:sz w:val="22"/>
                <w:szCs w:val="22"/>
              </w:rPr>
            </w:pPr>
          </w:p>
        </w:tc>
        <w:tc>
          <w:tcPr>
            <w:tcW w:w="1707" w:type="dxa"/>
            <w:shd w:val="clear" w:color="auto" w:fill="FFFFFF"/>
            <w:vAlign w:val="center"/>
          </w:tcPr>
          <w:p w14:paraId="3628490D">
            <w:pPr>
              <w:widowControl/>
              <w:shd w:val="clear"/>
              <w:spacing w:line="0" w:lineRule="atLeast"/>
              <w:jc w:val="center"/>
              <w:rPr>
                <w:color w:val="000000"/>
                <w:kern w:val="0"/>
                <w:sz w:val="22"/>
                <w:szCs w:val="22"/>
              </w:rPr>
            </w:pPr>
            <w:r>
              <w:rPr>
                <w:color w:val="000000"/>
                <w:kern w:val="0"/>
                <w:sz w:val="22"/>
                <w:szCs w:val="22"/>
              </w:rPr>
              <w:t>制度执行</w:t>
            </w:r>
          </w:p>
          <w:p w14:paraId="7EC1338B">
            <w:pPr>
              <w:widowControl/>
              <w:shd w:val="clear"/>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14:paraId="29DAF614">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1F22F0EC">
            <w:pPr>
              <w:widowControl/>
              <w:shd w:val="clear"/>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000000" w:fill="FFFFFF"/>
            <w:vAlign w:val="center"/>
          </w:tcPr>
          <w:p w14:paraId="2E88F2C0">
            <w:pPr>
              <w:widowControl/>
              <w:shd w:val="clear"/>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000000" w:fill="FFFFFF"/>
            <w:vAlign w:val="center"/>
          </w:tcPr>
          <w:p w14:paraId="4CE1BB89">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7A7238BC">
            <w:pPr>
              <w:widowControl/>
              <w:shd w:val="clear"/>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58A15C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0B681B29">
            <w:pPr>
              <w:widowControl/>
              <w:shd w:val="clear"/>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14:paraId="42062AB0">
            <w:pPr>
              <w:widowControl/>
              <w:shd w:val="clear"/>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14:paraId="228E3FAD">
            <w:pPr>
              <w:widowControl/>
              <w:shd w:val="clear"/>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14:paraId="68C434BC">
            <w:pPr>
              <w:widowControl/>
              <w:shd w:val="clear"/>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14:paraId="7750F1FA">
            <w:pPr>
              <w:widowControl/>
              <w:shd w:val="clear"/>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14:paraId="4CF2F89F">
            <w:pPr>
              <w:widowControl/>
              <w:shd w:val="clear"/>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2E990D90">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14:paraId="663E171A">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237E2010">
            <w:pPr>
              <w:widowControl/>
              <w:shd w:val="clear"/>
              <w:spacing w:line="0" w:lineRule="atLeast"/>
              <w:jc w:val="center"/>
              <w:rPr>
                <w:rFonts w:hint="eastAsia"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2D30C9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99C2FA5">
            <w:pPr>
              <w:widowControl/>
              <w:shd w:val="clear"/>
              <w:spacing w:line="0" w:lineRule="atLeast"/>
              <w:jc w:val="center"/>
              <w:rPr>
                <w:color w:val="000000"/>
                <w:kern w:val="0"/>
                <w:sz w:val="22"/>
                <w:szCs w:val="22"/>
              </w:rPr>
            </w:pPr>
          </w:p>
        </w:tc>
        <w:tc>
          <w:tcPr>
            <w:tcW w:w="990" w:type="dxa"/>
            <w:vMerge w:val="continue"/>
            <w:shd w:val="clear" w:color="auto" w:fill="FFFFFF"/>
            <w:vAlign w:val="center"/>
          </w:tcPr>
          <w:p w14:paraId="44A24D86">
            <w:pPr>
              <w:widowControl/>
              <w:shd w:val="clear"/>
              <w:spacing w:line="0" w:lineRule="atLeast"/>
              <w:jc w:val="center"/>
              <w:rPr>
                <w:color w:val="000000"/>
                <w:kern w:val="0"/>
                <w:sz w:val="22"/>
                <w:szCs w:val="22"/>
              </w:rPr>
            </w:pPr>
          </w:p>
        </w:tc>
        <w:tc>
          <w:tcPr>
            <w:tcW w:w="1283" w:type="dxa"/>
            <w:shd w:val="clear" w:color="auto" w:fill="FFFFFF"/>
            <w:vAlign w:val="center"/>
          </w:tcPr>
          <w:p w14:paraId="48577735">
            <w:pPr>
              <w:widowControl/>
              <w:shd w:val="clear"/>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14:paraId="2006F059">
            <w:pPr>
              <w:widowControl/>
              <w:shd w:val="clear"/>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14:paraId="23534DAE">
            <w:pPr>
              <w:widowControl/>
              <w:shd w:val="clear"/>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0BA67103">
            <w:pPr>
              <w:widowControl/>
              <w:shd w:val="clear"/>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74FF7381">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14:paraId="39AF1D1A">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0B1B13C8">
            <w:pPr>
              <w:widowControl/>
              <w:shd w:val="clear"/>
              <w:spacing w:line="0" w:lineRule="atLeast"/>
              <w:jc w:val="center"/>
              <w:rPr>
                <w:rFonts w:hint="eastAsia"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5B891A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224518A">
            <w:pPr>
              <w:shd w:val="clear"/>
              <w:spacing w:line="0" w:lineRule="atLeast"/>
              <w:jc w:val="center"/>
              <w:rPr>
                <w:color w:val="000000"/>
                <w:kern w:val="0"/>
                <w:sz w:val="22"/>
                <w:szCs w:val="22"/>
              </w:rPr>
            </w:pPr>
          </w:p>
        </w:tc>
        <w:tc>
          <w:tcPr>
            <w:tcW w:w="990" w:type="dxa"/>
            <w:vMerge w:val="continue"/>
            <w:shd w:val="clear" w:color="auto" w:fill="FFFFFF"/>
            <w:vAlign w:val="center"/>
          </w:tcPr>
          <w:p w14:paraId="63FA6F96">
            <w:pPr>
              <w:shd w:val="clear"/>
              <w:spacing w:line="0" w:lineRule="atLeast"/>
              <w:jc w:val="center"/>
              <w:rPr>
                <w:color w:val="000000"/>
                <w:kern w:val="0"/>
                <w:sz w:val="22"/>
                <w:szCs w:val="22"/>
              </w:rPr>
            </w:pPr>
          </w:p>
        </w:tc>
        <w:tc>
          <w:tcPr>
            <w:tcW w:w="1283" w:type="dxa"/>
            <w:shd w:val="clear" w:color="auto" w:fill="FFFFFF"/>
            <w:vAlign w:val="center"/>
          </w:tcPr>
          <w:p w14:paraId="7B4AC1A5">
            <w:pPr>
              <w:shd w:val="clea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14:paraId="2F381FCC">
            <w:pPr>
              <w:widowControl/>
              <w:shd w:val="clear"/>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14:paraId="01C200C8">
            <w:pPr>
              <w:widowControl/>
              <w:shd w:val="clear"/>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14:paraId="5C2A063D">
            <w:pPr>
              <w:widowControl/>
              <w:shd w:val="clear"/>
              <w:spacing w:line="0" w:lineRule="atLeast"/>
              <w:jc w:val="center"/>
              <w:rPr>
                <w:color w:val="000000"/>
                <w:kern w:val="0"/>
                <w:sz w:val="22"/>
                <w:szCs w:val="22"/>
                <w:highlight w:val="none"/>
              </w:rPr>
            </w:pPr>
            <w:r>
              <w:rPr>
                <w:color w:val="000000"/>
                <w:kern w:val="0"/>
                <w:sz w:val="22"/>
                <w:szCs w:val="22"/>
                <w:highlight w:val="none"/>
              </w:rPr>
              <w:t>及时</w:t>
            </w:r>
          </w:p>
        </w:tc>
        <w:tc>
          <w:tcPr>
            <w:tcW w:w="924" w:type="dxa"/>
            <w:shd w:val="clear" w:color="000000" w:fill="FFFFFF"/>
            <w:vAlign w:val="center"/>
          </w:tcPr>
          <w:p w14:paraId="573AE2C8">
            <w:pPr>
              <w:widowControl/>
              <w:shd w:val="clear"/>
              <w:spacing w:line="0" w:lineRule="atLeast"/>
              <w:jc w:val="center"/>
              <w:rPr>
                <w:color w:val="000000"/>
                <w:kern w:val="0"/>
                <w:sz w:val="22"/>
                <w:szCs w:val="22"/>
                <w:highlight w:val="none"/>
              </w:rPr>
            </w:pPr>
            <w:r>
              <w:rPr>
                <w:color w:val="000000"/>
                <w:kern w:val="0"/>
                <w:sz w:val="22"/>
                <w:szCs w:val="22"/>
                <w:highlight w:val="none"/>
              </w:rPr>
              <w:t>及时</w:t>
            </w:r>
          </w:p>
        </w:tc>
        <w:tc>
          <w:tcPr>
            <w:tcW w:w="1215" w:type="dxa"/>
            <w:shd w:val="clear" w:color="000000" w:fill="FFFFFF"/>
            <w:vAlign w:val="center"/>
          </w:tcPr>
          <w:p w14:paraId="451801A7">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3B6E8361">
            <w:pPr>
              <w:widowControl/>
              <w:shd w:val="clear"/>
              <w:spacing w:line="0" w:lineRule="atLeast"/>
              <w:jc w:val="center"/>
              <w:rPr>
                <w:rFonts w:hint="eastAsia"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5225BF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79BBBF5">
            <w:pPr>
              <w:widowControl/>
              <w:shd w:val="clear"/>
              <w:spacing w:line="0" w:lineRule="atLeast"/>
              <w:jc w:val="center"/>
              <w:rPr>
                <w:color w:val="000000"/>
                <w:kern w:val="0"/>
                <w:sz w:val="22"/>
                <w:szCs w:val="22"/>
              </w:rPr>
            </w:pPr>
          </w:p>
        </w:tc>
        <w:tc>
          <w:tcPr>
            <w:tcW w:w="990" w:type="dxa"/>
            <w:vMerge w:val="continue"/>
            <w:shd w:val="clear" w:color="auto" w:fill="FFFFFF"/>
            <w:vAlign w:val="center"/>
          </w:tcPr>
          <w:p w14:paraId="5545DD97">
            <w:pPr>
              <w:widowControl/>
              <w:shd w:val="clear"/>
              <w:spacing w:line="0" w:lineRule="atLeast"/>
              <w:jc w:val="center"/>
              <w:rPr>
                <w:color w:val="000000"/>
                <w:kern w:val="0"/>
                <w:sz w:val="22"/>
                <w:szCs w:val="22"/>
              </w:rPr>
            </w:pPr>
          </w:p>
        </w:tc>
        <w:tc>
          <w:tcPr>
            <w:tcW w:w="1283" w:type="dxa"/>
            <w:shd w:val="clear" w:color="auto" w:fill="FFFFFF"/>
            <w:vAlign w:val="center"/>
          </w:tcPr>
          <w:p w14:paraId="02119219">
            <w:pPr>
              <w:widowControl/>
              <w:shd w:val="clear"/>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14:paraId="318A6271">
            <w:pPr>
              <w:widowControl/>
              <w:shd w:val="clear"/>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14:paraId="1E0EB855">
            <w:pPr>
              <w:widowControl/>
              <w:shd w:val="clear"/>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54D7F2D9">
            <w:pPr>
              <w:widowControl/>
              <w:shd w:val="clear"/>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5EDD8302">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14:paraId="6FDE7156">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2E821E7D">
            <w:pPr>
              <w:widowControl/>
              <w:shd w:val="clear"/>
              <w:spacing w:line="0" w:lineRule="atLeast"/>
              <w:jc w:val="center"/>
              <w:rPr>
                <w:rFonts w:hint="eastAsia"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142AEF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655FC9A2">
            <w:pPr>
              <w:widowControl/>
              <w:shd w:val="clear"/>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14:paraId="68ABB45A">
            <w:pPr>
              <w:widowControl/>
              <w:shd w:val="clear"/>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14:paraId="360B8D86">
            <w:pPr>
              <w:widowControl/>
              <w:shd w:val="clear"/>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14:paraId="1B5A7E1A">
            <w:pPr>
              <w:widowControl/>
              <w:shd w:val="clear"/>
              <w:spacing w:line="0" w:lineRule="atLeast"/>
              <w:jc w:val="center"/>
              <w:rPr>
                <w:color w:val="000000"/>
                <w:kern w:val="0"/>
                <w:sz w:val="22"/>
                <w:szCs w:val="22"/>
              </w:rPr>
            </w:pPr>
            <w:r>
              <w:rPr>
                <w:color w:val="000000"/>
                <w:kern w:val="0"/>
                <w:sz w:val="22"/>
                <w:szCs w:val="22"/>
              </w:rPr>
              <w:t>实施效益</w:t>
            </w:r>
          </w:p>
          <w:p w14:paraId="6A550B9D">
            <w:pPr>
              <w:widowControl/>
              <w:shd w:val="clear"/>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14:paraId="257175B9">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15</w:t>
            </w:r>
          </w:p>
        </w:tc>
        <w:tc>
          <w:tcPr>
            <w:tcW w:w="1044" w:type="dxa"/>
            <w:shd w:val="clear" w:color="auto" w:fill="FFFFFF"/>
            <w:vAlign w:val="center"/>
          </w:tcPr>
          <w:p w14:paraId="56F1E96C">
            <w:pPr>
              <w:widowControl/>
              <w:shd w:val="clear"/>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auto" w:fill="FFFFFF"/>
            <w:vAlign w:val="center"/>
          </w:tcPr>
          <w:p w14:paraId="18C18509">
            <w:pPr>
              <w:widowControl/>
              <w:shd w:val="clear"/>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auto" w:fill="FFFFFF"/>
            <w:vAlign w:val="center"/>
          </w:tcPr>
          <w:p w14:paraId="1DF292E7">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53E9EC1E">
            <w:pPr>
              <w:widowControl/>
              <w:shd w:val="clear"/>
              <w:spacing w:line="0" w:lineRule="atLeast"/>
              <w:jc w:val="center"/>
              <w:rPr>
                <w:rFonts w:hint="eastAsia" w:eastAsia="宋体"/>
                <w:color w:val="000000"/>
                <w:kern w:val="0"/>
                <w:sz w:val="22"/>
                <w:szCs w:val="22"/>
                <w:highlight w:val="none"/>
                <w:lang w:val="en-US" w:eastAsia="zh-CN"/>
              </w:rPr>
            </w:pPr>
            <w:r>
              <w:rPr>
                <w:rFonts w:hint="eastAsia"/>
                <w:color w:val="000000"/>
                <w:kern w:val="0"/>
                <w:sz w:val="22"/>
                <w:szCs w:val="22"/>
                <w:highlight w:val="none"/>
                <w:lang w:val="en-US" w:eastAsia="zh-CN"/>
              </w:rPr>
              <w:t>15</w:t>
            </w:r>
          </w:p>
        </w:tc>
      </w:tr>
      <w:tr w14:paraId="7BE84C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B2682E8">
            <w:pPr>
              <w:widowControl/>
              <w:shd w:val="clear"/>
              <w:spacing w:line="0" w:lineRule="atLeast"/>
              <w:jc w:val="center"/>
              <w:rPr>
                <w:color w:val="000000"/>
                <w:kern w:val="0"/>
                <w:sz w:val="22"/>
                <w:szCs w:val="22"/>
              </w:rPr>
            </w:pPr>
          </w:p>
        </w:tc>
        <w:tc>
          <w:tcPr>
            <w:tcW w:w="990" w:type="dxa"/>
            <w:vMerge w:val="continue"/>
            <w:shd w:val="clear" w:color="auto" w:fill="FFFFFF"/>
            <w:vAlign w:val="center"/>
          </w:tcPr>
          <w:p w14:paraId="05BFACFB">
            <w:pPr>
              <w:widowControl/>
              <w:shd w:val="clear"/>
              <w:spacing w:line="0" w:lineRule="atLeast"/>
              <w:jc w:val="center"/>
              <w:rPr>
                <w:color w:val="000000"/>
                <w:kern w:val="0"/>
                <w:sz w:val="22"/>
                <w:szCs w:val="22"/>
              </w:rPr>
            </w:pPr>
          </w:p>
        </w:tc>
        <w:tc>
          <w:tcPr>
            <w:tcW w:w="1283" w:type="dxa"/>
            <w:vMerge w:val="continue"/>
            <w:shd w:val="clear" w:color="auto" w:fill="FFFFFF"/>
            <w:vAlign w:val="center"/>
          </w:tcPr>
          <w:p w14:paraId="0FFA8995">
            <w:pPr>
              <w:widowControl/>
              <w:shd w:val="clear"/>
              <w:spacing w:line="0" w:lineRule="atLeast"/>
              <w:jc w:val="center"/>
              <w:rPr>
                <w:color w:val="000000"/>
                <w:kern w:val="0"/>
                <w:sz w:val="22"/>
                <w:szCs w:val="22"/>
              </w:rPr>
            </w:pPr>
          </w:p>
        </w:tc>
        <w:tc>
          <w:tcPr>
            <w:tcW w:w="1707" w:type="dxa"/>
            <w:shd w:val="clear" w:color="auto" w:fill="FFFFFF"/>
            <w:vAlign w:val="center"/>
          </w:tcPr>
          <w:p w14:paraId="3DFEE5FD">
            <w:pPr>
              <w:widowControl/>
              <w:shd w:val="clear"/>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14:paraId="48F10651">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5</w:t>
            </w:r>
          </w:p>
        </w:tc>
        <w:tc>
          <w:tcPr>
            <w:tcW w:w="1044" w:type="dxa"/>
            <w:shd w:val="clear" w:color="000000" w:fill="FFFFFF"/>
            <w:vAlign w:val="center"/>
          </w:tcPr>
          <w:p w14:paraId="5CFD3434">
            <w:pPr>
              <w:widowControl/>
              <w:shd w:val="clear"/>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95</w:t>
            </w:r>
            <w:r>
              <w:rPr>
                <w:color w:val="000000"/>
                <w:kern w:val="0"/>
                <w:sz w:val="22"/>
                <w:szCs w:val="22"/>
                <w:highlight w:val="none"/>
              </w:rPr>
              <w:t>%</w:t>
            </w:r>
          </w:p>
        </w:tc>
        <w:tc>
          <w:tcPr>
            <w:tcW w:w="924" w:type="dxa"/>
            <w:shd w:val="clear" w:color="000000" w:fill="FFFFFF"/>
            <w:vAlign w:val="center"/>
          </w:tcPr>
          <w:p w14:paraId="1B5F7426">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14:paraId="18CE3675">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358871C3">
            <w:pPr>
              <w:widowControl/>
              <w:shd w:val="clear"/>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5</w:t>
            </w:r>
          </w:p>
        </w:tc>
      </w:tr>
      <w:bookmarkEnd w:id="2"/>
    </w:tbl>
    <w:p w14:paraId="718C687C">
      <w:pPr>
        <w:shd w:val="clear"/>
        <w:spacing w:line="600" w:lineRule="exact"/>
        <w:ind w:firstLine="320" w:firstLineChars="100"/>
        <w:rPr>
          <w:rFonts w:eastAsia="黑体"/>
          <w:sz w:val="32"/>
          <w:szCs w:val="32"/>
        </w:rPr>
      </w:pPr>
      <w:r>
        <w:rPr>
          <w:rFonts w:eastAsia="黑体"/>
          <w:sz w:val="32"/>
          <w:szCs w:val="32"/>
        </w:rPr>
        <w:t>四、绩效评价指标分析</w:t>
      </w:r>
    </w:p>
    <w:p w14:paraId="064896C8">
      <w:pPr>
        <w:pStyle w:val="17"/>
        <w:shd w:val="clear"/>
        <w:ind w:firstLine="321" w:firstLineChars="100"/>
        <w:jc w:val="both"/>
        <w:rPr>
          <w:rFonts w:ascii="Times New Roman" w:hAnsi="Times New Roman" w:eastAsia="楷体_GB2312"/>
        </w:rPr>
      </w:pPr>
      <w:r>
        <w:rPr>
          <w:rFonts w:ascii="Times New Roman" w:hAnsi="Times New Roman" w:eastAsia="楷体_GB2312"/>
        </w:rPr>
        <w:t>（一）项目决策情况</w:t>
      </w:r>
    </w:p>
    <w:p w14:paraId="6842875C">
      <w:pPr>
        <w:shd w:val="clear"/>
        <w:spacing w:line="600" w:lineRule="exact"/>
        <w:ind w:firstLine="640" w:firstLineChars="200"/>
        <w:outlineLvl w:val="0"/>
      </w:pPr>
      <w:r>
        <w:rPr>
          <w:rFonts w:hint="eastAsia" w:ascii="仿宋_GB2312" w:hAnsi="仿宋_GB2312" w:eastAsia="仿宋_GB2312" w:cs="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14:paraId="61962177">
      <w:pPr>
        <w:pStyle w:val="17"/>
        <w:ind w:firstLine="321" w:firstLineChars="100"/>
        <w:jc w:val="both"/>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14:paraId="13E2E0FF">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14:paraId="4FD68EB5">
      <w:pPr>
        <w:pStyle w:val="17"/>
        <w:ind w:firstLine="321" w:firstLineChars="100"/>
        <w:jc w:val="both"/>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14:paraId="6D221C08">
      <w:pPr>
        <w:spacing w:line="600" w:lineRule="exact"/>
        <w:ind w:firstLine="624" w:firstLineChars="200"/>
        <w:rPr>
          <w:rStyle w:val="23"/>
          <w:rFonts w:eastAsia="仿宋"/>
          <w:b w:val="0"/>
          <w:spacing w:val="-4"/>
          <w:sz w:val="32"/>
          <w:szCs w:val="32"/>
        </w:rPr>
      </w:pPr>
      <w:r>
        <w:rPr>
          <w:rStyle w:val="23"/>
          <w:rFonts w:eastAsia="仿宋"/>
          <w:b w:val="0"/>
          <w:spacing w:val="-4"/>
          <w:sz w:val="32"/>
          <w:szCs w:val="32"/>
        </w:rPr>
        <w:t>数量指标方面：</w:t>
      </w:r>
    </w:p>
    <w:p w14:paraId="5F1C0145">
      <w:pPr>
        <w:pStyle w:val="17"/>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a.参与重大活动保障人数指标，指标值为≥50人，实际完成60人，完成率100%，偏差率0%。</w:t>
      </w:r>
    </w:p>
    <w:p w14:paraId="3CCD161B">
      <w:pPr>
        <w:pStyle w:val="17"/>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b.参与边境电磁环境测试次数指标，指标值为≥1次，实际完成1次，完成率100%，偏差率0%。</w:t>
      </w:r>
    </w:p>
    <w:p w14:paraId="62B9EA56">
      <w:pPr>
        <w:pStyle w:val="17"/>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c.参与监测月报完成数量指标，指标值为≥12次，实际完成12次，完成率100%，偏差率0%。</w:t>
      </w:r>
    </w:p>
    <w:p w14:paraId="42E0A62E">
      <w:pPr>
        <w:pStyle w:val="17"/>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d.巡检维护次数指标，指标值为≥4次，实际完成4次，完成率100%，偏差率0%。</w:t>
      </w:r>
    </w:p>
    <w:p w14:paraId="77595BD1">
      <w:pPr>
        <w:pStyle w:val="17"/>
        <w:numPr>
          <w:ilvl w:val="0"/>
          <w:numId w:val="0"/>
        </w:numPr>
        <w:ind w:firstLine="640" w:firstLineChars="200"/>
        <w:jc w:val="left"/>
        <w:rPr>
          <w:rFonts w:hint="eastAsia"/>
          <w:highlight w:val="none"/>
          <w:lang w:val="en-US" w:eastAsia="zh-CN"/>
        </w:rPr>
      </w:pPr>
      <w:r>
        <w:rPr>
          <w:rFonts w:hint="eastAsia" w:ascii="仿宋_GB2312" w:hAnsi="仿宋_GB2312" w:eastAsia="仿宋_GB2312" w:cs="仿宋_GB2312"/>
          <w:b w:val="0"/>
          <w:bCs w:val="0"/>
          <w:kern w:val="2"/>
          <w:sz w:val="32"/>
          <w:szCs w:val="32"/>
          <w:highlight w:val="none"/>
          <w:lang w:val="en-US" w:eastAsia="zh-CN" w:bidi="ar-SA"/>
        </w:rPr>
        <w:t>e.采购服务数量指标，指标值为=4项，实际完成4项，完成率100%，偏差率0%。</w:t>
      </w:r>
    </w:p>
    <w:p w14:paraId="0A86C7AF">
      <w:pPr>
        <w:spacing w:line="600" w:lineRule="exact"/>
        <w:ind w:firstLine="640" w:firstLineChars="200"/>
        <w:rPr>
          <w:rStyle w:val="52"/>
          <w:rFonts w:hint="eastAsia" w:ascii="Times New Roman" w:hAnsi="Times New Roman" w:eastAsia="仿宋_GB2312" w:cs="Times New Roman"/>
          <w:color w:val="auto"/>
          <w:highlight w:val="none"/>
          <w:lang w:eastAsia="zh-CN"/>
        </w:rPr>
      </w:pPr>
      <w:r>
        <w:rPr>
          <w:rStyle w:val="52"/>
          <w:rFonts w:ascii="Times New Roman" w:hAnsi="Times New Roman" w:cs="Times New Roman"/>
          <w:color w:val="auto"/>
          <w:highlight w:val="none"/>
        </w:rPr>
        <w:t>质量指标方面：</w:t>
      </w:r>
    </w:p>
    <w:p w14:paraId="153842F4">
      <w:pPr>
        <w:pStyle w:val="17"/>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a.人员考核合格率（B级及以上）指标，指标值为≥95%，实际完成100%，完成率100%，偏差率0%。</w:t>
      </w:r>
    </w:p>
    <w:p w14:paraId="0A544CAD">
      <w:pPr>
        <w:pStyle w:val="17"/>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b.采购印刷品合格率指标，指标值为≥95%，实际完成98%，完成率100%，偏差率0%。</w:t>
      </w:r>
    </w:p>
    <w:p w14:paraId="277E5E81">
      <w:pPr>
        <w:pStyle w:val="17"/>
        <w:numPr>
          <w:ilvl w:val="0"/>
          <w:numId w:val="0"/>
        </w:numPr>
        <w:ind w:firstLine="640" w:firstLineChars="200"/>
        <w:jc w:val="left"/>
        <w:rPr>
          <w:rFonts w:ascii="Times New Roman" w:hAnsi="Times New Roman"/>
          <w:highlight w:val="none"/>
        </w:rPr>
      </w:pPr>
      <w:r>
        <w:rPr>
          <w:rFonts w:hint="eastAsia" w:ascii="仿宋_GB2312" w:hAnsi="仿宋_GB2312" w:eastAsia="仿宋_GB2312" w:cs="仿宋_GB2312"/>
          <w:b w:val="0"/>
          <w:bCs w:val="0"/>
          <w:kern w:val="2"/>
          <w:sz w:val="32"/>
          <w:szCs w:val="32"/>
          <w:highlight w:val="none"/>
          <w:lang w:val="en-US" w:eastAsia="zh-CN" w:bidi="ar-SA"/>
        </w:rPr>
        <w:t>c.安全保卫相关事故发生率指标，指标值为=0，实际完成0，完成率100%，偏差率0%。</w:t>
      </w:r>
    </w:p>
    <w:p w14:paraId="4DEEF855">
      <w:pPr>
        <w:pStyle w:val="17"/>
        <w:spacing w:before="0" w:after="0" w:line="600" w:lineRule="exact"/>
        <w:ind w:firstLine="640" w:firstLineChars="200"/>
        <w:jc w:val="both"/>
        <w:rPr>
          <w:rStyle w:val="52"/>
          <w:rFonts w:ascii="Times New Roman" w:hAnsi="Times New Roman" w:cs="Times New Roman"/>
          <w:b w:val="0"/>
          <w:bCs w:val="0"/>
          <w:color w:val="auto"/>
          <w:highlight w:val="none"/>
        </w:rPr>
      </w:pPr>
      <w:r>
        <w:rPr>
          <w:rStyle w:val="52"/>
          <w:rFonts w:ascii="Times New Roman" w:hAnsi="Times New Roman" w:cs="Times New Roman"/>
          <w:b w:val="0"/>
          <w:bCs w:val="0"/>
          <w:color w:val="auto"/>
          <w:highlight w:val="none"/>
        </w:rPr>
        <w:t>成本指标方面：</w:t>
      </w:r>
    </w:p>
    <w:p w14:paraId="4C350F42">
      <w:pPr>
        <w:pStyle w:val="17"/>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a.安全保障技术支撑服务项目成本指标，指标值为≤432万元，实际完成432万元，完成率100%，偏差率0%。</w:t>
      </w:r>
    </w:p>
    <w:p w14:paraId="647D1C67">
      <w:pPr>
        <w:pStyle w:val="17"/>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b.无线电业务用房安全保卫项目成本指标，指标值为≤71.8万元，实际完成71.8万元，完成率100%，偏差率0%。</w:t>
      </w:r>
    </w:p>
    <w:p w14:paraId="70AA56A2">
      <w:pPr>
        <w:pStyle w:val="17"/>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c.无线电财务监管服务项目成本指标，指标值为≤18万元，实际完成18万元，完成率100%，偏差率0%。</w:t>
      </w:r>
    </w:p>
    <w:p w14:paraId="2F5E93E9">
      <w:pPr>
        <w:pStyle w:val="17"/>
        <w:numPr>
          <w:ilvl w:val="0"/>
          <w:numId w:val="0"/>
        </w:numPr>
        <w:ind w:firstLine="640" w:firstLineChars="200"/>
        <w:jc w:val="left"/>
        <w:rPr>
          <w:highlight w:val="none"/>
        </w:rPr>
      </w:pPr>
      <w:r>
        <w:rPr>
          <w:rFonts w:hint="eastAsia" w:ascii="仿宋_GB2312" w:hAnsi="仿宋_GB2312" w:eastAsia="仿宋_GB2312" w:cs="仿宋_GB2312"/>
          <w:b w:val="0"/>
          <w:bCs w:val="0"/>
          <w:kern w:val="2"/>
          <w:sz w:val="32"/>
          <w:szCs w:val="32"/>
          <w:highlight w:val="none"/>
          <w:lang w:val="en-US" w:eastAsia="zh-CN" w:bidi="ar-SA"/>
        </w:rPr>
        <w:t>d.无线电制式表格及执照等资料印刷成本指标，指标值为≤20万元，实际完成20万元，完成率100%，偏差率0%。</w:t>
      </w:r>
    </w:p>
    <w:p w14:paraId="55C46A63">
      <w:pPr>
        <w:spacing w:line="600" w:lineRule="exact"/>
        <w:ind w:firstLine="640" w:firstLineChars="200"/>
        <w:rPr>
          <w:rStyle w:val="52"/>
          <w:rFonts w:ascii="Times New Roman" w:hAnsi="Times New Roman" w:cs="Times New Roman"/>
          <w:color w:val="auto"/>
          <w:highlight w:val="none"/>
        </w:rPr>
      </w:pPr>
      <w:r>
        <w:rPr>
          <w:rStyle w:val="52"/>
          <w:rFonts w:ascii="Times New Roman" w:hAnsi="Times New Roman" w:cs="Times New Roman"/>
          <w:color w:val="auto"/>
          <w:highlight w:val="none"/>
        </w:rPr>
        <w:t>时效指标方面：</w:t>
      </w:r>
    </w:p>
    <w:p w14:paraId="4525401B">
      <w:pPr>
        <w:pStyle w:val="17"/>
        <w:numPr>
          <w:ilvl w:val="0"/>
          <w:numId w:val="0"/>
        </w:numPr>
        <w:ind w:firstLine="640" w:firstLineChars="200"/>
        <w:jc w:val="left"/>
        <w:rPr>
          <w:rFonts w:ascii="Times New Roman" w:hAnsi="Times New Roman"/>
          <w:highlight w:val="none"/>
        </w:rPr>
      </w:pPr>
      <w:r>
        <w:rPr>
          <w:rFonts w:hint="eastAsia" w:ascii="仿宋_GB2312" w:hAnsi="仿宋_GB2312" w:eastAsia="仿宋_GB2312" w:cs="仿宋_GB2312"/>
          <w:b w:val="0"/>
          <w:bCs w:val="0"/>
          <w:kern w:val="2"/>
          <w:sz w:val="32"/>
          <w:szCs w:val="32"/>
          <w:highlight w:val="none"/>
          <w:lang w:val="en-US" w:eastAsia="zh-CN" w:bidi="ar-SA"/>
        </w:rPr>
        <w:t>a.工作及时完成率指标，指标值为≥90%，实际完成100%，完成率100%，偏差率0%。</w:t>
      </w:r>
    </w:p>
    <w:p w14:paraId="3B549CC3">
      <w:pPr>
        <w:pStyle w:val="17"/>
        <w:ind w:firstLine="321" w:firstLineChars="100"/>
        <w:jc w:val="both"/>
        <w:rPr>
          <w:rFonts w:ascii="Times New Roman" w:hAnsi="Times New Roman" w:eastAsia="楷体_GB2312"/>
          <w:highlight w:val="none"/>
        </w:rPr>
      </w:pPr>
      <w:r>
        <w:rPr>
          <w:rFonts w:hint="eastAsia" w:ascii="Times New Roman" w:hAnsi="Times New Roman" w:eastAsia="楷体_GB2312"/>
          <w:highlight w:val="none"/>
        </w:rPr>
        <w:t>（四）</w:t>
      </w:r>
      <w:r>
        <w:rPr>
          <w:rFonts w:ascii="Times New Roman" w:hAnsi="Times New Roman" w:eastAsia="楷体_GB2312"/>
          <w:highlight w:val="none"/>
        </w:rPr>
        <w:t>效益情况</w:t>
      </w:r>
    </w:p>
    <w:p w14:paraId="019F9166">
      <w:pPr>
        <w:spacing w:line="600" w:lineRule="exact"/>
        <w:ind w:firstLine="640" w:firstLineChars="200"/>
        <w:rPr>
          <w:rStyle w:val="52"/>
          <w:rFonts w:ascii="Times New Roman" w:hAnsi="Times New Roman" w:cs="Times New Roman"/>
          <w:color w:val="auto"/>
          <w:highlight w:val="none"/>
        </w:rPr>
      </w:pPr>
      <w:r>
        <w:rPr>
          <w:rStyle w:val="52"/>
          <w:rFonts w:ascii="Times New Roman" w:hAnsi="Times New Roman" w:cs="Times New Roman"/>
          <w:color w:val="auto"/>
          <w:highlight w:val="none"/>
        </w:rPr>
        <w:t>经济效益指标方面：</w:t>
      </w:r>
    </w:p>
    <w:p w14:paraId="653A894F">
      <w:pPr>
        <w:pStyle w:val="17"/>
        <w:rPr>
          <w:rFonts w:hint="eastAsia" w:ascii="Times New Roman" w:hAnsi="Times New Roman" w:eastAsiaTheme="majorEastAsia"/>
          <w:highlight w:val="none"/>
          <w:lang w:eastAsia="zh-CN"/>
        </w:rPr>
      </w:pPr>
      <w:r>
        <w:rPr>
          <w:rFonts w:hint="eastAsia" w:ascii="Times New Roman" w:hAnsi="Times New Roman"/>
          <w:highlight w:val="none"/>
          <w:lang w:eastAsia="zh-CN"/>
        </w:rPr>
        <w:t>无</w:t>
      </w:r>
    </w:p>
    <w:p w14:paraId="7C7E2D30">
      <w:pPr>
        <w:spacing w:line="600" w:lineRule="exact"/>
        <w:ind w:firstLine="640" w:firstLineChars="200"/>
        <w:rPr>
          <w:rStyle w:val="52"/>
          <w:rFonts w:ascii="Times New Roman" w:hAnsi="Times New Roman" w:cs="Times New Roman"/>
          <w:color w:val="auto"/>
          <w:highlight w:val="none"/>
        </w:rPr>
      </w:pPr>
      <w:r>
        <w:rPr>
          <w:rStyle w:val="52"/>
          <w:rFonts w:ascii="Times New Roman" w:hAnsi="Times New Roman" w:cs="Times New Roman"/>
          <w:color w:val="auto"/>
          <w:highlight w:val="none"/>
        </w:rPr>
        <w:t>社会效益指标方面：</w:t>
      </w:r>
    </w:p>
    <w:p w14:paraId="22625E38">
      <w:pPr>
        <w:pStyle w:val="17"/>
        <w:numPr>
          <w:ilvl w:val="0"/>
          <w:numId w:val="0"/>
        </w:numPr>
        <w:ind w:firstLine="640" w:firstLineChars="200"/>
        <w:jc w:val="left"/>
        <w:rPr>
          <w:rFonts w:ascii="Times New Roman" w:hAnsi="Times New Roman"/>
          <w:highlight w:val="none"/>
        </w:rPr>
      </w:pPr>
      <w:r>
        <w:rPr>
          <w:rFonts w:hint="eastAsia" w:ascii="仿宋_GB2312" w:hAnsi="仿宋_GB2312" w:eastAsia="仿宋_GB2312" w:cs="仿宋_GB2312"/>
          <w:b w:val="0"/>
          <w:bCs w:val="0"/>
          <w:kern w:val="2"/>
          <w:sz w:val="32"/>
          <w:szCs w:val="32"/>
          <w:highlight w:val="none"/>
          <w:lang w:val="en-US" w:eastAsia="zh-CN" w:bidi="ar-SA"/>
        </w:rPr>
        <w:t>a.保证人民安全、政治安全和国家利益，事关经济发展、国防建设和社会稳定指标，指标值为效果显著，实际完成效果显著，完成率100%，偏差率0%。</w:t>
      </w:r>
    </w:p>
    <w:p w14:paraId="0D6E0C72">
      <w:pPr>
        <w:spacing w:line="600" w:lineRule="exact"/>
        <w:ind w:firstLine="640" w:firstLineChars="200"/>
        <w:rPr>
          <w:rFonts w:hint="eastAsia" w:ascii="仿宋_GB2312" w:hAnsi="仿宋_GB2312" w:eastAsia="仿宋_GB2312" w:cs="仿宋_GB2312"/>
          <w:b w:val="0"/>
          <w:bCs w:val="0"/>
          <w:kern w:val="2"/>
          <w:sz w:val="32"/>
          <w:szCs w:val="32"/>
          <w:highlight w:val="none"/>
          <w:lang w:val="en-US" w:eastAsia="zh-CN" w:bidi="ar-SA"/>
        </w:rPr>
      </w:pPr>
      <w:r>
        <w:rPr>
          <w:rStyle w:val="52"/>
          <w:rFonts w:ascii="Times New Roman" w:hAnsi="Times New Roman" w:cs="Times New Roman"/>
          <w:color w:val="auto"/>
          <w:highlight w:val="none"/>
        </w:rPr>
        <w:t>可持续影响指标方面：</w:t>
      </w:r>
      <w:r>
        <w:rPr>
          <w:rFonts w:hint="eastAsia" w:ascii="仿宋_GB2312" w:hAnsi="仿宋_GB2312" w:eastAsia="仿宋_GB2312" w:cs="仿宋_GB2312"/>
          <w:b w:val="0"/>
          <w:bCs w:val="0"/>
          <w:kern w:val="2"/>
          <w:sz w:val="32"/>
          <w:szCs w:val="32"/>
          <w:highlight w:val="none"/>
          <w:lang w:val="en-US" w:eastAsia="zh-CN" w:bidi="ar-SA"/>
        </w:rPr>
        <w:t>无</w:t>
      </w:r>
    </w:p>
    <w:p w14:paraId="64A5A290">
      <w:pPr>
        <w:spacing w:line="600" w:lineRule="exact"/>
        <w:ind w:firstLine="640" w:firstLineChars="200"/>
        <w:rPr>
          <w:rStyle w:val="52"/>
          <w:rFonts w:ascii="Times New Roman" w:hAnsi="Times New Roman" w:cs="Times New Roman"/>
          <w:color w:val="auto"/>
          <w:highlight w:val="none"/>
        </w:rPr>
      </w:pPr>
      <w:r>
        <w:rPr>
          <w:rStyle w:val="52"/>
          <w:rFonts w:ascii="Times New Roman" w:hAnsi="Times New Roman" w:cs="Times New Roman"/>
          <w:color w:val="auto"/>
          <w:highlight w:val="none"/>
        </w:rPr>
        <w:t>满意度指标方面：</w:t>
      </w:r>
    </w:p>
    <w:p w14:paraId="2B046042">
      <w:pPr>
        <w:pStyle w:val="17"/>
        <w:numPr>
          <w:ilvl w:val="0"/>
          <w:numId w:val="0"/>
        </w:numPr>
        <w:ind w:firstLine="640" w:firstLineChars="200"/>
        <w:jc w:val="left"/>
        <w:rPr>
          <w:highlight w:val="none"/>
        </w:rPr>
      </w:pPr>
      <w:r>
        <w:rPr>
          <w:rFonts w:hint="eastAsia" w:ascii="仿宋_GB2312" w:hAnsi="仿宋_GB2312" w:eastAsia="仿宋_GB2312" w:cs="仿宋_GB2312"/>
          <w:b w:val="0"/>
          <w:bCs w:val="0"/>
          <w:kern w:val="2"/>
          <w:sz w:val="32"/>
          <w:szCs w:val="32"/>
          <w:highlight w:val="none"/>
          <w:lang w:val="en-US" w:eastAsia="zh-CN" w:bidi="ar-SA"/>
        </w:rPr>
        <w:t>a.服务对象对无线电安全保障的满意度指标，指标值为≥95%，实际完成100%，完成率100%，偏差率0%。</w:t>
      </w:r>
    </w:p>
    <w:p w14:paraId="370C0C1F">
      <w:pPr>
        <w:spacing w:line="600" w:lineRule="exact"/>
        <w:ind w:firstLine="640" w:firstLineChars="200"/>
        <w:rPr>
          <w:rStyle w:val="52"/>
          <w:rFonts w:ascii="Times New Roman" w:hAnsi="Times New Roman" w:cs="Times New Roman"/>
          <w:color w:val="auto"/>
          <w:highlight w:val="none"/>
        </w:rPr>
      </w:pPr>
      <w:r>
        <w:rPr>
          <w:rFonts w:eastAsia="黑体"/>
          <w:sz w:val="32"/>
          <w:szCs w:val="32"/>
          <w:highlight w:val="none"/>
        </w:rPr>
        <w:t>五、主要经验及做法、存在的问题及原因分析</w:t>
      </w:r>
    </w:p>
    <w:p w14:paraId="33AC5AFE">
      <w:pPr>
        <w:spacing w:line="600" w:lineRule="exact"/>
        <w:ind w:firstLine="627" w:firstLineChars="200"/>
        <w:rPr>
          <w:rFonts w:eastAsia="楷体"/>
          <w:b/>
          <w:spacing w:val="-4"/>
          <w:sz w:val="32"/>
          <w:szCs w:val="32"/>
          <w:highlight w:val="none"/>
        </w:rPr>
      </w:pPr>
      <w:r>
        <w:rPr>
          <w:rFonts w:eastAsia="楷体"/>
          <w:b/>
          <w:spacing w:val="-4"/>
          <w:sz w:val="32"/>
          <w:szCs w:val="32"/>
          <w:highlight w:val="none"/>
        </w:rPr>
        <w:t>（一）主要经验及做法</w:t>
      </w:r>
    </w:p>
    <w:p w14:paraId="796267A9">
      <w:pPr>
        <w:spacing w:line="600" w:lineRule="exact"/>
        <w:ind w:firstLine="640" w:firstLineChars="200"/>
        <w:rPr>
          <w:rFonts w:eastAsia="仿宋_GB2312"/>
          <w:sz w:val="32"/>
          <w:szCs w:val="32"/>
        </w:rPr>
      </w:pPr>
      <w:r>
        <w:rPr>
          <w:rFonts w:eastAsia="仿宋_GB2312"/>
          <w:sz w:val="32"/>
          <w:szCs w:val="32"/>
          <w:highlight w:val="none"/>
        </w:rPr>
        <w:t>为确保项目顺利进行，提前做好项目规划，将所列计划</w:t>
      </w:r>
      <w:r>
        <w:rPr>
          <w:rFonts w:eastAsia="仿宋_GB2312"/>
          <w:sz w:val="32"/>
          <w:szCs w:val="32"/>
        </w:rPr>
        <w:t>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6B5C33B6">
      <w:pPr>
        <w:pStyle w:val="17"/>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09F626B9">
      <w:pPr>
        <w:keepNext/>
        <w:keepLines/>
        <w:numPr>
          <w:ilvl w:val="0"/>
          <w:numId w:val="6"/>
        </w:numPr>
        <w:spacing w:line="600" w:lineRule="exact"/>
        <w:ind w:firstLine="643" w:firstLineChars="200"/>
        <w:rPr>
          <w:rFonts w:eastAsia="楷体_GB2312"/>
          <w:b/>
          <w:bCs/>
          <w:sz w:val="32"/>
          <w:szCs w:val="32"/>
        </w:rPr>
      </w:pPr>
      <w:r>
        <w:rPr>
          <w:rFonts w:eastAsia="楷体_GB2312"/>
          <w:b/>
          <w:bCs/>
          <w:sz w:val="32"/>
          <w:szCs w:val="32"/>
        </w:rPr>
        <w:t>存在的问题及原因分析</w:t>
      </w:r>
    </w:p>
    <w:p w14:paraId="2D7576FF">
      <w:pPr>
        <w:pStyle w:val="17"/>
        <w:spacing w:before="0" w:after="0" w:line="600" w:lineRule="exact"/>
        <w:ind w:firstLine="640" w:firstLineChars="200"/>
        <w:jc w:val="both"/>
        <w:rPr>
          <w:rFonts w:hint="eastAsia" w:ascii="Times New Roman" w:hAnsi="Times New Roman" w:eastAsia="仿宋_GB2312"/>
          <w:b w:val="0"/>
          <w:bCs w:val="0"/>
          <w:kern w:val="2"/>
          <w:lang w:eastAsia="zh-CN"/>
        </w:rPr>
      </w:pPr>
      <w:r>
        <w:rPr>
          <w:rFonts w:ascii="Times New Roman" w:hAnsi="Times New Roman" w:eastAsia="仿宋_GB2312"/>
          <w:b w:val="0"/>
          <w:bCs w:val="0"/>
          <w:kern w:val="2"/>
        </w:rPr>
        <w:t>存在的问题</w:t>
      </w:r>
      <w:r>
        <w:rPr>
          <w:rFonts w:hint="eastAsia" w:ascii="Times New Roman" w:hAnsi="Times New Roman" w:eastAsia="仿宋_GB2312"/>
          <w:b w:val="0"/>
          <w:bCs w:val="0"/>
          <w:kern w:val="2"/>
        </w:rPr>
        <w:t>及</w:t>
      </w:r>
      <w:r>
        <w:rPr>
          <w:rFonts w:ascii="Times New Roman" w:hAnsi="Times New Roman" w:eastAsia="仿宋_GB2312"/>
          <w:b w:val="0"/>
          <w:bCs w:val="0"/>
          <w:kern w:val="2"/>
        </w:rPr>
        <w:t>原因分析</w:t>
      </w:r>
      <w:r>
        <w:rPr>
          <w:rFonts w:hint="eastAsia" w:ascii="Times New Roman" w:hAnsi="Times New Roman" w:eastAsia="仿宋_GB2312"/>
          <w:b w:val="0"/>
          <w:bCs w:val="0"/>
          <w:kern w:val="2"/>
        </w:rPr>
        <w:t>：</w:t>
      </w:r>
      <w:r>
        <w:rPr>
          <w:rFonts w:hint="eastAsia" w:ascii="Times New Roman" w:hAnsi="Times New Roman" w:eastAsia="仿宋_GB2312"/>
          <w:b w:val="0"/>
          <w:bCs w:val="0"/>
          <w:kern w:val="2"/>
          <w:lang w:eastAsia="zh-CN"/>
        </w:rPr>
        <w:t>无</w:t>
      </w:r>
    </w:p>
    <w:p w14:paraId="79F79AF8"/>
    <w:p w14:paraId="10193763">
      <w:pPr>
        <w:numPr>
          <w:ilvl w:val="0"/>
          <w:numId w:val="7"/>
        </w:numPr>
        <w:spacing w:line="600" w:lineRule="exact"/>
        <w:ind w:firstLine="640" w:firstLineChars="200"/>
        <w:rPr>
          <w:rFonts w:eastAsia="黑体"/>
          <w:sz w:val="32"/>
          <w:szCs w:val="32"/>
        </w:rPr>
      </w:pPr>
      <w:r>
        <w:rPr>
          <w:rFonts w:eastAsia="黑体"/>
          <w:sz w:val="32"/>
          <w:szCs w:val="32"/>
        </w:rPr>
        <w:t>有关建议</w:t>
      </w:r>
    </w:p>
    <w:p w14:paraId="2D2D7DE7">
      <w:pPr>
        <w:spacing w:line="600" w:lineRule="exact"/>
        <w:ind w:firstLine="640" w:firstLineChars="200"/>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77347D10">
      <w:pPr>
        <w:numPr>
          <w:ilvl w:val="0"/>
          <w:numId w:val="7"/>
        </w:numPr>
        <w:spacing w:line="600" w:lineRule="exact"/>
        <w:ind w:firstLine="640" w:firstLineChars="200"/>
        <w:rPr>
          <w:rFonts w:eastAsia="黑体"/>
          <w:sz w:val="32"/>
          <w:szCs w:val="32"/>
        </w:rPr>
      </w:pPr>
      <w:r>
        <w:rPr>
          <w:rFonts w:eastAsia="黑体"/>
          <w:sz w:val="32"/>
          <w:szCs w:val="32"/>
        </w:rPr>
        <w:t>其他需要说</w:t>
      </w:r>
      <w:bookmarkStart w:id="1" w:name="page8"/>
      <w:bookmarkEnd w:id="1"/>
      <w:r>
        <w:rPr>
          <w:rFonts w:eastAsia="黑体"/>
          <w:sz w:val="32"/>
          <w:szCs w:val="32"/>
        </w:rPr>
        <w:t>明的问题</w:t>
      </w:r>
    </w:p>
    <w:p w14:paraId="1C7183DF">
      <w:pPr>
        <w:pStyle w:val="19"/>
        <w:ind w:firstLine="320" w:firstLineChars="100"/>
        <w:rPr>
          <w:rFonts w:ascii="Times New Roman" w:hAnsi="Times New Roman" w:eastAsia="方正小标宋简体"/>
          <w:b/>
          <w:kern w:val="0"/>
          <w:sz w:val="32"/>
          <w:szCs w:val="32"/>
          <w:lang w:bidi="ar"/>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rPr>
        <w:t>无。</w:t>
      </w:r>
    </w:p>
    <w:p w14:paraId="048598F4">
      <w:pPr>
        <w:spacing w:line="600" w:lineRule="exact"/>
        <w:rPr>
          <w:bCs/>
          <w:sz w:val="32"/>
          <w:szCs w:val="32"/>
        </w:rPr>
      </w:pPr>
      <w:r>
        <w:rPr>
          <w:bCs/>
          <w:sz w:val="32"/>
          <w:szCs w:val="32"/>
        </w:rPr>
        <w:t>附件1</w:t>
      </w:r>
    </w:p>
    <w:tbl>
      <w:tblPr>
        <w:tblStyle w:val="20"/>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14:paraId="74408D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14:paraId="27C8F8C7">
            <w:pPr>
              <w:widowControl/>
              <w:spacing w:line="0" w:lineRule="atLeast"/>
              <w:jc w:val="center"/>
              <w:rPr>
                <w:b/>
                <w:bCs/>
                <w:color w:val="000000"/>
                <w:kern w:val="0"/>
                <w:sz w:val="22"/>
                <w:szCs w:val="22"/>
              </w:rPr>
            </w:pPr>
            <w:r>
              <w:rPr>
                <w:b/>
                <w:bCs/>
                <w:color w:val="000000"/>
                <w:kern w:val="0"/>
                <w:sz w:val="22"/>
                <w:szCs w:val="22"/>
              </w:rPr>
              <w:t>一级指标</w:t>
            </w:r>
          </w:p>
        </w:tc>
        <w:tc>
          <w:tcPr>
            <w:tcW w:w="767" w:type="dxa"/>
            <w:shd w:val="clear" w:color="auto" w:fill="FFFFFF"/>
            <w:vAlign w:val="center"/>
          </w:tcPr>
          <w:p w14:paraId="54219BB3">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14:paraId="435FCFE4">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14:paraId="1A8146C8">
            <w:pPr>
              <w:widowControl/>
              <w:spacing w:line="0" w:lineRule="atLeast"/>
              <w:jc w:val="center"/>
              <w:rPr>
                <w:b/>
                <w:bCs/>
                <w:color w:val="000000"/>
                <w:kern w:val="0"/>
                <w:sz w:val="22"/>
                <w:szCs w:val="22"/>
              </w:rPr>
            </w:pPr>
            <w:r>
              <w:rPr>
                <w:b/>
                <w:bCs/>
                <w:color w:val="000000"/>
                <w:kern w:val="0"/>
                <w:sz w:val="22"/>
                <w:szCs w:val="22"/>
              </w:rPr>
              <w:t>指标解释</w:t>
            </w:r>
          </w:p>
        </w:tc>
        <w:tc>
          <w:tcPr>
            <w:tcW w:w="5188" w:type="dxa"/>
            <w:shd w:val="clear" w:color="auto" w:fill="FFFFFF"/>
            <w:vAlign w:val="center"/>
          </w:tcPr>
          <w:p w14:paraId="16E03BD3">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14:paraId="053384C9">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14:paraId="39E243CE">
            <w:pPr>
              <w:widowControl/>
              <w:spacing w:line="0" w:lineRule="atLeast"/>
              <w:jc w:val="center"/>
              <w:rPr>
                <w:b/>
                <w:bCs/>
                <w:color w:val="000000"/>
                <w:kern w:val="0"/>
                <w:sz w:val="22"/>
                <w:szCs w:val="22"/>
              </w:rPr>
            </w:pPr>
            <w:r>
              <w:rPr>
                <w:b/>
                <w:bCs/>
                <w:color w:val="000000"/>
                <w:kern w:val="0"/>
                <w:sz w:val="22"/>
                <w:szCs w:val="22"/>
              </w:rPr>
              <w:t>得分</w:t>
            </w:r>
          </w:p>
        </w:tc>
      </w:tr>
      <w:tr w14:paraId="4A947E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14:paraId="2D0B6C31">
            <w:pPr>
              <w:widowControl/>
              <w:spacing w:line="0" w:lineRule="atLeast"/>
              <w:jc w:val="center"/>
              <w:rPr>
                <w:color w:val="000000"/>
                <w:kern w:val="0"/>
                <w:sz w:val="22"/>
                <w:szCs w:val="22"/>
              </w:rPr>
            </w:pPr>
            <w:r>
              <w:rPr>
                <w:color w:val="000000"/>
                <w:kern w:val="0"/>
                <w:sz w:val="22"/>
                <w:szCs w:val="22"/>
              </w:rPr>
              <w:t>决策　</w:t>
            </w:r>
          </w:p>
          <w:p w14:paraId="384A8294">
            <w:pPr>
              <w:widowControl/>
              <w:spacing w:line="0" w:lineRule="atLeast"/>
              <w:jc w:val="center"/>
              <w:rPr>
                <w:color w:val="000000"/>
                <w:kern w:val="0"/>
                <w:sz w:val="22"/>
                <w:szCs w:val="22"/>
              </w:rPr>
            </w:pPr>
            <w:r>
              <w:rPr>
                <w:color w:val="000000"/>
                <w:kern w:val="0"/>
                <w:sz w:val="22"/>
                <w:szCs w:val="22"/>
              </w:rPr>
              <w:t>　</w:t>
            </w:r>
          </w:p>
          <w:p w14:paraId="4A42D78A">
            <w:pPr>
              <w:spacing w:line="0" w:lineRule="atLeast"/>
              <w:jc w:val="center"/>
              <w:rPr>
                <w:color w:val="000000"/>
                <w:kern w:val="0"/>
                <w:sz w:val="22"/>
                <w:szCs w:val="22"/>
              </w:rPr>
            </w:pPr>
            <w:r>
              <w:rPr>
                <w:color w:val="000000"/>
                <w:kern w:val="0"/>
                <w:sz w:val="22"/>
                <w:szCs w:val="22"/>
              </w:rPr>
              <w:t>　</w:t>
            </w:r>
          </w:p>
        </w:tc>
        <w:tc>
          <w:tcPr>
            <w:tcW w:w="767" w:type="dxa"/>
            <w:vMerge w:val="restart"/>
            <w:shd w:val="clear" w:color="auto" w:fill="FFFFFF"/>
            <w:vAlign w:val="center"/>
          </w:tcPr>
          <w:p w14:paraId="21427EEE">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14:paraId="5DC0E2BC">
            <w:pPr>
              <w:widowControl/>
              <w:spacing w:line="0" w:lineRule="atLeast"/>
              <w:jc w:val="center"/>
              <w:rPr>
                <w:color w:val="000000"/>
                <w:kern w:val="0"/>
                <w:sz w:val="22"/>
                <w:szCs w:val="22"/>
              </w:rPr>
            </w:pPr>
            <w:r>
              <w:rPr>
                <w:color w:val="000000"/>
                <w:kern w:val="0"/>
                <w:sz w:val="22"/>
                <w:szCs w:val="22"/>
              </w:rPr>
              <w:t>立项依据</w:t>
            </w:r>
          </w:p>
          <w:p w14:paraId="1F7AB326">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14:paraId="5E69B9D4">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88" w:type="dxa"/>
            <w:shd w:val="clear" w:color="auto" w:fill="FFFFFF"/>
            <w:vAlign w:val="center"/>
          </w:tcPr>
          <w:p w14:paraId="18E95652">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14:paraId="7B281E56">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1363" w:type="dxa"/>
            <w:shd w:val="clear" w:color="auto" w:fill="FFFFFF"/>
            <w:vAlign w:val="center"/>
          </w:tcPr>
          <w:p w14:paraId="67E61DC8">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7615E7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14:paraId="0A66BBA7">
            <w:pPr>
              <w:spacing w:line="0" w:lineRule="atLeast"/>
              <w:jc w:val="center"/>
              <w:rPr>
                <w:color w:val="000000"/>
                <w:kern w:val="0"/>
                <w:sz w:val="22"/>
                <w:szCs w:val="22"/>
              </w:rPr>
            </w:pPr>
          </w:p>
        </w:tc>
        <w:tc>
          <w:tcPr>
            <w:tcW w:w="767" w:type="dxa"/>
            <w:vMerge w:val="continue"/>
            <w:shd w:val="clear" w:color="auto" w:fill="FFFFFF"/>
            <w:vAlign w:val="center"/>
          </w:tcPr>
          <w:p w14:paraId="3873044A">
            <w:pPr>
              <w:widowControl/>
              <w:spacing w:line="0" w:lineRule="atLeast"/>
              <w:jc w:val="center"/>
              <w:rPr>
                <w:color w:val="000000"/>
                <w:kern w:val="0"/>
                <w:sz w:val="22"/>
                <w:szCs w:val="22"/>
              </w:rPr>
            </w:pPr>
          </w:p>
        </w:tc>
        <w:tc>
          <w:tcPr>
            <w:tcW w:w="873" w:type="dxa"/>
            <w:shd w:val="clear" w:color="auto" w:fill="FFFFFF"/>
            <w:vAlign w:val="center"/>
          </w:tcPr>
          <w:p w14:paraId="40E8D4C2">
            <w:pPr>
              <w:widowControl/>
              <w:spacing w:line="0" w:lineRule="atLeast"/>
              <w:jc w:val="center"/>
              <w:rPr>
                <w:color w:val="000000"/>
                <w:kern w:val="0"/>
                <w:sz w:val="22"/>
                <w:szCs w:val="22"/>
              </w:rPr>
            </w:pPr>
            <w:r>
              <w:rPr>
                <w:color w:val="000000"/>
                <w:kern w:val="0"/>
                <w:sz w:val="22"/>
                <w:szCs w:val="22"/>
              </w:rPr>
              <w:t>立项程序</w:t>
            </w:r>
          </w:p>
          <w:p w14:paraId="16DCFD20">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14:paraId="14F0C2A0">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88" w:type="dxa"/>
            <w:shd w:val="clear" w:color="auto" w:fill="FFFFFF"/>
            <w:vAlign w:val="center"/>
          </w:tcPr>
          <w:p w14:paraId="572485A6">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14:paraId="10BF4E0E">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1363" w:type="dxa"/>
            <w:shd w:val="clear" w:color="auto" w:fill="FFFFFF"/>
            <w:vAlign w:val="center"/>
          </w:tcPr>
          <w:p w14:paraId="3695B4A5">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157AE0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14:paraId="775DB366">
            <w:pPr>
              <w:spacing w:line="0" w:lineRule="atLeast"/>
              <w:jc w:val="center"/>
              <w:rPr>
                <w:color w:val="000000"/>
                <w:kern w:val="0"/>
                <w:sz w:val="22"/>
                <w:szCs w:val="22"/>
              </w:rPr>
            </w:pPr>
          </w:p>
        </w:tc>
        <w:tc>
          <w:tcPr>
            <w:tcW w:w="767" w:type="dxa"/>
            <w:shd w:val="clear" w:color="auto" w:fill="FFFFFF"/>
            <w:vAlign w:val="center"/>
          </w:tcPr>
          <w:p w14:paraId="5AF03DCA">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14:paraId="3D684895">
            <w:pPr>
              <w:widowControl/>
              <w:spacing w:line="0" w:lineRule="atLeast"/>
              <w:jc w:val="center"/>
              <w:rPr>
                <w:color w:val="000000"/>
                <w:kern w:val="0"/>
                <w:sz w:val="22"/>
                <w:szCs w:val="22"/>
              </w:rPr>
            </w:pPr>
            <w:r>
              <w:rPr>
                <w:color w:val="000000"/>
                <w:kern w:val="0"/>
                <w:sz w:val="22"/>
                <w:szCs w:val="22"/>
              </w:rPr>
              <w:t>绩效目标</w:t>
            </w:r>
          </w:p>
          <w:p w14:paraId="68F33B7C">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14:paraId="47FA6CAE">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14:paraId="25B7ABDF">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14:paraId="6268725E">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14:paraId="41196027">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000000" w:fill="FFFFFF"/>
            <w:vAlign w:val="center"/>
          </w:tcPr>
          <w:p w14:paraId="02B42AF6">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82255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14:paraId="33A431D2">
            <w:pPr>
              <w:widowControl/>
              <w:spacing w:line="0" w:lineRule="atLeast"/>
              <w:jc w:val="center"/>
              <w:rPr>
                <w:color w:val="000000"/>
                <w:kern w:val="0"/>
                <w:sz w:val="22"/>
                <w:szCs w:val="22"/>
              </w:rPr>
            </w:pPr>
            <w:r>
              <w:rPr>
                <w:color w:val="000000"/>
                <w:kern w:val="0"/>
                <w:sz w:val="22"/>
                <w:szCs w:val="22"/>
              </w:rPr>
              <w:t>决策　</w:t>
            </w:r>
          </w:p>
        </w:tc>
        <w:tc>
          <w:tcPr>
            <w:tcW w:w="767" w:type="dxa"/>
            <w:shd w:val="clear" w:color="auto" w:fill="FFFFFF"/>
            <w:vAlign w:val="center"/>
          </w:tcPr>
          <w:p w14:paraId="6F18013D">
            <w:pPr>
              <w:widowControl/>
              <w:spacing w:line="0" w:lineRule="atLeast"/>
              <w:jc w:val="center"/>
              <w:rPr>
                <w:color w:val="000000"/>
                <w:kern w:val="0"/>
                <w:sz w:val="22"/>
                <w:szCs w:val="22"/>
              </w:rPr>
            </w:pPr>
            <w:r>
              <w:rPr>
                <w:color w:val="000000"/>
                <w:kern w:val="0"/>
                <w:sz w:val="22"/>
                <w:szCs w:val="22"/>
              </w:rPr>
              <w:t>绩效目标</w:t>
            </w:r>
          </w:p>
        </w:tc>
        <w:tc>
          <w:tcPr>
            <w:tcW w:w="873" w:type="dxa"/>
            <w:shd w:val="clear" w:color="auto" w:fill="FFFFFF"/>
            <w:vAlign w:val="center"/>
          </w:tcPr>
          <w:p w14:paraId="09C94DCF">
            <w:pPr>
              <w:widowControl/>
              <w:spacing w:line="0" w:lineRule="atLeast"/>
              <w:jc w:val="center"/>
              <w:rPr>
                <w:color w:val="000000"/>
                <w:kern w:val="0"/>
                <w:sz w:val="22"/>
                <w:szCs w:val="22"/>
              </w:rPr>
            </w:pPr>
            <w:r>
              <w:rPr>
                <w:color w:val="000000"/>
                <w:kern w:val="0"/>
                <w:sz w:val="22"/>
                <w:szCs w:val="22"/>
              </w:rPr>
              <w:t>绩效指标</w:t>
            </w:r>
          </w:p>
          <w:p w14:paraId="08A6859A">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14:paraId="608FAF64">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88" w:type="dxa"/>
            <w:shd w:val="clear" w:color="000000" w:fill="FFFFFF"/>
            <w:vAlign w:val="center"/>
          </w:tcPr>
          <w:p w14:paraId="0589759A">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14:paraId="57386BB0">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1363" w:type="dxa"/>
            <w:shd w:val="clear" w:color="000000" w:fill="FFFFFF"/>
            <w:vAlign w:val="center"/>
          </w:tcPr>
          <w:p w14:paraId="0E8E6DBD">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0D985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14:paraId="5FB8B759">
            <w:pPr>
              <w:spacing w:line="0" w:lineRule="atLeast"/>
              <w:jc w:val="center"/>
              <w:rPr>
                <w:color w:val="000000"/>
                <w:kern w:val="0"/>
                <w:sz w:val="22"/>
                <w:szCs w:val="22"/>
              </w:rPr>
            </w:pPr>
          </w:p>
        </w:tc>
        <w:tc>
          <w:tcPr>
            <w:tcW w:w="767" w:type="dxa"/>
            <w:vMerge w:val="restart"/>
            <w:shd w:val="clear" w:color="auto" w:fill="FFFFFF"/>
            <w:vAlign w:val="center"/>
          </w:tcPr>
          <w:p w14:paraId="7C844AE9">
            <w:pPr>
              <w:widowControl/>
              <w:spacing w:line="0" w:lineRule="atLeast"/>
              <w:jc w:val="center"/>
              <w:rPr>
                <w:color w:val="000000"/>
                <w:kern w:val="0"/>
                <w:sz w:val="22"/>
                <w:szCs w:val="22"/>
              </w:rPr>
            </w:pPr>
            <w:r>
              <w:rPr>
                <w:color w:val="000000"/>
                <w:kern w:val="0"/>
                <w:sz w:val="22"/>
                <w:szCs w:val="22"/>
              </w:rPr>
              <w:t>资金投入</w:t>
            </w:r>
          </w:p>
          <w:p w14:paraId="6CA9A198">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14:paraId="45C759FC">
            <w:pPr>
              <w:widowControl/>
              <w:spacing w:line="0" w:lineRule="atLeast"/>
              <w:jc w:val="center"/>
              <w:rPr>
                <w:color w:val="000000"/>
                <w:kern w:val="0"/>
                <w:sz w:val="22"/>
                <w:szCs w:val="22"/>
              </w:rPr>
            </w:pPr>
            <w:r>
              <w:rPr>
                <w:color w:val="000000"/>
                <w:kern w:val="0"/>
                <w:sz w:val="22"/>
                <w:szCs w:val="22"/>
              </w:rPr>
              <w:t>预算编制</w:t>
            </w:r>
          </w:p>
          <w:p w14:paraId="52CD267C">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14:paraId="43884550">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14:paraId="4B810174">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14:paraId="6CD45907">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auto" w:fill="FFFFFF"/>
            <w:vAlign w:val="center"/>
          </w:tcPr>
          <w:p w14:paraId="0150A3F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3F4B41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14:paraId="5017A8E6">
            <w:pPr>
              <w:widowControl/>
              <w:spacing w:line="0" w:lineRule="atLeast"/>
              <w:jc w:val="center"/>
              <w:rPr>
                <w:color w:val="000000"/>
                <w:kern w:val="0"/>
                <w:sz w:val="22"/>
                <w:szCs w:val="22"/>
              </w:rPr>
            </w:pPr>
          </w:p>
        </w:tc>
        <w:tc>
          <w:tcPr>
            <w:tcW w:w="767" w:type="dxa"/>
            <w:vMerge w:val="continue"/>
            <w:shd w:val="clear" w:color="auto" w:fill="FFFFFF"/>
            <w:vAlign w:val="center"/>
          </w:tcPr>
          <w:p w14:paraId="6D19A04B">
            <w:pPr>
              <w:widowControl/>
              <w:spacing w:line="0" w:lineRule="atLeast"/>
              <w:jc w:val="center"/>
              <w:rPr>
                <w:color w:val="000000"/>
                <w:kern w:val="0"/>
                <w:sz w:val="22"/>
                <w:szCs w:val="22"/>
              </w:rPr>
            </w:pPr>
          </w:p>
        </w:tc>
        <w:tc>
          <w:tcPr>
            <w:tcW w:w="873" w:type="dxa"/>
            <w:shd w:val="clear" w:color="auto" w:fill="FFFFFF"/>
            <w:vAlign w:val="center"/>
          </w:tcPr>
          <w:p w14:paraId="41B48B94">
            <w:pPr>
              <w:widowControl/>
              <w:spacing w:line="0" w:lineRule="atLeast"/>
              <w:jc w:val="center"/>
              <w:rPr>
                <w:color w:val="000000"/>
                <w:kern w:val="0"/>
                <w:sz w:val="22"/>
                <w:szCs w:val="22"/>
              </w:rPr>
            </w:pPr>
            <w:r>
              <w:rPr>
                <w:color w:val="000000"/>
                <w:kern w:val="0"/>
                <w:sz w:val="22"/>
                <w:szCs w:val="22"/>
              </w:rPr>
              <w:t>资金分配</w:t>
            </w:r>
          </w:p>
          <w:p w14:paraId="5A51AF96">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14:paraId="5CFDC513">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14:paraId="6CF9E7B7">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14:paraId="6C58CFC4">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1363" w:type="dxa"/>
            <w:shd w:val="clear" w:color="auto" w:fill="FFFFFF"/>
            <w:vAlign w:val="center"/>
          </w:tcPr>
          <w:p w14:paraId="29CFC4AC">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3DFDB3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14:paraId="11B86B93">
            <w:pPr>
              <w:spacing w:line="0" w:lineRule="atLeast"/>
              <w:jc w:val="center"/>
              <w:rPr>
                <w:color w:val="000000"/>
                <w:kern w:val="0"/>
                <w:sz w:val="22"/>
                <w:szCs w:val="22"/>
              </w:rPr>
            </w:pPr>
            <w:r>
              <w:rPr>
                <w:color w:val="000000"/>
                <w:kern w:val="0"/>
                <w:sz w:val="22"/>
                <w:szCs w:val="22"/>
              </w:rPr>
              <w:t>过程</w:t>
            </w:r>
          </w:p>
        </w:tc>
        <w:tc>
          <w:tcPr>
            <w:tcW w:w="767" w:type="dxa"/>
            <w:vMerge w:val="restart"/>
            <w:shd w:val="clear" w:color="auto" w:fill="FFFFFF"/>
            <w:vAlign w:val="center"/>
          </w:tcPr>
          <w:p w14:paraId="39F10F48">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14:paraId="2CF97EAB">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14:paraId="2D157488">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88" w:type="dxa"/>
            <w:shd w:val="clear" w:color="000000" w:fill="FFFFFF"/>
            <w:vAlign w:val="center"/>
          </w:tcPr>
          <w:p w14:paraId="67D728AF">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51122A42">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4491DA67">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14:paraId="78BFAAB2">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000000" w:fill="FFFFFF"/>
            <w:vAlign w:val="center"/>
          </w:tcPr>
          <w:p w14:paraId="08AF7819">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513402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14:paraId="682E3378">
            <w:pPr>
              <w:spacing w:line="0" w:lineRule="atLeast"/>
              <w:jc w:val="center"/>
              <w:rPr>
                <w:color w:val="000000"/>
                <w:kern w:val="0"/>
                <w:sz w:val="22"/>
                <w:szCs w:val="22"/>
              </w:rPr>
            </w:pPr>
          </w:p>
        </w:tc>
        <w:tc>
          <w:tcPr>
            <w:tcW w:w="767" w:type="dxa"/>
            <w:vMerge w:val="continue"/>
            <w:shd w:val="clear" w:color="auto" w:fill="FFFFFF"/>
            <w:vAlign w:val="center"/>
          </w:tcPr>
          <w:p w14:paraId="28CD4FAB">
            <w:pPr>
              <w:spacing w:line="0" w:lineRule="atLeast"/>
              <w:jc w:val="center"/>
              <w:rPr>
                <w:color w:val="000000"/>
                <w:kern w:val="0"/>
                <w:sz w:val="22"/>
                <w:szCs w:val="22"/>
              </w:rPr>
            </w:pPr>
          </w:p>
        </w:tc>
        <w:tc>
          <w:tcPr>
            <w:tcW w:w="873" w:type="dxa"/>
            <w:shd w:val="clear" w:color="auto" w:fill="FFFFFF"/>
            <w:vAlign w:val="center"/>
          </w:tcPr>
          <w:p w14:paraId="604954C0">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14:paraId="22036E66">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88" w:type="dxa"/>
            <w:shd w:val="clear" w:color="auto" w:fill="FFFFFF"/>
            <w:vAlign w:val="center"/>
          </w:tcPr>
          <w:p w14:paraId="568E8126">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14:paraId="5DDD2E43">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auto" w:fill="FFFFFF"/>
            <w:vAlign w:val="center"/>
          </w:tcPr>
          <w:p w14:paraId="3947CD89">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5165A5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14:paraId="20AA042F">
            <w:pPr>
              <w:widowControl/>
              <w:spacing w:line="0" w:lineRule="atLeast"/>
              <w:jc w:val="center"/>
              <w:rPr>
                <w:color w:val="000000"/>
                <w:kern w:val="0"/>
                <w:sz w:val="22"/>
                <w:szCs w:val="22"/>
              </w:rPr>
            </w:pPr>
            <w:r>
              <w:rPr>
                <w:color w:val="000000"/>
                <w:kern w:val="0"/>
                <w:sz w:val="22"/>
                <w:szCs w:val="22"/>
              </w:rPr>
              <w:t>　</w:t>
            </w:r>
          </w:p>
          <w:p w14:paraId="7754BB11">
            <w:pPr>
              <w:spacing w:line="0" w:lineRule="atLeast"/>
              <w:jc w:val="center"/>
              <w:rPr>
                <w:color w:val="000000"/>
                <w:kern w:val="0"/>
                <w:sz w:val="22"/>
                <w:szCs w:val="22"/>
              </w:rPr>
            </w:pPr>
            <w:r>
              <w:rPr>
                <w:color w:val="000000"/>
                <w:kern w:val="0"/>
                <w:sz w:val="22"/>
                <w:szCs w:val="22"/>
              </w:rPr>
              <w:t>过程　</w:t>
            </w:r>
          </w:p>
        </w:tc>
        <w:tc>
          <w:tcPr>
            <w:tcW w:w="767" w:type="dxa"/>
            <w:shd w:val="clear" w:color="auto" w:fill="FFFFFF"/>
            <w:vAlign w:val="center"/>
          </w:tcPr>
          <w:p w14:paraId="06A41BDB">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14:paraId="1500A7E7">
            <w:pPr>
              <w:widowControl/>
              <w:spacing w:line="0" w:lineRule="atLeast"/>
              <w:jc w:val="center"/>
              <w:rPr>
                <w:color w:val="000000"/>
                <w:kern w:val="0"/>
                <w:sz w:val="22"/>
                <w:szCs w:val="22"/>
              </w:rPr>
            </w:pPr>
            <w:r>
              <w:rPr>
                <w:color w:val="000000"/>
                <w:kern w:val="0"/>
                <w:sz w:val="22"/>
                <w:szCs w:val="22"/>
              </w:rPr>
              <w:t>资金使用</w:t>
            </w:r>
          </w:p>
          <w:p w14:paraId="5AB9011F">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14:paraId="2F3E4A60">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88" w:type="dxa"/>
            <w:shd w:val="clear" w:color="000000" w:fill="FFFFFF"/>
            <w:vAlign w:val="center"/>
          </w:tcPr>
          <w:p w14:paraId="6B65C839">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14:paraId="0559FFF5">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000000" w:fill="FFFFFF"/>
            <w:vAlign w:val="center"/>
          </w:tcPr>
          <w:p w14:paraId="57ED9F8F">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0BFABB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14:paraId="195A76AB">
            <w:pPr>
              <w:spacing w:line="0" w:lineRule="atLeast"/>
              <w:jc w:val="center"/>
              <w:rPr>
                <w:color w:val="000000"/>
                <w:kern w:val="0"/>
                <w:sz w:val="22"/>
                <w:szCs w:val="22"/>
              </w:rPr>
            </w:pPr>
          </w:p>
        </w:tc>
        <w:tc>
          <w:tcPr>
            <w:tcW w:w="767" w:type="dxa"/>
            <w:vMerge w:val="restart"/>
            <w:shd w:val="clear" w:color="auto" w:fill="FFFFFF"/>
            <w:vAlign w:val="center"/>
          </w:tcPr>
          <w:p w14:paraId="08C98FEE">
            <w:pPr>
              <w:widowControl/>
              <w:spacing w:line="0" w:lineRule="atLeast"/>
              <w:jc w:val="center"/>
              <w:rPr>
                <w:color w:val="000000"/>
                <w:kern w:val="0"/>
                <w:sz w:val="22"/>
                <w:szCs w:val="22"/>
              </w:rPr>
            </w:pPr>
            <w:r>
              <w:rPr>
                <w:color w:val="000000"/>
                <w:kern w:val="0"/>
                <w:sz w:val="22"/>
                <w:szCs w:val="22"/>
              </w:rPr>
              <w:t>组织实施</w:t>
            </w:r>
          </w:p>
          <w:p w14:paraId="6FB0901E">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14:paraId="526FC2F3">
            <w:pPr>
              <w:widowControl/>
              <w:spacing w:line="0" w:lineRule="atLeast"/>
              <w:jc w:val="center"/>
              <w:rPr>
                <w:color w:val="000000"/>
                <w:kern w:val="0"/>
                <w:sz w:val="22"/>
                <w:szCs w:val="22"/>
              </w:rPr>
            </w:pPr>
            <w:r>
              <w:rPr>
                <w:color w:val="000000"/>
                <w:kern w:val="0"/>
                <w:sz w:val="22"/>
                <w:szCs w:val="22"/>
              </w:rPr>
              <w:t>管理制度</w:t>
            </w:r>
          </w:p>
          <w:p w14:paraId="35B312B8">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14:paraId="76459F12">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14:paraId="270F886D">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14:paraId="629DA309">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000000" w:fill="FFFFFF"/>
            <w:vAlign w:val="center"/>
          </w:tcPr>
          <w:p w14:paraId="5CE61F9E">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755415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14:paraId="407CCB2C">
            <w:pPr>
              <w:widowControl/>
              <w:spacing w:line="0" w:lineRule="atLeast"/>
              <w:jc w:val="center"/>
              <w:rPr>
                <w:color w:val="000000"/>
                <w:kern w:val="0"/>
                <w:sz w:val="22"/>
                <w:szCs w:val="22"/>
              </w:rPr>
            </w:pPr>
          </w:p>
        </w:tc>
        <w:tc>
          <w:tcPr>
            <w:tcW w:w="767" w:type="dxa"/>
            <w:vMerge w:val="continue"/>
            <w:shd w:val="clear" w:color="auto" w:fill="FFFFFF"/>
            <w:vAlign w:val="center"/>
          </w:tcPr>
          <w:p w14:paraId="026DCF84">
            <w:pPr>
              <w:widowControl/>
              <w:spacing w:line="0" w:lineRule="atLeast"/>
              <w:jc w:val="center"/>
              <w:rPr>
                <w:color w:val="000000"/>
                <w:kern w:val="0"/>
                <w:sz w:val="22"/>
                <w:szCs w:val="22"/>
              </w:rPr>
            </w:pPr>
          </w:p>
        </w:tc>
        <w:tc>
          <w:tcPr>
            <w:tcW w:w="873" w:type="dxa"/>
            <w:shd w:val="clear" w:color="auto" w:fill="FFFFFF"/>
            <w:vAlign w:val="center"/>
          </w:tcPr>
          <w:p w14:paraId="4560ED6A">
            <w:pPr>
              <w:widowControl/>
              <w:spacing w:line="0" w:lineRule="atLeast"/>
              <w:jc w:val="center"/>
              <w:rPr>
                <w:color w:val="000000"/>
                <w:kern w:val="0"/>
                <w:sz w:val="22"/>
                <w:szCs w:val="22"/>
              </w:rPr>
            </w:pPr>
            <w:r>
              <w:rPr>
                <w:color w:val="000000"/>
                <w:kern w:val="0"/>
                <w:sz w:val="22"/>
                <w:szCs w:val="22"/>
              </w:rPr>
              <w:t>制度执行</w:t>
            </w:r>
          </w:p>
          <w:p w14:paraId="69060455">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14:paraId="09844A20">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88" w:type="dxa"/>
            <w:shd w:val="clear" w:color="000000" w:fill="FFFFFF"/>
            <w:vAlign w:val="center"/>
          </w:tcPr>
          <w:p w14:paraId="59A66603">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14:paraId="52B7FE49">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000000" w:fill="FFFFFF"/>
            <w:vAlign w:val="center"/>
          </w:tcPr>
          <w:p w14:paraId="5C5641D6">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4557A0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14:paraId="5F2365B0">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14:paraId="3F69304A">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14:paraId="0BA9BE89">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14:paraId="79ABFEBE">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88" w:type="dxa"/>
            <w:shd w:val="clear" w:color="000000" w:fill="FFFFFF"/>
            <w:vAlign w:val="center"/>
          </w:tcPr>
          <w:p w14:paraId="4F33A62A">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14:paraId="5028C576">
            <w:pPr>
              <w:widowControl/>
              <w:spacing w:line="0" w:lineRule="atLeas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1363" w:type="dxa"/>
            <w:shd w:val="clear" w:color="000000" w:fill="FFFFFF"/>
            <w:vAlign w:val="center"/>
          </w:tcPr>
          <w:p w14:paraId="5DF87143">
            <w:pPr>
              <w:widowControl/>
              <w:spacing w:line="0" w:lineRule="atLeast"/>
              <w:jc w:val="center"/>
              <w:rPr>
                <w:rFonts w:hint="eastAsia"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55AAE8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14:paraId="6F855734">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14:paraId="462102FE">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14:paraId="0138A408">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14:paraId="06A77B4C">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14:paraId="05391808">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352D2D12">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6B1FC36C">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52E0DE2C">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10</w:t>
            </w:r>
          </w:p>
        </w:tc>
      </w:tr>
      <w:tr w14:paraId="6AE594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14:paraId="23A97476">
            <w:pPr>
              <w:spacing w:line="0" w:lineRule="atLeast"/>
              <w:jc w:val="center"/>
              <w:rPr>
                <w:color w:val="000000"/>
                <w:kern w:val="0"/>
                <w:sz w:val="22"/>
                <w:szCs w:val="22"/>
              </w:rPr>
            </w:pPr>
          </w:p>
        </w:tc>
        <w:tc>
          <w:tcPr>
            <w:tcW w:w="767" w:type="dxa"/>
            <w:shd w:val="clear" w:color="auto" w:fill="FFFFFF"/>
            <w:vAlign w:val="center"/>
          </w:tcPr>
          <w:p w14:paraId="6DDCC32C">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14:paraId="24F859C5">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14:paraId="6E48154F">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88" w:type="dxa"/>
            <w:shd w:val="clear" w:color="000000" w:fill="FFFFFF"/>
            <w:vAlign w:val="center"/>
          </w:tcPr>
          <w:p w14:paraId="725C57D7">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14:paraId="0891CD47">
            <w:pPr>
              <w:widowControl/>
              <w:spacing w:line="0" w:lineRule="atLeas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1363" w:type="dxa"/>
            <w:shd w:val="clear" w:color="000000" w:fill="FFFFFF"/>
            <w:vAlign w:val="center"/>
          </w:tcPr>
          <w:p w14:paraId="3002BC00">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10</w:t>
            </w:r>
          </w:p>
        </w:tc>
      </w:tr>
      <w:tr w14:paraId="23283B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14:paraId="7FDE9575">
            <w:pPr>
              <w:widowControl/>
              <w:spacing w:line="0" w:lineRule="atLeast"/>
              <w:jc w:val="center"/>
              <w:rPr>
                <w:color w:val="000000"/>
                <w:kern w:val="0"/>
                <w:sz w:val="22"/>
                <w:szCs w:val="22"/>
              </w:rPr>
            </w:pPr>
          </w:p>
        </w:tc>
        <w:tc>
          <w:tcPr>
            <w:tcW w:w="767" w:type="dxa"/>
            <w:shd w:val="clear" w:color="auto" w:fill="FFFFFF"/>
            <w:vAlign w:val="center"/>
          </w:tcPr>
          <w:p w14:paraId="5EEFB97A">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14:paraId="4A0ECB11">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14:paraId="4FC12B7C">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14:paraId="192BD663">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14:paraId="7FDA4708">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7171B5B2">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10</w:t>
            </w:r>
          </w:p>
        </w:tc>
      </w:tr>
      <w:tr w14:paraId="654688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14:paraId="4DC30FAF">
            <w:pPr>
              <w:widowControl/>
              <w:spacing w:line="0" w:lineRule="atLeast"/>
              <w:jc w:val="center"/>
              <w:rPr>
                <w:color w:val="000000"/>
                <w:kern w:val="0"/>
                <w:sz w:val="22"/>
                <w:szCs w:val="22"/>
              </w:rPr>
            </w:pPr>
            <w:r>
              <w:rPr>
                <w:color w:val="000000"/>
                <w:kern w:val="0"/>
                <w:sz w:val="22"/>
                <w:szCs w:val="22"/>
              </w:rPr>
              <w:t>效益　</w:t>
            </w:r>
          </w:p>
        </w:tc>
        <w:tc>
          <w:tcPr>
            <w:tcW w:w="767" w:type="dxa"/>
            <w:vMerge w:val="restart"/>
            <w:shd w:val="clear" w:color="auto" w:fill="FFFFFF"/>
            <w:vAlign w:val="center"/>
          </w:tcPr>
          <w:p w14:paraId="34A35DD5">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14:paraId="75FD4860">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14:paraId="39B788D9">
            <w:pPr>
              <w:widowControl/>
              <w:spacing w:line="0" w:lineRule="atLeast"/>
              <w:jc w:val="left"/>
              <w:rPr>
                <w:color w:val="000000"/>
                <w:kern w:val="0"/>
                <w:sz w:val="22"/>
                <w:szCs w:val="22"/>
              </w:rPr>
            </w:pPr>
            <w:r>
              <w:rPr>
                <w:color w:val="000000"/>
                <w:kern w:val="0"/>
                <w:sz w:val="22"/>
                <w:szCs w:val="22"/>
              </w:rPr>
              <w:t>项目实施所产生的效益。</w:t>
            </w:r>
          </w:p>
        </w:tc>
        <w:tc>
          <w:tcPr>
            <w:tcW w:w="5188" w:type="dxa"/>
            <w:shd w:val="clear" w:color="auto" w:fill="FFFFFF"/>
            <w:vAlign w:val="center"/>
          </w:tcPr>
          <w:p w14:paraId="31808377">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14:paraId="04721868">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15</w:t>
            </w:r>
          </w:p>
        </w:tc>
        <w:tc>
          <w:tcPr>
            <w:tcW w:w="1363" w:type="dxa"/>
            <w:shd w:val="clear" w:color="auto" w:fill="FFFFFF"/>
            <w:vAlign w:val="center"/>
          </w:tcPr>
          <w:p w14:paraId="25AFA0CA">
            <w:pPr>
              <w:widowControl/>
              <w:spacing w:line="0" w:lineRule="atLeast"/>
              <w:jc w:val="center"/>
              <w:rPr>
                <w:rFonts w:hint="eastAsia"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15</w:t>
            </w:r>
          </w:p>
        </w:tc>
      </w:tr>
      <w:tr w14:paraId="3B8468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14:paraId="4395F497">
            <w:pPr>
              <w:widowControl/>
              <w:spacing w:line="0" w:lineRule="atLeast"/>
              <w:jc w:val="center"/>
              <w:rPr>
                <w:color w:val="000000"/>
                <w:kern w:val="0"/>
                <w:sz w:val="22"/>
                <w:szCs w:val="22"/>
              </w:rPr>
            </w:pPr>
          </w:p>
        </w:tc>
        <w:tc>
          <w:tcPr>
            <w:tcW w:w="767" w:type="dxa"/>
            <w:vMerge w:val="continue"/>
            <w:shd w:val="clear" w:color="auto" w:fill="FFFFFF"/>
            <w:vAlign w:val="center"/>
          </w:tcPr>
          <w:p w14:paraId="09756818">
            <w:pPr>
              <w:widowControl/>
              <w:spacing w:line="0" w:lineRule="atLeast"/>
              <w:jc w:val="center"/>
              <w:rPr>
                <w:color w:val="000000"/>
                <w:kern w:val="0"/>
                <w:sz w:val="22"/>
                <w:szCs w:val="22"/>
              </w:rPr>
            </w:pPr>
          </w:p>
        </w:tc>
        <w:tc>
          <w:tcPr>
            <w:tcW w:w="873" w:type="dxa"/>
            <w:shd w:val="clear" w:color="auto" w:fill="FFFFFF"/>
            <w:vAlign w:val="center"/>
          </w:tcPr>
          <w:p w14:paraId="4E9656DB">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14:paraId="1F454829">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88" w:type="dxa"/>
            <w:shd w:val="clear" w:color="000000" w:fill="FFFFFF"/>
            <w:vAlign w:val="center"/>
          </w:tcPr>
          <w:p w14:paraId="6062CD31">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14:paraId="360A8C80">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5</w:t>
            </w:r>
          </w:p>
        </w:tc>
        <w:tc>
          <w:tcPr>
            <w:tcW w:w="1363" w:type="dxa"/>
            <w:shd w:val="clear" w:color="000000" w:fill="FFFFFF"/>
            <w:vAlign w:val="center"/>
          </w:tcPr>
          <w:p w14:paraId="5D4D5624">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5</w:t>
            </w:r>
          </w:p>
        </w:tc>
      </w:tr>
    </w:tbl>
    <w:p w14:paraId="59B28FA7">
      <w:pPr>
        <w:pStyle w:val="17"/>
        <w:rPr>
          <w:rFonts w:ascii="Times New Roman" w:hAnsi="Times New Roman"/>
        </w:rPr>
      </w:pPr>
    </w:p>
    <w:p w14:paraId="641F6EDC">
      <w:pPr>
        <w:spacing w:line="540" w:lineRule="exact"/>
        <w:rPr>
          <w:rStyle w:val="23"/>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仿宋_GB2312">
    <w:panose1 w:val="02010609030101010101"/>
    <w:charset w:val="86"/>
    <w:family w:val="swiss"/>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A6AE291">
        <w:pPr>
          <w:pStyle w:val="14"/>
          <w:jc w:val="center"/>
        </w:pPr>
        <w:r>
          <w:fldChar w:fldCharType="begin"/>
        </w:r>
        <w:r>
          <w:instrText xml:space="preserve">PAGE   \* MERGEFORMAT</w:instrText>
        </w:r>
        <w:r>
          <w:fldChar w:fldCharType="separate"/>
        </w:r>
        <w:r>
          <w:rPr>
            <w:lang w:val="zh-CN"/>
          </w:rPr>
          <w:t>17</w:t>
        </w:r>
        <w:r>
          <w:fldChar w:fldCharType="end"/>
        </w:r>
      </w:p>
    </w:sdtContent>
  </w:sdt>
  <w:p w14:paraId="4A9563C4">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num w:numId="1">
    <w:abstractNumId w:val="2"/>
  </w:num>
  <w:num w:numId="2">
    <w:abstractNumId w:val="1"/>
  </w:num>
  <w:num w:numId="3">
    <w:abstractNumId w:val="5"/>
  </w:num>
  <w:num w:numId="4">
    <w:abstractNumId w:val="6"/>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4ZTk4ZThiOTlhYTkyOGVkOWQ5NDlhNjIwNjNhNzE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8C662D4"/>
    <w:rsid w:val="09BD4D95"/>
    <w:rsid w:val="0B0F58D6"/>
    <w:rsid w:val="0F8D41CB"/>
    <w:rsid w:val="0FEE2F21"/>
    <w:rsid w:val="114B5DCF"/>
    <w:rsid w:val="11C75270"/>
    <w:rsid w:val="12637CC3"/>
    <w:rsid w:val="12E657C5"/>
    <w:rsid w:val="133C6E2A"/>
    <w:rsid w:val="167C7687"/>
    <w:rsid w:val="168B3546"/>
    <w:rsid w:val="1A2374E0"/>
    <w:rsid w:val="1C317CE2"/>
    <w:rsid w:val="1DD45808"/>
    <w:rsid w:val="1DED42AC"/>
    <w:rsid w:val="20005763"/>
    <w:rsid w:val="20FB313D"/>
    <w:rsid w:val="220B4804"/>
    <w:rsid w:val="278B653F"/>
    <w:rsid w:val="282475E3"/>
    <w:rsid w:val="29E421D9"/>
    <w:rsid w:val="2C6100C1"/>
    <w:rsid w:val="3235157C"/>
    <w:rsid w:val="3264220D"/>
    <w:rsid w:val="32A83563"/>
    <w:rsid w:val="38872456"/>
    <w:rsid w:val="3963178C"/>
    <w:rsid w:val="39C304B3"/>
    <w:rsid w:val="3BA5236D"/>
    <w:rsid w:val="3CED0699"/>
    <w:rsid w:val="3EB02FD6"/>
    <w:rsid w:val="41CC2676"/>
    <w:rsid w:val="43686BE4"/>
    <w:rsid w:val="45C32569"/>
    <w:rsid w:val="46B21672"/>
    <w:rsid w:val="4CB70482"/>
    <w:rsid w:val="4F552460"/>
    <w:rsid w:val="4FCC6863"/>
    <w:rsid w:val="500A214A"/>
    <w:rsid w:val="522D604D"/>
    <w:rsid w:val="5297585E"/>
    <w:rsid w:val="52AD7D6F"/>
    <w:rsid w:val="5549519D"/>
    <w:rsid w:val="5557596B"/>
    <w:rsid w:val="5B596DFC"/>
    <w:rsid w:val="5DAE6D00"/>
    <w:rsid w:val="5DF03945"/>
    <w:rsid w:val="5F03526B"/>
    <w:rsid w:val="62E515AF"/>
    <w:rsid w:val="637C2815"/>
    <w:rsid w:val="666B4FDC"/>
    <w:rsid w:val="67FF13C8"/>
    <w:rsid w:val="682144B7"/>
    <w:rsid w:val="6B503F77"/>
    <w:rsid w:val="6E311968"/>
    <w:rsid w:val="7A353D0B"/>
    <w:rsid w:val="7BC57382"/>
    <w:rsid w:val="7CB927D8"/>
    <w:rsid w:val="7D3A5E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link w:val="22"/>
    <w:unhideWhenUsed/>
    <w:qFormat/>
    <w:uiPriority w:val="1"/>
  </w:style>
  <w:style w:type="table" w:default="1" w:styleId="20">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12">
    <w:name w:val="Body Text Indent"/>
    <w:basedOn w:val="1"/>
    <w:qFormat/>
    <w:uiPriority w:val="0"/>
    <w:pPr>
      <w:spacing w:after="120"/>
      <w:ind w:left="420" w:leftChars="200"/>
    </w:pPr>
    <w:rPr>
      <w:rFonts w:ascii="Calibri" w:hAnsi="Calibri"/>
    </w:rPr>
  </w:style>
  <w:style w:type="paragraph" w:styleId="13">
    <w:name w:val="Balloon Text"/>
    <w:basedOn w:val="1"/>
    <w:link w:val="50"/>
    <w:unhideWhenUsed/>
    <w:qFormat/>
    <w:uiPriority w:val="99"/>
    <w:rPr>
      <w:sz w:val="18"/>
      <w:szCs w:val="18"/>
    </w:rPr>
  </w:style>
  <w:style w:type="paragraph" w:styleId="14">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7">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8">
    <w:name w:val="Body Text First Indent"/>
    <w:basedOn w:val="2"/>
    <w:qFormat/>
    <w:uiPriority w:val="0"/>
    <w:pPr>
      <w:spacing w:after="0"/>
      <w:ind w:firstLine="200" w:firstLineChars="200"/>
    </w:pPr>
  </w:style>
  <w:style w:type="paragraph" w:styleId="19">
    <w:name w:val="Body Text First Indent 2"/>
    <w:basedOn w:val="12"/>
    <w:qFormat/>
    <w:uiPriority w:val="0"/>
    <w:pPr>
      <w:ind w:firstLine="420" w:firstLineChars="200"/>
    </w:pPr>
  </w:style>
  <w:style w:type="paragraph" w:customStyle="1" w:styleId="22">
    <w:name w:val="Char Char Char"/>
    <w:basedOn w:val="1"/>
    <w:link w:val="21"/>
    <w:qFormat/>
    <w:uiPriority w:val="99"/>
    <w:pPr>
      <w:widowControl/>
      <w:spacing w:after="160" w:line="240" w:lineRule="exact"/>
      <w:jc w:val="left"/>
    </w:pPr>
  </w:style>
  <w:style w:type="character" w:styleId="23">
    <w:name w:val="Strong"/>
    <w:basedOn w:val="21"/>
    <w:qFormat/>
    <w:uiPriority w:val="0"/>
    <w:rPr>
      <w:b/>
      <w:bCs/>
    </w:rPr>
  </w:style>
  <w:style w:type="character" w:styleId="24">
    <w:name w:val="Emphasis"/>
    <w:basedOn w:val="21"/>
    <w:qFormat/>
    <w:uiPriority w:val="20"/>
    <w:rPr>
      <w:rFonts w:asciiTheme="minorHAnsi" w:hAnsiTheme="minorHAnsi"/>
      <w:b/>
      <w:i/>
      <w:iCs/>
    </w:rPr>
  </w:style>
  <w:style w:type="character" w:customStyle="1" w:styleId="25">
    <w:name w:val="标题 1 字符"/>
    <w:basedOn w:val="21"/>
    <w:link w:val="3"/>
    <w:qFormat/>
    <w:uiPriority w:val="9"/>
    <w:rPr>
      <w:rFonts w:asciiTheme="majorHAnsi" w:hAnsiTheme="majorHAnsi" w:eastAsiaTheme="majorEastAsia"/>
      <w:b/>
      <w:bCs/>
      <w:kern w:val="32"/>
      <w:sz w:val="32"/>
      <w:szCs w:val="32"/>
    </w:rPr>
  </w:style>
  <w:style w:type="character" w:customStyle="1" w:styleId="26">
    <w:name w:val="标题 2 字符"/>
    <w:basedOn w:val="21"/>
    <w:link w:val="4"/>
    <w:semiHidden/>
    <w:qFormat/>
    <w:uiPriority w:val="9"/>
    <w:rPr>
      <w:rFonts w:asciiTheme="majorHAnsi" w:hAnsiTheme="majorHAnsi" w:eastAsiaTheme="majorEastAsia"/>
      <w:b/>
      <w:bCs/>
      <w:i/>
      <w:iCs/>
      <w:sz w:val="28"/>
      <w:szCs w:val="28"/>
    </w:rPr>
  </w:style>
  <w:style w:type="character" w:customStyle="1" w:styleId="27">
    <w:name w:val="标题 3 字符"/>
    <w:basedOn w:val="21"/>
    <w:link w:val="5"/>
    <w:semiHidden/>
    <w:qFormat/>
    <w:uiPriority w:val="9"/>
    <w:rPr>
      <w:rFonts w:asciiTheme="majorHAnsi" w:hAnsiTheme="majorHAnsi" w:eastAsiaTheme="majorEastAsia"/>
      <w:b/>
      <w:bCs/>
      <w:sz w:val="26"/>
      <w:szCs w:val="26"/>
    </w:rPr>
  </w:style>
  <w:style w:type="character" w:customStyle="1" w:styleId="28">
    <w:name w:val="标题 4 字符"/>
    <w:basedOn w:val="21"/>
    <w:link w:val="6"/>
    <w:semiHidden/>
    <w:qFormat/>
    <w:uiPriority w:val="9"/>
    <w:rPr>
      <w:b/>
      <w:bCs/>
      <w:sz w:val="28"/>
      <w:szCs w:val="28"/>
    </w:rPr>
  </w:style>
  <w:style w:type="character" w:customStyle="1" w:styleId="29">
    <w:name w:val="标题 5 字符"/>
    <w:basedOn w:val="21"/>
    <w:link w:val="7"/>
    <w:semiHidden/>
    <w:qFormat/>
    <w:uiPriority w:val="9"/>
    <w:rPr>
      <w:b/>
      <w:bCs/>
      <w:i/>
      <w:iCs/>
      <w:sz w:val="26"/>
      <w:szCs w:val="26"/>
    </w:rPr>
  </w:style>
  <w:style w:type="character" w:customStyle="1" w:styleId="30">
    <w:name w:val="标题 6 字符"/>
    <w:basedOn w:val="21"/>
    <w:link w:val="8"/>
    <w:semiHidden/>
    <w:qFormat/>
    <w:uiPriority w:val="9"/>
    <w:rPr>
      <w:b/>
      <w:bCs/>
    </w:rPr>
  </w:style>
  <w:style w:type="character" w:customStyle="1" w:styleId="31">
    <w:name w:val="标题 7 字符"/>
    <w:basedOn w:val="21"/>
    <w:link w:val="9"/>
    <w:semiHidden/>
    <w:qFormat/>
    <w:uiPriority w:val="9"/>
    <w:rPr>
      <w:sz w:val="24"/>
      <w:szCs w:val="24"/>
    </w:rPr>
  </w:style>
  <w:style w:type="character" w:customStyle="1" w:styleId="32">
    <w:name w:val="标题 8 字符"/>
    <w:basedOn w:val="21"/>
    <w:link w:val="10"/>
    <w:semiHidden/>
    <w:qFormat/>
    <w:uiPriority w:val="9"/>
    <w:rPr>
      <w:i/>
      <w:iCs/>
      <w:sz w:val="24"/>
      <w:szCs w:val="24"/>
    </w:rPr>
  </w:style>
  <w:style w:type="character" w:customStyle="1" w:styleId="33">
    <w:name w:val="标题 9 字符"/>
    <w:basedOn w:val="21"/>
    <w:link w:val="11"/>
    <w:semiHidden/>
    <w:qFormat/>
    <w:uiPriority w:val="9"/>
    <w:rPr>
      <w:rFonts w:asciiTheme="majorHAnsi" w:hAnsiTheme="majorHAnsi" w:eastAsiaTheme="majorEastAsia"/>
    </w:rPr>
  </w:style>
  <w:style w:type="character" w:customStyle="1" w:styleId="34">
    <w:name w:val="标题 字符"/>
    <w:basedOn w:val="21"/>
    <w:link w:val="17"/>
    <w:qFormat/>
    <w:uiPriority w:val="10"/>
    <w:rPr>
      <w:rFonts w:asciiTheme="majorHAnsi" w:hAnsiTheme="majorHAnsi" w:eastAsiaTheme="majorEastAsia"/>
      <w:b/>
      <w:bCs/>
      <w:kern w:val="28"/>
      <w:sz w:val="32"/>
      <w:szCs w:val="32"/>
    </w:rPr>
  </w:style>
  <w:style w:type="character" w:customStyle="1" w:styleId="35">
    <w:name w:val="副标题 字符"/>
    <w:basedOn w:val="21"/>
    <w:link w:val="16"/>
    <w:qFormat/>
    <w:uiPriority w:val="11"/>
    <w:rPr>
      <w:rFonts w:asciiTheme="majorHAnsi" w:hAnsiTheme="majorHAnsi" w:eastAsiaTheme="majorEastAsia"/>
      <w:sz w:val="24"/>
      <w:szCs w:val="24"/>
    </w:rPr>
  </w:style>
  <w:style w:type="paragraph" w:customStyle="1"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1"/>
    <w:link w:val="38"/>
    <w:qFormat/>
    <w:uiPriority w:val="29"/>
    <w:rPr>
      <w:i/>
      <w:sz w:val="24"/>
      <w:szCs w:val="24"/>
    </w:rPr>
  </w:style>
  <w:style w:type="paragraph" w:customStyle="1"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1"/>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1"/>
    <w:qFormat/>
    <w:uiPriority w:val="21"/>
    <w:rPr>
      <w:b/>
      <w:i/>
      <w:sz w:val="24"/>
      <w:szCs w:val="24"/>
      <w:u w:val="single"/>
    </w:rPr>
  </w:style>
  <w:style w:type="character" w:customStyle="1" w:styleId="44">
    <w:name w:val="不明显参考1"/>
    <w:basedOn w:val="21"/>
    <w:qFormat/>
    <w:uiPriority w:val="31"/>
    <w:rPr>
      <w:sz w:val="24"/>
      <w:szCs w:val="24"/>
      <w:u w:val="single"/>
    </w:rPr>
  </w:style>
  <w:style w:type="character" w:customStyle="1" w:styleId="45">
    <w:name w:val="明显参考1"/>
    <w:basedOn w:val="21"/>
    <w:qFormat/>
    <w:uiPriority w:val="32"/>
    <w:rPr>
      <w:b/>
      <w:sz w:val="24"/>
      <w:u w:val="single"/>
    </w:rPr>
  </w:style>
  <w:style w:type="character" w:customStyle="1" w:styleId="46">
    <w:name w:val="书籍标题1"/>
    <w:basedOn w:val="21"/>
    <w:qFormat/>
    <w:uiPriority w:val="33"/>
    <w:rPr>
      <w:rFonts w:asciiTheme="majorHAnsi" w:hAnsiTheme="majorHAnsi" w:eastAsiaTheme="majorEastAsia"/>
      <w:b/>
      <w:i/>
      <w:sz w:val="24"/>
      <w:szCs w:val="24"/>
    </w:rPr>
  </w:style>
  <w:style w:type="paragraph" w:customStyle="1" w:styleId="47">
    <w:name w:val="TOC 标题1"/>
    <w:basedOn w:val="3"/>
    <w:next w:val="1"/>
    <w:unhideWhenUsed/>
    <w:qFormat/>
    <w:uiPriority w:val="39"/>
    <w:pPr>
      <w:outlineLvl w:val="9"/>
    </w:pPr>
    <w:rPr>
      <w:lang w:eastAsia="en-US" w:bidi="en-US"/>
    </w:rPr>
  </w:style>
  <w:style w:type="character" w:customStyle="1" w:styleId="48">
    <w:name w:val="页眉 字符"/>
    <w:basedOn w:val="21"/>
    <w:link w:val="15"/>
    <w:qFormat/>
    <w:uiPriority w:val="99"/>
    <w:rPr>
      <w:rFonts w:ascii="Calibri" w:hAnsi="Calibri" w:eastAsia="宋体"/>
      <w:kern w:val="2"/>
      <w:sz w:val="18"/>
      <w:szCs w:val="18"/>
    </w:rPr>
  </w:style>
  <w:style w:type="character" w:customStyle="1" w:styleId="49">
    <w:name w:val="页脚 字符"/>
    <w:basedOn w:val="21"/>
    <w:link w:val="14"/>
    <w:qFormat/>
    <w:uiPriority w:val="99"/>
    <w:rPr>
      <w:rFonts w:ascii="Calibri" w:hAnsi="Calibri" w:eastAsia="宋体"/>
      <w:kern w:val="2"/>
      <w:sz w:val="18"/>
      <w:szCs w:val="18"/>
    </w:rPr>
  </w:style>
  <w:style w:type="character" w:customStyle="1" w:styleId="50">
    <w:name w:val="批注框文本 字符"/>
    <w:basedOn w:val="21"/>
    <w:link w:val="13"/>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8317</Words>
  <Characters>8782</Characters>
  <Lines>50</Lines>
  <Paragraphs>14</Paragraphs>
  <TotalTime>3</TotalTime>
  <ScaleCrop>false</ScaleCrop>
  <LinksUpToDate>false</LinksUpToDate>
  <CharactersWithSpaces>8857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岁月无痕</cp:lastModifiedBy>
  <cp:lastPrinted>2019-12-31T08:02:00Z</cp:lastPrinted>
  <dcterms:modified xsi:type="dcterms:W3CDTF">2024-08-16T04:12:06Z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013360FACCE1418B80C968824022A9DF</vt:lpwstr>
  </property>
  <property fmtid="{D5CDD505-2E9C-101B-9397-08002B2CF9AE}" pid="4" name="KSOSaveFontToCloudKey">
    <vt:lpwstr>0_btnclosed</vt:lpwstr>
  </property>
</Properties>
</file>